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442" w:firstLineChars="100"/>
        <w:jc w:val="both"/>
        <w:rPr>
          <w:rFonts w:hint="eastAsia" w:ascii="仿宋_GB2312" w:hAnsi="Calibri" w:eastAsia="仿宋_GB2312" w:cs="Times New Roman"/>
          <w:b w:val="0"/>
          <w:color w:val="auto"/>
          <w:kern w:val="0"/>
          <w:sz w:val="32"/>
          <w:szCs w:val="24"/>
          <w:lang w:val="en-US" w:eastAsia="zh-CN" w:bidi="ar"/>
        </w:rPr>
      </w:pPr>
      <w:bookmarkStart w:id="0" w:name="_GoBack"/>
      <w:bookmarkEnd w:id="0"/>
      <w:r>
        <w:rPr>
          <w:rFonts w:hint="eastAsia" w:cs="Times New Roman" w:asciiTheme="majorEastAsia" w:hAnsiTheme="majorEastAsia" w:eastAsiaTheme="majorEastAsia"/>
          <w:b/>
          <w:color w:val="auto"/>
          <w:kern w:val="0"/>
          <w:sz w:val="44"/>
          <w:szCs w:val="24"/>
          <w:lang w:val="en-US" w:eastAsia="zh-CN"/>
        </w:rPr>
        <w:t xml:space="preserve">                  </w:t>
      </w:r>
    </w:p>
    <w:p>
      <w:pPr>
        <w:spacing w:line="580" w:lineRule="exact"/>
        <w:jc w:val="both"/>
        <w:rPr>
          <w:rFonts w:hint="eastAsia" w:cs="Times New Roman" w:asciiTheme="majorEastAsia" w:hAnsiTheme="majorEastAsia" w:eastAsiaTheme="majorEastAsia"/>
          <w:b/>
          <w:color w:val="auto"/>
          <w:kern w:val="0"/>
          <w:sz w:val="44"/>
          <w:szCs w:val="24"/>
          <w:lang w:val="en-US" w:eastAsia="zh-CN"/>
        </w:rPr>
      </w:pPr>
    </w:p>
    <w:p>
      <w:pPr>
        <w:keepNext w:val="0"/>
        <w:keepLines w:val="0"/>
        <w:pageBreakBefore w:val="0"/>
        <w:kinsoku/>
        <w:wordWrap/>
        <w:overflowPunct/>
        <w:topLinePunct w:val="0"/>
        <w:bidi w:val="0"/>
        <w:adjustRightInd/>
        <w:spacing w:line="560" w:lineRule="exact"/>
        <w:ind w:right="0" w:rightChars="0"/>
        <w:jc w:val="center"/>
        <w:textAlignment w:val="auto"/>
        <w:rPr>
          <w:rFonts w:hint="eastAsia" w:cs="Times New Roman" w:asciiTheme="majorEastAsia" w:hAnsiTheme="majorEastAsia" w:eastAsiaTheme="majorEastAsia"/>
          <w:b/>
          <w:color w:val="auto"/>
          <w:kern w:val="0"/>
          <w:sz w:val="44"/>
          <w:szCs w:val="24"/>
        </w:rPr>
      </w:pPr>
      <w:r>
        <w:rPr>
          <w:rFonts w:hint="eastAsia" w:cs="Times New Roman" w:asciiTheme="majorEastAsia" w:hAnsiTheme="majorEastAsia" w:eastAsiaTheme="majorEastAsia"/>
          <w:b/>
          <w:color w:val="auto"/>
          <w:kern w:val="0"/>
          <w:sz w:val="44"/>
          <w:szCs w:val="24"/>
          <w:lang w:eastAsia="zh-CN"/>
        </w:rPr>
        <w:t>深圳市重点金融产业基地</w:t>
      </w:r>
      <w:r>
        <w:rPr>
          <w:rFonts w:hint="eastAsia" w:cs="Times New Roman" w:asciiTheme="majorEastAsia" w:hAnsiTheme="majorEastAsia" w:eastAsiaTheme="majorEastAsia"/>
          <w:b/>
          <w:color w:val="auto"/>
          <w:kern w:val="0"/>
          <w:sz w:val="44"/>
          <w:szCs w:val="24"/>
        </w:rPr>
        <w:t>和</w:t>
      </w:r>
      <w:r>
        <w:rPr>
          <w:rFonts w:hint="eastAsia" w:cs="Times New Roman" w:asciiTheme="majorEastAsia" w:hAnsiTheme="majorEastAsia" w:eastAsiaTheme="majorEastAsia"/>
          <w:b/>
          <w:color w:val="auto"/>
          <w:kern w:val="0"/>
          <w:sz w:val="44"/>
          <w:szCs w:val="24"/>
          <w:lang w:eastAsia="zh-CN"/>
        </w:rPr>
        <w:t>重点金融楼宇</w:t>
      </w:r>
      <w:r>
        <w:rPr>
          <w:rFonts w:hint="eastAsia" w:cs="Times New Roman" w:asciiTheme="majorEastAsia" w:hAnsiTheme="majorEastAsia" w:eastAsiaTheme="majorEastAsia"/>
          <w:b/>
          <w:color w:val="auto"/>
          <w:kern w:val="0"/>
          <w:sz w:val="44"/>
          <w:szCs w:val="24"/>
        </w:rPr>
        <w:t>认定</w:t>
      </w:r>
      <w:r>
        <w:rPr>
          <w:rFonts w:hint="eastAsia" w:cs="Times New Roman" w:asciiTheme="majorEastAsia" w:hAnsiTheme="majorEastAsia" w:eastAsiaTheme="majorEastAsia"/>
          <w:b/>
          <w:color w:val="auto"/>
          <w:kern w:val="0"/>
          <w:sz w:val="44"/>
          <w:szCs w:val="24"/>
          <w:lang w:eastAsia="zh-CN"/>
        </w:rPr>
        <w:t>管理办法</w:t>
      </w:r>
      <w:r>
        <w:rPr>
          <w:rFonts w:hint="eastAsia" w:cs="Times New Roman" w:asciiTheme="majorEastAsia" w:hAnsiTheme="majorEastAsia" w:eastAsiaTheme="majorEastAsia"/>
          <w:b/>
          <w:color w:val="auto"/>
          <w:kern w:val="0"/>
          <w:sz w:val="44"/>
          <w:szCs w:val="24"/>
          <w:lang w:val="en-US" w:eastAsia="zh-CN"/>
        </w:rPr>
        <w:t>(试行)</w:t>
      </w:r>
    </w:p>
    <w:p>
      <w:pPr>
        <w:keepNext w:val="0"/>
        <w:keepLines w:val="0"/>
        <w:pageBreakBefore w:val="0"/>
        <w:kinsoku/>
        <w:wordWrap/>
        <w:overflowPunct/>
        <w:topLinePunct w:val="0"/>
        <w:bidi w:val="0"/>
        <w:adjustRightInd/>
        <w:spacing w:line="560" w:lineRule="exact"/>
        <w:ind w:right="0" w:rightChars="0"/>
        <w:jc w:val="both"/>
        <w:textAlignment w:val="auto"/>
        <w:rPr>
          <w:rFonts w:hint="eastAsia" w:ascii="楷体" w:hAnsi="楷体" w:eastAsia="楷体" w:cs="楷体"/>
          <w:b/>
          <w:color w:val="auto"/>
          <w:kern w:val="0"/>
          <w:sz w:val="32"/>
          <w:szCs w:val="32"/>
          <w:lang w:val="en-US" w:eastAsia="zh-CN"/>
        </w:rPr>
      </w:pPr>
      <w:r>
        <w:rPr>
          <w:rFonts w:hint="eastAsia" w:ascii="楷体" w:hAnsi="楷体" w:eastAsia="楷体" w:cs="楷体"/>
          <w:b/>
          <w:color w:val="auto"/>
          <w:kern w:val="0"/>
          <w:sz w:val="32"/>
          <w:szCs w:val="32"/>
          <w:lang w:val="en-US" w:eastAsia="zh-CN"/>
        </w:rPr>
        <w:t xml:space="preserve">                  （征求意见稿）</w:t>
      </w:r>
    </w:p>
    <w:p>
      <w:pPr>
        <w:keepNext w:val="0"/>
        <w:keepLines w:val="0"/>
        <w:pageBreakBefore w:val="0"/>
        <w:kinsoku/>
        <w:wordWrap/>
        <w:overflowPunct/>
        <w:topLinePunct w:val="0"/>
        <w:bidi w:val="0"/>
        <w:adjustRightInd/>
        <w:spacing w:line="560" w:lineRule="exact"/>
        <w:ind w:right="0" w:rightChars="0"/>
        <w:jc w:val="both"/>
        <w:textAlignment w:val="auto"/>
        <w:rPr>
          <w:rFonts w:hint="eastAsia" w:ascii="楷体" w:hAnsi="楷体" w:eastAsia="楷体" w:cs="楷体"/>
          <w:b/>
          <w:color w:val="auto"/>
          <w:kern w:val="0"/>
          <w:sz w:val="32"/>
          <w:szCs w:val="32"/>
          <w:lang w:val="en-US" w:eastAsia="zh-CN"/>
        </w:rPr>
      </w:pPr>
    </w:p>
    <w:p>
      <w:pPr>
        <w:keepNext w:val="0"/>
        <w:keepLines w:val="0"/>
        <w:pageBreakBefore w:val="0"/>
        <w:numPr>
          <w:ilvl w:val="0"/>
          <w:numId w:val="0"/>
        </w:numPr>
        <w:kinsoku/>
        <w:wordWrap/>
        <w:overflowPunct/>
        <w:topLinePunct w:val="0"/>
        <w:bidi w:val="0"/>
        <w:adjustRightInd/>
        <w:spacing w:beforeLines="0" w:afterLines="0" w:line="560" w:lineRule="exact"/>
        <w:ind w:right="0" w:rightChars="0"/>
        <w:jc w:val="center"/>
        <w:textAlignment w:val="auto"/>
        <w:rPr>
          <w:rFonts w:hint="eastAsia" w:ascii="黑体" w:hAnsi="黑体" w:eastAsia="黑体" w:cs="Times New Roman"/>
          <w:b w:val="0"/>
          <w:bCs w:val="0"/>
          <w:color w:val="auto"/>
          <w:kern w:val="0"/>
          <w:sz w:val="32"/>
          <w:szCs w:val="24"/>
          <w:lang w:eastAsia="zh-CN"/>
        </w:rPr>
      </w:pPr>
      <w:r>
        <w:rPr>
          <w:rFonts w:hint="eastAsia" w:ascii="黑体" w:hAnsi="黑体" w:eastAsia="黑体" w:cs="Times New Roman"/>
          <w:color w:val="auto"/>
          <w:kern w:val="0"/>
          <w:sz w:val="32"/>
          <w:szCs w:val="24"/>
          <w:lang w:val="en-US" w:eastAsia="zh-CN"/>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60" w:lineRule="exact"/>
        <w:ind w:right="0" w:rightChars="0" w:firstLine="643" w:firstLineChars="200"/>
        <w:jc w:val="both"/>
        <w:textAlignment w:val="auto"/>
        <w:rPr>
          <w:color w:val="auto"/>
        </w:rPr>
      </w:pPr>
      <w:r>
        <w:rPr>
          <w:rFonts w:hint="eastAsia" w:ascii="仿宋_GB2312" w:hAnsi="Calibri" w:eastAsia="仿宋_GB2312" w:cs="Times New Roman"/>
          <w:b/>
          <w:bCs/>
          <w:color w:val="auto"/>
          <w:kern w:val="0"/>
          <w:sz w:val="32"/>
          <w:szCs w:val="24"/>
          <w:lang w:eastAsia="zh-CN"/>
        </w:rPr>
        <w:t>第一条</w:t>
      </w:r>
      <w:r>
        <w:rPr>
          <w:rFonts w:hint="eastAsia" w:ascii="仿宋_GB2312" w:hAnsi="Calibri" w:eastAsia="仿宋_GB2312" w:cs="Times New Roman"/>
          <w:color w:val="auto"/>
          <w:kern w:val="0"/>
          <w:sz w:val="32"/>
          <w:szCs w:val="24"/>
          <w:lang w:val="en-US" w:eastAsia="zh-CN"/>
        </w:rPr>
        <w:t xml:space="preserve"> 为贯彻落实</w:t>
      </w:r>
      <w:r>
        <w:rPr>
          <w:rFonts w:hint="eastAsia" w:ascii="仿宋_GB2312" w:hAnsi="Calibri" w:eastAsia="仿宋_GB2312" w:cs="Times New Roman"/>
          <w:color w:val="auto"/>
          <w:kern w:val="0"/>
          <w:sz w:val="32"/>
          <w:szCs w:val="24"/>
          <w:lang w:eastAsia="zh-CN"/>
        </w:rPr>
        <w:t>《深圳市扶持金融业发展若干措施》（深府规〔201</w:t>
      </w:r>
      <w:r>
        <w:rPr>
          <w:rFonts w:hint="eastAsia" w:ascii="仿宋_GB2312" w:hAnsi="Calibri" w:eastAsia="仿宋_GB2312" w:cs="Times New Roman"/>
          <w:color w:val="auto"/>
          <w:kern w:val="0"/>
          <w:sz w:val="32"/>
          <w:szCs w:val="24"/>
          <w:lang w:val="en-US" w:eastAsia="zh-CN"/>
        </w:rPr>
        <w:t>7</w:t>
      </w:r>
      <w:r>
        <w:rPr>
          <w:rFonts w:hint="eastAsia" w:ascii="仿宋_GB2312" w:hAnsi="Calibri" w:eastAsia="仿宋_GB2312" w:cs="Times New Roman"/>
          <w:color w:val="auto"/>
          <w:kern w:val="0"/>
          <w:sz w:val="32"/>
          <w:szCs w:val="24"/>
          <w:lang w:eastAsia="zh-CN"/>
        </w:rPr>
        <w:t>〕</w:t>
      </w:r>
      <w:r>
        <w:rPr>
          <w:rFonts w:hint="eastAsia" w:ascii="仿宋_GB2312" w:hAnsi="Calibri" w:eastAsia="仿宋_GB2312" w:cs="Times New Roman"/>
          <w:color w:val="auto"/>
          <w:kern w:val="0"/>
          <w:sz w:val="32"/>
          <w:szCs w:val="24"/>
          <w:lang w:val="en-US" w:eastAsia="zh-CN"/>
        </w:rPr>
        <w:t>2</w:t>
      </w:r>
      <w:r>
        <w:rPr>
          <w:rFonts w:hint="eastAsia" w:ascii="仿宋_GB2312" w:hAnsi="Calibri" w:eastAsia="仿宋_GB2312" w:cs="Times New Roman"/>
          <w:color w:val="auto"/>
          <w:kern w:val="0"/>
          <w:sz w:val="32"/>
          <w:szCs w:val="24"/>
          <w:lang w:eastAsia="zh-CN"/>
        </w:rPr>
        <w:t>号，以下简称</w:t>
      </w:r>
      <w:r>
        <w:rPr>
          <w:rFonts w:hint="eastAsia" w:ascii="仿宋_GB2312" w:hAnsi="Calibri" w:eastAsia="仿宋_GB2312" w:cs="Times New Roman"/>
          <w:color w:val="auto"/>
          <w:kern w:val="0"/>
          <w:sz w:val="32"/>
          <w:szCs w:val="24"/>
          <w:lang w:val="en-US" w:eastAsia="zh-CN"/>
        </w:rPr>
        <w:t>《若干措施》</w:t>
      </w:r>
      <w:r>
        <w:rPr>
          <w:rFonts w:hint="eastAsia" w:ascii="仿宋_GB2312" w:hAnsi="Calibri" w:eastAsia="仿宋_GB2312" w:cs="Times New Roman"/>
          <w:color w:val="auto"/>
          <w:kern w:val="0"/>
          <w:sz w:val="32"/>
          <w:szCs w:val="24"/>
          <w:lang w:eastAsia="zh-CN"/>
        </w:rPr>
        <w:t>），</w:t>
      </w:r>
      <w:r>
        <w:rPr>
          <w:rFonts w:hint="eastAsia" w:ascii="仿宋_GB2312" w:hAnsi="Calibri" w:eastAsia="仿宋_GB2312" w:cs="Times New Roman"/>
          <w:color w:val="auto"/>
          <w:kern w:val="0"/>
          <w:sz w:val="32"/>
          <w:szCs w:val="24"/>
          <w:lang w:val="en-US" w:eastAsia="zh-CN"/>
        </w:rPr>
        <w:t>发挥金融产业</w:t>
      </w:r>
      <w:r>
        <w:rPr>
          <w:rFonts w:hint="eastAsia" w:ascii="仿宋_GB2312" w:hAnsi="Calibri" w:eastAsia="仿宋_GB2312" w:cs="Times New Roman"/>
          <w:color w:val="auto"/>
          <w:kern w:val="0"/>
          <w:sz w:val="32"/>
          <w:szCs w:val="24"/>
          <w:lang w:eastAsia="zh-CN"/>
        </w:rPr>
        <w:t>基地和金融楼宇作为金融招商引资重要载体的作用，</w:t>
      </w:r>
      <w:r>
        <w:rPr>
          <w:rFonts w:hint="eastAsia" w:ascii="仿宋_GB2312" w:hAnsi="Calibri" w:eastAsia="仿宋_GB2312" w:cs="Times New Roman"/>
          <w:color w:val="auto"/>
          <w:kern w:val="0"/>
          <w:sz w:val="32"/>
          <w:szCs w:val="24"/>
          <w:lang w:val="en-US" w:eastAsia="zh-CN"/>
        </w:rPr>
        <w:t>特</w:t>
      </w:r>
      <w:r>
        <w:rPr>
          <w:rFonts w:hint="eastAsia" w:ascii="仿宋_GB2312" w:hAnsi="Calibri" w:eastAsia="仿宋_GB2312" w:cs="Times New Roman"/>
          <w:color w:val="auto"/>
          <w:kern w:val="0"/>
          <w:sz w:val="32"/>
          <w:szCs w:val="24"/>
          <w:lang w:eastAsia="zh-CN"/>
        </w:rPr>
        <w:t>遴选一批发展前景好、</w:t>
      </w:r>
      <w:r>
        <w:rPr>
          <w:rFonts w:hint="eastAsia" w:ascii="仿宋_GB2312" w:hAnsi="Calibri" w:eastAsia="仿宋_GB2312" w:cs="Times New Roman"/>
          <w:color w:val="auto"/>
          <w:kern w:val="0"/>
          <w:sz w:val="32"/>
          <w:szCs w:val="24"/>
        </w:rPr>
        <w:t>比较优势突出的</w:t>
      </w:r>
      <w:r>
        <w:rPr>
          <w:rFonts w:hint="eastAsia" w:ascii="仿宋_GB2312" w:hAnsi="Calibri" w:eastAsia="仿宋_GB2312" w:cs="Times New Roman"/>
          <w:color w:val="auto"/>
          <w:kern w:val="0"/>
          <w:sz w:val="32"/>
          <w:szCs w:val="24"/>
          <w:lang w:eastAsia="zh-CN"/>
        </w:rPr>
        <w:t>市级重点金融产业基地和重点金融楼宇，给予配套政策、资金、服务等重点扶持，进一步发挥金融产业集聚的示范带动效应，为增强区域经济发展实力提供有力的金融支撑。</w:t>
      </w:r>
    </w:p>
    <w:p>
      <w:pPr>
        <w:keepNext w:val="0"/>
        <w:keepLines w:val="0"/>
        <w:pageBreakBefore w:val="0"/>
        <w:kinsoku/>
        <w:wordWrap/>
        <w:overflowPunct/>
        <w:topLinePunct w:val="0"/>
        <w:bidi w:val="0"/>
        <w:adjustRightInd/>
        <w:spacing w:line="560" w:lineRule="exact"/>
        <w:ind w:right="0" w:rightChars="0" w:firstLine="643" w:firstLineChars="200"/>
        <w:jc w:val="both"/>
        <w:textAlignment w:val="auto"/>
        <w:rPr>
          <w:rFonts w:hint="eastAsia" w:ascii="仿宋_GB2312" w:hAnsi="Calibri" w:eastAsia="仿宋_GB2312" w:cs="Times New Roman"/>
          <w:color w:val="auto"/>
          <w:kern w:val="0"/>
          <w:sz w:val="32"/>
          <w:szCs w:val="24"/>
          <w:lang w:val="en-US" w:eastAsia="zh-CN"/>
        </w:rPr>
      </w:pPr>
      <w:r>
        <w:rPr>
          <w:rFonts w:hint="eastAsia" w:ascii="仿宋_GB2312" w:hAnsi="Calibri" w:eastAsia="仿宋_GB2312" w:cs="Times New Roman"/>
          <w:b/>
          <w:bCs/>
          <w:color w:val="auto"/>
          <w:kern w:val="0"/>
          <w:sz w:val="32"/>
          <w:szCs w:val="24"/>
          <w:lang w:eastAsia="zh-CN"/>
        </w:rPr>
        <w:t>第二条</w:t>
      </w:r>
      <w:r>
        <w:rPr>
          <w:rFonts w:hint="eastAsia" w:ascii="仿宋_GB2312" w:hAnsi="Calibri" w:eastAsia="仿宋_GB2312" w:cs="Times New Roman"/>
          <w:color w:val="auto"/>
          <w:kern w:val="0"/>
          <w:sz w:val="32"/>
          <w:szCs w:val="24"/>
          <w:lang w:val="en-US" w:eastAsia="zh-CN"/>
        </w:rPr>
        <w:t xml:space="preserve"> 本办法所称市级重点金融产业基地和重点金融楼宇是指本市行政区域内，符合</w:t>
      </w:r>
      <w:r>
        <w:rPr>
          <w:rFonts w:hint="eastAsia" w:ascii="仿宋_GB2312" w:hAnsi="Calibri" w:eastAsia="仿宋_GB2312" w:cs="Times New Roman"/>
          <w:color w:val="auto"/>
          <w:kern w:val="0"/>
          <w:sz w:val="32"/>
          <w:szCs w:val="24"/>
        </w:rPr>
        <w:t>我市金融</w:t>
      </w:r>
      <w:r>
        <w:rPr>
          <w:rFonts w:hint="eastAsia" w:ascii="仿宋_GB2312" w:hAnsi="Calibri" w:eastAsia="仿宋_GB2312" w:cs="Times New Roman"/>
          <w:color w:val="auto"/>
          <w:kern w:val="0"/>
          <w:sz w:val="32"/>
          <w:szCs w:val="24"/>
          <w:lang w:eastAsia="zh-CN"/>
        </w:rPr>
        <w:t>产</w:t>
      </w:r>
      <w:r>
        <w:rPr>
          <w:rFonts w:hint="eastAsia" w:ascii="仿宋_GB2312" w:hAnsi="Calibri" w:eastAsia="仿宋_GB2312" w:cs="Times New Roman"/>
          <w:color w:val="auto"/>
          <w:kern w:val="0"/>
          <w:sz w:val="32"/>
          <w:szCs w:val="24"/>
        </w:rPr>
        <w:t>业发展规划</w:t>
      </w:r>
      <w:r>
        <w:rPr>
          <w:rFonts w:hint="eastAsia" w:ascii="仿宋_GB2312" w:hAnsi="Calibri" w:eastAsia="仿宋_GB2312" w:cs="Times New Roman"/>
          <w:color w:val="auto"/>
          <w:kern w:val="0"/>
          <w:sz w:val="32"/>
          <w:szCs w:val="24"/>
          <w:lang w:eastAsia="zh-CN"/>
        </w:rPr>
        <w:t>和</w:t>
      </w:r>
      <w:r>
        <w:rPr>
          <w:rFonts w:hint="eastAsia" w:ascii="仿宋_GB2312" w:hAnsi="Calibri" w:eastAsia="仿宋_GB2312" w:cs="Times New Roman"/>
          <w:color w:val="auto"/>
          <w:kern w:val="0"/>
          <w:sz w:val="32"/>
          <w:szCs w:val="24"/>
        </w:rPr>
        <w:t>区域功能定位要求，</w:t>
      </w:r>
      <w:r>
        <w:rPr>
          <w:rFonts w:hint="eastAsia" w:ascii="仿宋_GB2312" w:hAnsi="Calibri" w:eastAsia="仿宋_GB2312" w:cs="Times New Roman"/>
          <w:color w:val="auto"/>
          <w:kern w:val="0"/>
          <w:sz w:val="32"/>
          <w:szCs w:val="24"/>
          <w:lang w:val="en-US" w:eastAsia="zh-CN"/>
        </w:rPr>
        <w:t>金融业态集聚度和单位面积效益在本市具有示范引领效应的金融产业基地和金融楼宇。</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3" w:firstLineChars="200"/>
        <w:rPr>
          <w:rFonts w:hint="eastAsia" w:ascii="仿宋_GB2312" w:hAnsi="仿宋" w:eastAsia="仿宋_GB2312"/>
          <w:color w:val="auto"/>
          <w:kern w:val="0"/>
          <w:sz w:val="32"/>
          <w:szCs w:val="32"/>
          <w:lang w:val="en-US" w:eastAsia="zh-CN"/>
        </w:rPr>
      </w:pPr>
      <w:r>
        <w:rPr>
          <w:rFonts w:hint="eastAsia" w:ascii="仿宋_GB2312" w:hAnsi="Calibri" w:eastAsia="仿宋_GB2312" w:cs="Times New Roman"/>
          <w:b/>
          <w:bCs/>
          <w:color w:val="auto"/>
          <w:kern w:val="0"/>
          <w:sz w:val="32"/>
          <w:szCs w:val="24"/>
          <w:lang w:val="en-US" w:eastAsia="zh-CN"/>
        </w:rPr>
        <w:t>第三条</w:t>
      </w:r>
      <w:r>
        <w:rPr>
          <w:rFonts w:hint="eastAsia" w:ascii="仿宋_GB2312" w:hAnsi="Calibri" w:eastAsia="仿宋_GB2312" w:cs="Times New Roman"/>
          <w:color w:val="auto"/>
          <w:kern w:val="0"/>
          <w:sz w:val="32"/>
          <w:szCs w:val="24"/>
          <w:lang w:val="en-US" w:eastAsia="zh-CN"/>
        </w:rPr>
        <w:t xml:space="preserve"> 本办法</w:t>
      </w:r>
      <w:r>
        <w:rPr>
          <w:rFonts w:hint="eastAsia" w:ascii="仿宋_GB2312" w:hAnsi="仿宋" w:eastAsia="仿宋_GB2312" w:cs="∑¬ÀŒ"/>
          <w:color w:val="auto"/>
          <w:kern w:val="0"/>
          <w:sz w:val="32"/>
          <w:szCs w:val="32"/>
        </w:rPr>
        <w:t>所称</w:t>
      </w:r>
      <w:r>
        <w:rPr>
          <w:rFonts w:hint="eastAsia" w:ascii="仿宋_GB2312" w:hAnsi="仿宋" w:eastAsia="仿宋_GB2312" w:cs="∑¬ÀŒ"/>
          <w:color w:val="auto"/>
          <w:kern w:val="0"/>
          <w:sz w:val="32"/>
          <w:szCs w:val="32"/>
          <w:lang w:eastAsia="zh-CN"/>
        </w:rPr>
        <w:t>持牌金融机构</w:t>
      </w:r>
      <w:r>
        <w:rPr>
          <w:rFonts w:hint="eastAsia" w:ascii="仿宋_GB2312" w:hAnsi="仿宋" w:eastAsia="仿宋_GB2312" w:cs="∑¬ÀŒ"/>
          <w:color w:val="auto"/>
          <w:kern w:val="0"/>
          <w:sz w:val="32"/>
          <w:szCs w:val="32"/>
        </w:rPr>
        <w:t>，是指经国家金融监管部门批准，在深圳注册</w:t>
      </w:r>
      <w:r>
        <w:rPr>
          <w:rFonts w:hint="eastAsia" w:ascii="仿宋_GB2312" w:hAnsi="仿宋" w:eastAsia="仿宋_GB2312" w:cs="∑¬ÀŒ"/>
          <w:color w:val="auto"/>
          <w:kern w:val="0"/>
          <w:sz w:val="32"/>
          <w:szCs w:val="32"/>
          <w:lang w:eastAsia="zh-CN"/>
        </w:rPr>
        <w:t>的</w:t>
      </w:r>
      <w:r>
        <w:rPr>
          <w:rFonts w:hint="eastAsia" w:ascii="仿宋_GB2312" w:hAnsi="仿宋" w:eastAsia="仿宋_GB2312" w:cs="∑¬ÀŒ"/>
          <w:color w:val="auto"/>
          <w:kern w:val="0"/>
          <w:sz w:val="32"/>
          <w:szCs w:val="32"/>
        </w:rPr>
        <w:t>银行、信托公司、金融租赁公司、财务公司、消费金融公司、汽车金融公司、证券公司、基金管理公司、期货公司、保险公司、保险资产管理公司、相互保险组织等经营性金融企业，以及经核准或授权开展金融企业不良资产批量收购、处置业务的地方资产管理公司</w:t>
      </w:r>
      <w:r>
        <w:rPr>
          <w:rFonts w:hint="eastAsia" w:ascii="仿宋_GB2312" w:hAnsi="仿宋" w:eastAsia="仿宋_GB2312" w:cs="∑¬ÀŒ"/>
          <w:color w:val="auto"/>
          <w:kern w:val="0"/>
          <w:sz w:val="32"/>
          <w:szCs w:val="32"/>
          <w:lang w:eastAsia="zh-CN"/>
        </w:rPr>
        <w:t>及其一级分支机构。</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0"/>
        <w:rPr>
          <w:rFonts w:hint="eastAsia" w:ascii="仿宋_GB2312" w:hAnsi="仿宋" w:eastAsia="仿宋_GB2312" w:cs="∑¬ÀŒ"/>
          <w:color w:val="auto"/>
          <w:kern w:val="0"/>
          <w:sz w:val="32"/>
          <w:szCs w:val="32"/>
          <w:lang w:eastAsia="zh-CN"/>
        </w:rPr>
      </w:pPr>
      <w:r>
        <w:rPr>
          <w:rFonts w:hint="eastAsia" w:ascii="仿宋_GB2312" w:hAnsi="仿宋" w:eastAsia="仿宋_GB2312" w:cs="∑¬ÀŒ"/>
          <w:color w:val="auto"/>
          <w:kern w:val="0"/>
          <w:sz w:val="32"/>
          <w:szCs w:val="32"/>
          <w:lang w:eastAsia="zh-CN"/>
        </w:rPr>
        <w:t>本办法所称</w:t>
      </w:r>
      <w:r>
        <w:rPr>
          <w:rFonts w:hint="eastAsia" w:ascii="仿宋_GB2312" w:hAnsi="仿宋" w:eastAsia="仿宋_GB2312" w:cs="∑¬ÀŒ"/>
          <w:color w:val="auto"/>
          <w:kern w:val="0"/>
          <w:sz w:val="32"/>
          <w:szCs w:val="32"/>
        </w:rPr>
        <w:t>金融企业，</w:t>
      </w:r>
      <w:r>
        <w:rPr>
          <w:rFonts w:hint="eastAsia" w:ascii="仿宋_GB2312" w:hAnsi="仿宋" w:eastAsia="仿宋_GB2312" w:cs="∑¬ÀŒ"/>
          <w:color w:val="auto"/>
          <w:kern w:val="0"/>
          <w:sz w:val="32"/>
          <w:szCs w:val="32"/>
          <w:lang w:eastAsia="zh-CN"/>
        </w:rPr>
        <w:t>具体包括持牌金融机构（含各类专业子公司、专营机构）</w:t>
      </w:r>
      <w:r>
        <w:rPr>
          <w:rFonts w:hint="eastAsia" w:ascii="仿宋_GB2312" w:hAnsi="仿宋" w:eastAsia="仿宋_GB2312" w:cs="∑¬ÀŒ"/>
          <w:color w:val="auto"/>
          <w:kern w:val="0"/>
          <w:sz w:val="32"/>
          <w:szCs w:val="32"/>
        </w:rPr>
        <w:t>、股权投资企业和股权投资管理企业、小额贷款公司、交易场所及金融配套服务机构等其他创新型金融机构</w:t>
      </w:r>
      <w:r>
        <w:rPr>
          <w:rFonts w:hint="eastAsia" w:ascii="仿宋_GB2312" w:hAnsi="仿宋" w:eastAsia="仿宋_GB2312" w:cs="∑¬ÀŒ"/>
          <w:color w:val="auto"/>
          <w:kern w:val="0"/>
          <w:sz w:val="32"/>
          <w:szCs w:val="32"/>
          <w:lang w:eastAsia="zh-CN"/>
        </w:rPr>
        <w:t>的总部、一级分支机构、营业部及营业网点。</w:t>
      </w:r>
    </w:p>
    <w:p>
      <w:pPr>
        <w:keepNext w:val="0"/>
        <w:keepLines w:val="0"/>
        <w:pageBreakBefore w:val="0"/>
        <w:kinsoku/>
        <w:wordWrap/>
        <w:overflowPunct/>
        <w:topLinePunct w:val="0"/>
        <w:bidi w:val="0"/>
        <w:adjustRightInd/>
        <w:spacing w:line="560" w:lineRule="exact"/>
        <w:ind w:right="0" w:rightChars="0" w:firstLine="643" w:firstLineChars="200"/>
        <w:jc w:val="both"/>
        <w:textAlignment w:val="auto"/>
        <w:rPr>
          <w:rFonts w:hint="eastAsia" w:ascii="仿宋_GB2312" w:hAnsi="Calibri" w:eastAsia="仿宋_GB2312" w:cs="Times New Roman"/>
          <w:color w:val="auto"/>
          <w:kern w:val="0"/>
          <w:sz w:val="32"/>
          <w:szCs w:val="24"/>
          <w:lang w:val="en-US" w:eastAsia="zh-CN"/>
        </w:rPr>
      </w:pPr>
      <w:r>
        <w:rPr>
          <w:rFonts w:hint="eastAsia" w:ascii="仿宋_GB2312" w:hAnsi="Calibri" w:eastAsia="仿宋_GB2312" w:cs="Times New Roman"/>
          <w:b/>
          <w:bCs/>
          <w:color w:val="auto"/>
          <w:kern w:val="0"/>
          <w:sz w:val="32"/>
          <w:szCs w:val="24"/>
          <w:lang w:val="en-US" w:eastAsia="zh-CN"/>
        </w:rPr>
        <w:t>第四条</w:t>
      </w:r>
      <w:r>
        <w:rPr>
          <w:rFonts w:hint="eastAsia" w:ascii="仿宋_GB2312" w:hAnsi="Calibri" w:eastAsia="仿宋_GB2312" w:cs="Times New Roman"/>
          <w:color w:val="auto"/>
          <w:kern w:val="0"/>
          <w:sz w:val="32"/>
          <w:szCs w:val="24"/>
          <w:lang w:val="en-US" w:eastAsia="zh-CN"/>
        </w:rPr>
        <w:t xml:space="preserve"> 市级重点金融产业基地和市级重点金融楼宇的认定工作遵循科学高效、统筹兼顾、合理布局、注重示范的原则。</w:t>
      </w:r>
    </w:p>
    <w:p>
      <w:pPr>
        <w:keepNext w:val="0"/>
        <w:keepLines w:val="0"/>
        <w:pageBreakBefore w:val="0"/>
        <w:kinsoku/>
        <w:wordWrap/>
        <w:overflowPunct/>
        <w:topLinePunct w:val="0"/>
        <w:bidi w:val="0"/>
        <w:adjustRightInd/>
        <w:spacing w:line="560" w:lineRule="exact"/>
        <w:ind w:right="0" w:rightChars="0" w:firstLine="643"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Calibri" w:eastAsia="仿宋_GB2312" w:cs="Times New Roman"/>
          <w:b/>
          <w:bCs/>
          <w:color w:val="auto"/>
          <w:kern w:val="0"/>
          <w:sz w:val="32"/>
          <w:szCs w:val="24"/>
          <w:lang w:val="en-US" w:eastAsia="zh-CN"/>
        </w:rPr>
        <w:t>第五条</w:t>
      </w:r>
      <w:r>
        <w:rPr>
          <w:rFonts w:hint="eastAsia" w:ascii="仿宋_GB2312" w:hAnsi="Calibri" w:eastAsia="仿宋_GB2312" w:cs="Times New Roman"/>
          <w:color w:val="auto"/>
          <w:kern w:val="0"/>
          <w:sz w:val="32"/>
          <w:szCs w:val="24"/>
          <w:lang w:val="en-US" w:eastAsia="zh-CN"/>
        </w:rPr>
        <w:t xml:space="preserve"> 深圳市金融发展服务办公室（以下简称“市金融办”）</w:t>
      </w:r>
      <w:r>
        <w:rPr>
          <w:rFonts w:hint="eastAsia" w:ascii="仿宋_GB2312" w:hAnsi="仿宋_GB2312" w:eastAsia="仿宋_GB2312" w:cs="仿宋_GB2312"/>
          <w:color w:val="auto"/>
          <w:kern w:val="0"/>
          <w:sz w:val="32"/>
          <w:szCs w:val="32"/>
        </w:rPr>
        <w:t>受市政府委托，负责</w:t>
      </w:r>
      <w:r>
        <w:rPr>
          <w:rFonts w:hint="eastAsia" w:ascii="仿宋_GB2312" w:hAnsi="仿宋_GB2312" w:eastAsia="仿宋_GB2312" w:cs="仿宋_GB2312"/>
          <w:color w:val="auto"/>
          <w:kern w:val="0"/>
          <w:sz w:val="32"/>
          <w:szCs w:val="32"/>
          <w:lang w:eastAsia="zh-CN"/>
        </w:rPr>
        <w:t>市级重点金融产业基地和重点金融楼宇</w:t>
      </w:r>
      <w:r>
        <w:rPr>
          <w:rFonts w:hint="eastAsia" w:ascii="仿宋_GB2312" w:hAnsi="Calibri" w:eastAsia="仿宋_GB2312" w:cs="Times New Roman"/>
          <w:color w:val="auto"/>
          <w:kern w:val="0"/>
          <w:sz w:val="32"/>
          <w:szCs w:val="24"/>
          <w:lang w:eastAsia="zh-CN"/>
        </w:rPr>
        <w:t>的认定</w:t>
      </w:r>
      <w:r>
        <w:rPr>
          <w:rFonts w:hint="eastAsia" w:ascii="仿宋_GB2312" w:hAnsi="Calibri" w:eastAsia="仿宋_GB2312" w:cs="Times New Roman"/>
          <w:color w:val="auto"/>
          <w:kern w:val="0"/>
          <w:sz w:val="32"/>
          <w:szCs w:val="24"/>
          <w:lang w:val="en-US" w:eastAsia="zh-CN"/>
        </w:rPr>
        <w:t>工作，各区</w:t>
      </w:r>
      <w:r>
        <w:rPr>
          <w:rFonts w:hint="eastAsia" w:ascii="仿宋_GB2312" w:hAnsi="Calibri" w:eastAsia="仿宋_GB2312" w:cs="Times New Roman"/>
          <w:color w:val="auto"/>
          <w:kern w:val="0"/>
          <w:sz w:val="32"/>
          <w:szCs w:val="24"/>
        </w:rPr>
        <w:t>（新区）</w:t>
      </w:r>
      <w:r>
        <w:rPr>
          <w:rFonts w:hint="eastAsia" w:ascii="仿宋_GB2312" w:hAnsi="Calibri" w:eastAsia="仿宋_GB2312" w:cs="Times New Roman"/>
          <w:color w:val="auto"/>
          <w:kern w:val="0"/>
          <w:sz w:val="32"/>
          <w:szCs w:val="24"/>
          <w:lang w:eastAsia="zh-CN"/>
        </w:rPr>
        <w:t>和</w:t>
      </w:r>
      <w:r>
        <w:rPr>
          <w:rFonts w:hint="eastAsia" w:ascii="仿宋_GB2312" w:hAnsi="Calibri" w:eastAsia="仿宋_GB2312" w:cs="Times New Roman"/>
          <w:color w:val="auto"/>
          <w:kern w:val="0"/>
          <w:sz w:val="32"/>
          <w:szCs w:val="24"/>
        </w:rPr>
        <w:t>前海管理局</w:t>
      </w:r>
      <w:r>
        <w:rPr>
          <w:rFonts w:hint="eastAsia" w:ascii="仿宋_GB2312" w:hAnsi="Calibri" w:eastAsia="仿宋_GB2312" w:cs="Times New Roman"/>
          <w:color w:val="auto"/>
          <w:kern w:val="0"/>
          <w:sz w:val="32"/>
          <w:szCs w:val="24"/>
          <w:lang w:eastAsia="zh-CN"/>
        </w:rPr>
        <w:t>（以下简称“各区”）的</w:t>
      </w:r>
      <w:r>
        <w:rPr>
          <w:rFonts w:hint="eastAsia" w:ascii="仿宋_GB2312" w:hAnsi="Calibri" w:eastAsia="仿宋_GB2312" w:cs="Times New Roman"/>
          <w:color w:val="auto"/>
          <w:kern w:val="0"/>
          <w:sz w:val="32"/>
          <w:szCs w:val="24"/>
          <w:lang w:val="en-US" w:eastAsia="zh-CN"/>
        </w:rPr>
        <w:t>金融工作部门（以下简称“各区金融工作部门”）负责本辖区内市级</w:t>
      </w:r>
      <w:r>
        <w:rPr>
          <w:rFonts w:hint="eastAsia" w:ascii="仿宋_GB2312" w:hAnsi="仿宋_GB2312" w:eastAsia="仿宋_GB2312" w:cs="仿宋_GB2312"/>
          <w:color w:val="auto"/>
          <w:kern w:val="0"/>
          <w:sz w:val="32"/>
          <w:szCs w:val="32"/>
          <w:lang w:eastAsia="zh-CN"/>
        </w:rPr>
        <w:t>重点金融产业基地和重点金融楼宇的初核、推荐及管理工作。</w:t>
      </w:r>
    </w:p>
    <w:p>
      <w:pPr>
        <w:keepNext w:val="0"/>
        <w:keepLines w:val="0"/>
        <w:pageBreakBefore w:val="0"/>
        <w:kinsoku/>
        <w:wordWrap/>
        <w:overflowPunct/>
        <w:topLinePunct w:val="0"/>
        <w:bidi w:val="0"/>
        <w:adjustRightInd/>
        <w:spacing w:line="560" w:lineRule="exact"/>
        <w:ind w:right="0" w:rightChars="0" w:firstLine="640" w:firstLineChars="200"/>
        <w:jc w:val="both"/>
        <w:textAlignment w:val="auto"/>
        <w:rPr>
          <w:rFonts w:hint="eastAsia" w:ascii="仿宋_GB2312" w:hAnsi="Calibri" w:eastAsia="仿宋_GB2312" w:cs="Times New Roman"/>
          <w:color w:val="auto"/>
          <w:kern w:val="0"/>
          <w:sz w:val="32"/>
          <w:szCs w:val="24"/>
          <w:lang w:val="en-US" w:eastAsia="zh-CN"/>
        </w:rPr>
      </w:pPr>
    </w:p>
    <w:p>
      <w:pPr>
        <w:keepNext w:val="0"/>
        <w:keepLines w:val="0"/>
        <w:pageBreakBefore w:val="0"/>
        <w:numPr>
          <w:ilvl w:val="0"/>
          <w:numId w:val="0"/>
        </w:numPr>
        <w:kinsoku/>
        <w:wordWrap/>
        <w:overflowPunct/>
        <w:topLinePunct w:val="0"/>
        <w:bidi w:val="0"/>
        <w:adjustRightInd/>
        <w:spacing w:beforeLines="0" w:afterLines="0" w:line="560" w:lineRule="exact"/>
        <w:ind w:right="0" w:rightChars="0" w:firstLine="0" w:firstLineChars="0"/>
        <w:jc w:val="center"/>
        <w:textAlignment w:val="auto"/>
        <w:rPr>
          <w:rFonts w:hint="eastAsia" w:ascii="仿宋_GB2312" w:hAnsi="Calibri" w:eastAsia="仿宋_GB2312" w:cs="Times New Roman"/>
          <w:b/>
          <w:bCs/>
          <w:color w:val="auto"/>
          <w:kern w:val="0"/>
          <w:sz w:val="32"/>
          <w:szCs w:val="24"/>
          <w:lang w:val="en-US" w:eastAsia="zh-CN"/>
        </w:rPr>
      </w:pPr>
      <w:r>
        <w:rPr>
          <w:rFonts w:hint="eastAsia" w:ascii="黑体" w:hAnsi="黑体" w:eastAsia="黑体" w:cs="Times New Roman"/>
          <w:color w:val="auto"/>
          <w:kern w:val="0"/>
          <w:sz w:val="32"/>
          <w:szCs w:val="24"/>
          <w:lang w:val="en-US" w:eastAsia="zh-CN"/>
        </w:rPr>
        <w:t xml:space="preserve">第二章 申报条件 </w:t>
      </w:r>
    </w:p>
    <w:p>
      <w:pPr>
        <w:keepNext w:val="0"/>
        <w:keepLines w:val="0"/>
        <w:pageBreakBefore w:val="0"/>
        <w:numPr>
          <w:ilvl w:val="-1"/>
          <w:numId w:val="0"/>
        </w:numPr>
        <w:kinsoku/>
        <w:wordWrap/>
        <w:overflowPunct/>
        <w:topLinePunct w:val="0"/>
        <w:bidi w:val="0"/>
        <w:adjustRightInd/>
        <w:spacing w:line="560" w:lineRule="exact"/>
        <w:ind w:right="0" w:rightChars="0" w:firstLine="643" w:firstLineChars="200"/>
        <w:jc w:val="both"/>
        <w:textAlignment w:val="auto"/>
        <w:rPr>
          <w:rFonts w:hint="eastAsia" w:ascii="仿宋_GB2312" w:hAnsi="Calibri" w:eastAsia="仿宋_GB2312" w:cs="Times New Roman"/>
          <w:b w:val="0"/>
          <w:bCs w:val="0"/>
          <w:color w:val="auto"/>
          <w:kern w:val="0"/>
          <w:sz w:val="32"/>
          <w:szCs w:val="24"/>
          <w:lang w:val="en-US" w:eastAsia="zh-CN"/>
        </w:rPr>
      </w:pPr>
      <w:r>
        <w:rPr>
          <w:rFonts w:hint="eastAsia" w:ascii="仿宋_GB2312" w:hAnsi="Calibri" w:eastAsia="仿宋_GB2312" w:cs="Times New Roman"/>
          <w:b/>
          <w:bCs/>
          <w:color w:val="auto"/>
          <w:kern w:val="0"/>
          <w:sz w:val="32"/>
          <w:szCs w:val="24"/>
          <w:lang w:val="en-US" w:eastAsia="zh-CN"/>
        </w:rPr>
        <w:t>第六条</w:t>
      </w:r>
      <w:r>
        <w:rPr>
          <w:rFonts w:hint="eastAsia" w:ascii="仿宋_GB2312" w:hAnsi="Calibri" w:eastAsia="仿宋_GB2312" w:cs="Times New Roman"/>
          <w:b w:val="0"/>
          <w:bCs w:val="0"/>
          <w:color w:val="auto"/>
          <w:kern w:val="0"/>
          <w:sz w:val="32"/>
          <w:szCs w:val="24"/>
          <w:lang w:val="en-US" w:eastAsia="zh-CN"/>
        </w:rPr>
        <w:t xml:space="preserve"> </w:t>
      </w:r>
      <w:r>
        <w:rPr>
          <w:rFonts w:hint="eastAsia" w:ascii="仿宋_GB2312" w:hAnsi="Calibri" w:eastAsia="仿宋_GB2312" w:cs="Times New Roman"/>
          <w:color w:val="auto"/>
          <w:kern w:val="0"/>
          <w:sz w:val="32"/>
          <w:szCs w:val="24"/>
          <w:lang w:val="en-US" w:eastAsia="zh-CN"/>
        </w:rPr>
        <w:t>申请认定为市级重点金融产业基地，应满足以下条件：</w:t>
      </w:r>
    </w:p>
    <w:p>
      <w:pPr>
        <w:keepNext w:val="0"/>
        <w:keepLines w:val="0"/>
        <w:pageBreakBefore w:val="0"/>
        <w:kinsoku/>
        <w:wordWrap/>
        <w:overflowPunct/>
        <w:topLinePunct w:val="0"/>
        <w:bidi w:val="0"/>
        <w:adjustRightInd/>
        <w:spacing w:line="560" w:lineRule="exact"/>
        <w:ind w:right="0" w:rightChars="0" w:firstLine="643" w:firstLineChars="200"/>
        <w:jc w:val="both"/>
        <w:textAlignment w:val="auto"/>
        <w:rPr>
          <w:rFonts w:hint="eastAsia" w:ascii="仿宋_GB2312" w:hAnsi="Calibri" w:eastAsia="仿宋_GB2312" w:cs="Times New Roman"/>
          <w:color w:val="auto"/>
          <w:kern w:val="0"/>
          <w:sz w:val="32"/>
          <w:szCs w:val="24"/>
          <w:lang w:val="en-US" w:eastAsia="zh-CN"/>
        </w:rPr>
      </w:pPr>
      <w:r>
        <w:rPr>
          <w:rFonts w:hint="eastAsia" w:ascii="仿宋_GB2312" w:hAnsi="Calibri" w:eastAsia="仿宋_GB2312" w:cs="Times New Roman"/>
          <w:b/>
          <w:bCs/>
          <w:color w:val="auto"/>
          <w:kern w:val="0"/>
          <w:sz w:val="32"/>
          <w:szCs w:val="24"/>
        </w:rPr>
        <w:t>（</w:t>
      </w:r>
      <w:r>
        <w:rPr>
          <w:rFonts w:hint="eastAsia" w:ascii="仿宋_GB2312" w:hAnsi="Calibri" w:eastAsia="仿宋_GB2312" w:cs="Times New Roman"/>
          <w:b/>
          <w:bCs/>
          <w:color w:val="auto"/>
          <w:kern w:val="0"/>
          <w:sz w:val="32"/>
          <w:szCs w:val="24"/>
          <w:lang w:eastAsia="zh-CN"/>
        </w:rPr>
        <w:t>一</w:t>
      </w:r>
      <w:r>
        <w:rPr>
          <w:rFonts w:hint="eastAsia" w:ascii="仿宋_GB2312" w:hAnsi="Calibri" w:eastAsia="仿宋_GB2312" w:cs="Times New Roman"/>
          <w:b/>
          <w:bCs/>
          <w:color w:val="auto"/>
          <w:kern w:val="0"/>
          <w:sz w:val="32"/>
          <w:szCs w:val="24"/>
        </w:rPr>
        <w:t>）</w:t>
      </w:r>
      <w:r>
        <w:rPr>
          <w:rFonts w:hint="eastAsia" w:ascii="仿宋_GB2312" w:hAnsi="Calibri" w:eastAsia="仿宋_GB2312" w:cs="Times New Roman"/>
          <w:b/>
          <w:bCs/>
          <w:color w:val="auto"/>
          <w:kern w:val="0"/>
          <w:sz w:val="32"/>
          <w:szCs w:val="24"/>
          <w:lang w:eastAsia="zh-CN"/>
        </w:rPr>
        <w:t>建筑规模：</w:t>
      </w:r>
      <w:r>
        <w:rPr>
          <w:rFonts w:hint="eastAsia" w:ascii="仿宋_GB2312" w:hAnsi="Calibri" w:eastAsia="仿宋_GB2312" w:cs="Times New Roman"/>
          <w:b w:val="0"/>
          <w:bCs w:val="0"/>
          <w:color w:val="auto"/>
          <w:kern w:val="0"/>
          <w:sz w:val="32"/>
          <w:szCs w:val="24"/>
          <w:lang w:eastAsia="zh-CN"/>
        </w:rPr>
        <w:t>基地内楼宇的</w:t>
      </w:r>
      <w:r>
        <w:rPr>
          <w:rFonts w:hint="eastAsia" w:ascii="仿宋_GB2312" w:hAnsi="Calibri" w:eastAsia="仿宋_GB2312" w:cs="Times New Roman"/>
          <w:color w:val="auto"/>
          <w:kern w:val="0"/>
          <w:sz w:val="32"/>
          <w:szCs w:val="24"/>
          <w:lang w:eastAsia="zh-CN"/>
        </w:rPr>
        <w:t>总建筑面积原则上</w:t>
      </w:r>
      <w:r>
        <w:rPr>
          <w:rFonts w:hint="eastAsia" w:ascii="仿宋_GB2312" w:hAnsi="Calibri" w:eastAsia="仿宋_GB2312" w:cs="Times New Roman"/>
          <w:color w:val="auto"/>
          <w:kern w:val="0"/>
          <w:sz w:val="32"/>
          <w:szCs w:val="24"/>
          <w:lang w:val="en-US" w:eastAsia="zh-CN"/>
        </w:rPr>
        <w:t>不低于</w:t>
      </w:r>
      <w:r>
        <w:rPr>
          <w:rFonts w:hint="eastAsia" w:ascii="仿宋_GB2312" w:hAnsi="Calibri" w:eastAsia="仿宋_GB2312" w:cs="Times New Roman"/>
          <w:color w:val="auto"/>
          <w:kern w:val="0"/>
          <w:sz w:val="32"/>
          <w:szCs w:val="24"/>
          <w:highlight w:val="none"/>
          <w:lang w:val="en-US" w:eastAsia="zh-CN"/>
        </w:rPr>
        <w:t>125000</w:t>
      </w:r>
      <w:r>
        <w:rPr>
          <w:rFonts w:hint="eastAsia" w:ascii="仿宋_GB2312" w:hAnsi="Calibri" w:eastAsia="仿宋_GB2312" w:cs="Times New Roman"/>
          <w:color w:val="auto"/>
          <w:kern w:val="0"/>
          <w:sz w:val="32"/>
          <w:szCs w:val="24"/>
          <w:lang w:val="en-US" w:eastAsia="zh-CN"/>
        </w:rPr>
        <w:t>平方米。</w:t>
      </w:r>
    </w:p>
    <w:p>
      <w:pPr>
        <w:keepNext w:val="0"/>
        <w:keepLines w:val="0"/>
        <w:pageBreakBefore w:val="0"/>
        <w:kinsoku/>
        <w:wordWrap/>
        <w:overflowPunct/>
        <w:topLinePunct w:val="0"/>
        <w:bidi w:val="0"/>
        <w:adjustRightInd/>
        <w:spacing w:line="560" w:lineRule="exact"/>
        <w:ind w:right="0" w:rightChars="0" w:firstLine="643" w:firstLineChars="200"/>
        <w:jc w:val="both"/>
        <w:textAlignment w:val="auto"/>
        <w:rPr>
          <w:rFonts w:hint="eastAsia" w:ascii="仿宋_GB2312" w:hAnsi="Calibri" w:eastAsia="仿宋_GB2312" w:cs="Times New Roman"/>
          <w:b/>
          <w:bCs/>
          <w:color w:val="auto"/>
          <w:kern w:val="0"/>
          <w:sz w:val="32"/>
          <w:szCs w:val="24"/>
          <w:lang w:val="en-US" w:eastAsia="zh-CN"/>
        </w:rPr>
      </w:pPr>
      <w:r>
        <w:rPr>
          <w:rFonts w:hint="eastAsia" w:ascii="仿宋_GB2312" w:hAnsi="Calibri" w:eastAsia="仿宋_GB2312" w:cs="Times New Roman"/>
          <w:b/>
          <w:bCs/>
          <w:color w:val="auto"/>
          <w:kern w:val="0"/>
          <w:sz w:val="32"/>
          <w:szCs w:val="24"/>
          <w:lang w:val="en-US" w:eastAsia="zh-CN"/>
        </w:rPr>
        <w:t>（二）产业规模（满足以下任一条件均可）：</w:t>
      </w:r>
    </w:p>
    <w:p>
      <w:pPr>
        <w:keepNext w:val="0"/>
        <w:keepLines w:val="0"/>
        <w:pageBreakBefore w:val="0"/>
        <w:kinsoku/>
        <w:wordWrap/>
        <w:overflowPunct/>
        <w:topLinePunct w:val="0"/>
        <w:bidi w:val="0"/>
        <w:adjustRightInd/>
        <w:spacing w:line="560" w:lineRule="exact"/>
        <w:ind w:right="0" w:rightChars="0" w:firstLine="640" w:firstLineChars="200"/>
        <w:jc w:val="both"/>
        <w:textAlignment w:val="auto"/>
        <w:rPr>
          <w:rFonts w:hint="eastAsia" w:ascii="仿宋_GB2312" w:hAnsi="Calibri" w:eastAsia="仿宋_GB2312" w:cs="Times New Roman"/>
          <w:b w:val="0"/>
          <w:bCs w:val="0"/>
          <w:color w:val="auto"/>
          <w:kern w:val="0"/>
          <w:sz w:val="32"/>
          <w:szCs w:val="24"/>
          <w:lang w:val="en-US" w:eastAsia="zh-CN"/>
        </w:rPr>
      </w:pPr>
      <w:r>
        <w:rPr>
          <w:rFonts w:hint="eastAsia" w:ascii="仿宋_GB2312" w:hAnsi="Calibri" w:eastAsia="仿宋_GB2312" w:cs="Times New Roman"/>
          <w:b w:val="0"/>
          <w:bCs w:val="0"/>
          <w:color w:val="auto"/>
          <w:kern w:val="0"/>
          <w:sz w:val="32"/>
          <w:szCs w:val="24"/>
          <w:lang w:val="en-US" w:eastAsia="zh-CN"/>
        </w:rPr>
        <w:t>1.基地内金融企业上年度形成地方财力不低于12.5亿元，或</w:t>
      </w:r>
      <w:r>
        <w:rPr>
          <w:rFonts w:hint="eastAsia" w:ascii="仿宋_GB2312" w:hAnsi="Calibri" w:eastAsia="仿宋_GB2312" w:cs="Times New Roman"/>
          <w:color w:val="auto"/>
          <w:kern w:val="0"/>
          <w:sz w:val="32"/>
          <w:szCs w:val="24"/>
          <w:lang w:val="en-US" w:eastAsia="zh-CN"/>
        </w:rPr>
        <w:t>承诺认定后3年内，基地内金融企业形成地方财力年均不低于</w:t>
      </w:r>
      <w:r>
        <w:rPr>
          <w:rFonts w:hint="eastAsia" w:ascii="仿宋_GB2312" w:hAnsi="Calibri" w:eastAsia="仿宋_GB2312" w:cs="Times New Roman"/>
          <w:b w:val="0"/>
          <w:bCs w:val="0"/>
          <w:color w:val="auto"/>
          <w:kern w:val="0"/>
          <w:sz w:val="32"/>
          <w:szCs w:val="24"/>
          <w:lang w:val="en-US" w:eastAsia="zh-CN"/>
        </w:rPr>
        <w:t>12.5亿。</w:t>
      </w:r>
    </w:p>
    <w:p>
      <w:pPr>
        <w:keepNext w:val="0"/>
        <w:keepLines w:val="0"/>
        <w:pageBreakBefore w:val="0"/>
        <w:kinsoku/>
        <w:wordWrap/>
        <w:overflowPunct/>
        <w:topLinePunct w:val="0"/>
        <w:bidi w:val="0"/>
        <w:adjustRightInd/>
        <w:spacing w:line="560" w:lineRule="exact"/>
        <w:ind w:right="0" w:rightChars="0" w:firstLine="640" w:firstLineChars="200"/>
        <w:jc w:val="both"/>
        <w:textAlignment w:val="auto"/>
        <w:rPr>
          <w:rFonts w:hint="eastAsia" w:ascii="仿宋_GB2312" w:hAnsi="Calibri" w:eastAsia="仿宋_GB2312" w:cs="Times New Roman"/>
          <w:color w:val="auto"/>
          <w:kern w:val="0"/>
          <w:sz w:val="32"/>
          <w:szCs w:val="24"/>
          <w:lang w:val="en-US" w:eastAsia="zh-CN"/>
        </w:rPr>
      </w:pPr>
      <w:r>
        <w:rPr>
          <w:rFonts w:hint="eastAsia" w:ascii="仿宋_GB2312" w:hAnsi="Calibri" w:eastAsia="仿宋_GB2312" w:cs="Times New Roman"/>
          <w:b w:val="0"/>
          <w:bCs w:val="0"/>
          <w:color w:val="auto"/>
          <w:kern w:val="0"/>
          <w:sz w:val="32"/>
          <w:szCs w:val="24"/>
          <w:lang w:val="en-US" w:eastAsia="zh-CN"/>
        </w:rPr>
        <w:t>2.基地内入驻的持牌金融机构不低于15家，或</w:t>
      </w:r>
      <w:r>
        <w:rPr>
          <w:rFonts w:hint="eastAsia" w:ascii="仿宋_GB2312" w:hAnsi="Calibri" w:eastAsia="仿宋_GB2312" w:cs="Times New Roman"/>
          <w:color w:val="auto"/>
          <w:kern w:val="0"/>
          <w:sz w:val="32"/>
          <w:szCs w:val="24"/>
          <w:lang w:val="en-US" w:eastAsia="zh-CN"/>
        </w:rPr>
        <w:t>承诺认定后3年内，基地内实际入驻</w:t>
      </w:r>
      <w:r>
        <w:rPr>
          <w:rFonts w:hint="eastAsia" w:ascii="仿宋_GB2312" w:hAnsi="Calibri" w:eastAsia="仿宋_GB2312" w:cs="Times New Roman"/>
          <w:color w:val="auto"/>
          <w:kern w:val="0"/>
          <w:sz w:val="32"/>
          <w:szCs w:val="24"/>
          <w:highlight w:val="none"/>
          <w:lang w:val="en-US" w:eastAsia="zh-CN"/>
        </w:rPr>
        <w:t>的持牌金融机构不</w:t>
      </w:r>
      <w:r>
        <w:rPr>
          <w:rFonts w:hint="eastAsia" w:ascii="仿宋_GB2312" w:hAnsi="Calibri" w:eastAsia="仿宋_GB2312" w:cs="Times New Roman"/>
          <w:color w:val="auto"/>
          <w:kern w:val="0"/>
          <w:sz w:val="32"/>
          <w:szCs w:val="24"/>
          <w:lang w:val="en-US" w:eastAsia="zh-CN"/>
        </w:rPr>
        <w:t>低于15家。</w:t>
      </w:r>
    </w:p>
    <w:p>
      <w:pPr>
        <w:keepNext w:val="0"/>
        <w:keepLines w:val="0"/>
        <w:pageBreakBefore w:val="0"/>
        <w:kinsoku/>
        <w:wordWrap/>
        <w:overflowPunct/>
        <w:topLinePunct w:val="0"/>
        <w:bidi w:val="0"/>
        <w:adjustRightInd/>
        <w:spacing w:line="560" w:lineRule="exact"/>
        <w:ind w:right="0" w:rightChars="0" w:firstLine="643" w:firstLineChars="200"/>
        <w:jc w:val="both"/>
        <w:textAlignment w:val="auto"/>
        <w:rPr>
          <w:rFonts w:hint="eastAsia" w:ascii="仿宋_GB2312" w:hAnsi="Calibri" w:eastAsia="仿宋_GB2312" w:cs="Times New Roman"/>
          <w:b/>
          <w:bCs/>
          <w:color w:val="auto"/>
          <w:kern w:val="0"/>
          <w:sz w:val="32"/>
          <w:szCs w:val="24"/>
          <w:lang w:eastAsia="zh-CN"/>
        </w:rPr>
      </w:pPr>
      <w:r>
        <w:rPr>
          <w:rFonts w:hint="eastAsia" w:ascii="仿宋_GB2312" w:hAnsi="Calibri" w:eastAsia="仿宋_GB2312" w:cs="Times New Roman"/>
          <w:b/>
          <w:bCs/>
          <w:color w:val="auto"/>
          <w:kern w:val="0"/>
          <w:sz w:val="32"/>
          <w:szCs w:val="24"/>
          <w:lang w:eastAsia="zh-CN"/>
        </w:rPr>
        <w:t>（三）基地资质（同时满足以下条件）：</w:t>
      </w:r>
    </w:p>
    <w:p>
      <w:pPr>
        <w:keepNext w:val="0"/>
        <w:keepLines w:val="0"/>
        <w:pageBreakBefore w:val="0"/>
        <w:kinsoku/>
        <w:wordWrap/>
        <w:overflowPunct/>
        <w:topLinePunct w:val="0"/>
        <w:bidi w:val="0"/>
        <w:adjustRightInd/>
        <w:spacing w:line="560" w:lineRule="exact"/>
        <w:ind w:right="0" w:rightChars="0" w:firstLine="640" w:firstLineChars="200"/>
        <w:jc w:val="both"/>
        <w:textAlignment w:val="auto"/>
        <w:rPr>
          <w:rFonts w:hint="eastAsia" w:ascii="仿宋_GB2312" w:hAnsi="Calibri" w:eastAsia="仿宋_GB2312" w:cs="Times New Roman"/>
          <w:color w:val="auto"/>
          <w:kern w:val="0"/>
          <w:sz w:val="32"/>
          <w:szCs w:val="24"/>
          <w:lang w:val="en-US" w:eastAsia="zh-CN"/>
        </w:rPr>
      </w:pPr>
      <w:r>
        <w:rPr>
          <w:rFonts w:hint="eastAsia" w:ascii="仿宋_GB2312" w:hAnsi="Calibri" w:eastAsia="仿宋_GB2312" w:cs="Times New Roman"/>
          <w:color w:val="auto"/>
          <w:kern w:val="0"/>
          <w:sz w:val="32"/>
          <w:szCs w:val="24"/>
          <w:lang w:val="en-US" w:eastAsia="zh-CN"/>
        </w:rPr>
        <w:t>1.经市委市政府或区委区政府同意规划建设；有明确的规划定位及建设方案（包括地理区位、建筑面积、产业定位等信息）；</w:t>
      </w:r>
    </w:p>
    <w:p>
      <w:pPr>
        <w:keepNext w:val="0"/>
        <w:keepLines w:val="0"/>
        <w:pageBreakBefore w:val="0"/>
        <w:kinsoku/>
        <w:wordWrap/>
        <w:overflowPunct/>
        <w:topLinePunct w:val="0"/>
        <w:bidi w:val="0"/>
        <w:adjustRightInd/>
        <w:spacing w:line="560" w:lineRule="exact"/>
        <w:ind w:right="0" w:rightChars="0" w:firstLine="640" w:firstLineChars="200"/>
        <w:jc w:val="both"/>
        <w:textAlignment w:val="auto"/>
        <w:rPr>
          <w:rFonts w:hint="eastAsia" w:ascii="仿宋_GB2312" w:hAnsi="Calibri" w:eastAsia="仿宋_GB2312" w:cs="Times New Roman"/>
          <w:color w:val="auto"/>
          <w:kern w:val="0"/>
          <w:sz w:val="32"/>
          <w:szCs w:val="24"/>
        </w:rPr>
      </w:pPr>
      <w:r>
        <w:rPr>
          <w:rFonts w:hint="eastAsia" w:ascii="仿宋_GB2312" w:hAnsi="Calibri" w:eastAsia="仿宋_GB2312" w:cs="Times New Roman"/>
          <w:color w:val="auto"/>
          <w:kern w:val="0"/>
          <w:sz w:val="32"/>
          <w:szCs w:val="24"/>
          <w:lang w:val="en-US" w:eastAsia="zh-CN"/>
        </w:rPr>
        <w:t>2.</w:t>
      </w:r>
      <w:r>
        <w:rPr>
          <w:rFonts w:hint="eastAsia" w:ascii="仿宋_GB2312" w:hAnsi="Calibri" w:eastAsia="仿宋_GB2312" w:cs="Times New Roman"/>
          <w:color w:val="auto"/>
          <w:kern w:val="0"/>
          <w:sz w:val="32"/>
          <w:szCs w:val="24"/>
          <w:lang w:eastAsia="zh-CN"/>
        </w:rPr>
        <w:t>产业基地</w:t>
      </w:r>
      <w:r>
        <w:rPr>
          <w:rFonts w:hint="eastAsia" w:ascii="仿宋_GB2312" w:hAnsi="Calibri" w:eastAsia="仿宋_GB2312" w:cs="Times New Roman"/>
          <w:b w:val="0"/>
          <w:bCs w:val="0"/>
          <w:color w:val="auto"/>
          <w:kern w:val="0"/>
          <w:sz w:val="32"/>
          <w:szCs w:val="24"/>
          <w:lang w:eastAsia="zh-CN"/>
        </w:rPr>
        <w:t>内近两年</w:t>
      </w:r>
      <w:r>
        <w:rPr>
          <w:rFonts w:hint="eastAsia" w:ascii="仿宋_GB2312" w:hAnsi="Calibri" w:eastAsia="仿宋_GB2312" w:cs="Times New Roman"/>
          <w:color w:val="auto"/>
          <w:kern w:val="0"/>
          <w:sz w:val="32"/>
          <w:szCs w:val="24"/>
        </w:rPr>
        <w:t>无重大安全事故</w:t>
      </w:r>
      <w:r>
        <w:rPr>
          <w:rFonts w:hint="eastAsia" w:ascii="仿宋_GB2312" w:hAnsi="Calibri" w:eastAsia="仿宋_GB2312" w:cs="Times New Roman"/>
          <w:color w:val="auto"/>
          <w:kern w:val="0"/>
          <w:sz w:val="32"/>
          <w:szCs w:val="24"/>
          <w:lang w:eastAsia="zh-CN"/>
        </w:rPr>
        <w:t>、金融风险事故</w:t>
      </w:r>
      <w:r>
        <w:rPr>
          <w:rFonts w:hint="eastAsia" w:ascii="仿宋_GB2312" w:hAnsi="Calibri" w:eastAsia="仿宋_GB2312" w:cs="Times New Roman"/>
          <w:color w:val="auto"/>
          <w:kern w:val="0"/>
          <w:sz w:val="32"/>
          <w:szCs w:val="24"/>
        </w:rPr>
        <w:t>及社会不良事件发生；</w:t>
      </w:r>
    </w:p>
    <w:p>
      <w:pPr>
        <w:keepNext w:val="0"/>
        <w:keepLines w:val="0"/>
        <w:pageBreakBefore w:val="0"/>
        <w:kinsoku/>
        <w:wordWrap/>
        <w:overflowPunct/>
        <w:topLinePunct w:val="0"/>
        <w:bidi w:val="0"/>
        <w:adjustRightInd/>
        <w:spacing w:line="560" w:lineRule="exact"/>
        <w:ind w:right="0" w:rightChars="0" w:firstLine="640" w:firstLineChars="200"/>
        <w:jc w:val="both"/>
        <w:textAlignment w:val="auto"/>
        <w:rPr>
          <w:rFonts w:hint="eastAsia" w:ascii="仿宋_GB2312" w:hAnsi="Calibri" w:eastAsia="仿宋_GB2312" w:cs="Times New Roman"/>
          <w:color w:val="auto"/>
          <w:kern w:val="0"/>
          <w:sz w:val="32"/>
          <w:szCs w:val="24"/>
          <w:lang w:val="en-US" w:eastAsia="zh-CN"/>
        </w:rPr>
      </w:pPr>
      <w:r>
        <w:rPr>
          <w:rFonts w:hint="eastAsia" w:ascii="仿宋_GB2312" w:hAnsi="Calibri" w:eastAsia="仿宋_GB2312" w:cs="Times New Roman"/>
          <w:color w:val="auto"/>
          <w:kern w:val="0"/>
          <w:sz w:val="32"/>
          <w:szCs w:val="24"/>
          <w:lang w:val="en-US" w:eastAsia="zh-CN"/>
        </w:rPr>
        <w:t>3.</w:t>
      </w:r>
      <w:r>
        <w:rPr>
          <w:rFonts w:hint="eastAsia" w:ascii="仿宋_GB2312" w:hAnsi="Calibri" w:eastAsia="仿宋_GB2312" w:cs="Times New Roman"/>
          <w:color w:val="auto"/>
          <w:kern w:val="0"/>
          <w:sz w:val="32"/>
          <w:szCs w:val="24"/>
          <w:lang w:eastAsia="zh-CN"/>
        </w:rPr>
        <w:t>产业基地有</w:t>
      </w:r>
      <w:r>
        <w:rPr>
          <w:rFonts w:hint="eastAsia" w:ascii="仿宋_GB2312" w:hAnsi="Calibri" w:eastAsia="仿宋_GB2312" w:cs="Times New Roman"/>
          <w:color w:val="auto"/>
          <w:kern w:val="0"/>
          <w:sz w:val="32"/>
          <w:szCs w:val="24"/>
        </w:rPr>
        <w:t>健全的管理制度、规范的服务流程和服务</w:t>
      </w:r>
      <w:r>
        <w:rPr>
          <w:rFonts w:hint="eastAsia" w:ascii="仿宋_GB2312" w:hAnsi="Calibri" w:eastAsia="仿宋_GB2312" w:cs="Times New Roman"/>
          <w:color w:val="auto"/>
          <w:kern w:val="0"/>
          <w:sz w:val="32"/>
          <w:szCs w:val="24"/>
          <w:lang w:eastAsia="zh-CN"/>
        </w:rPr>
        <w:t>保障</w:t>
      </w:r>
      <w:r>
        <w:rPr>
          <w:rFonts w:hint="eastAsia" w:ascii="仿宋_GB2312" w:hAnsi="Calibri" w:eastAsia="仿宋_GB2312" w:cs="Times New Roman"/>
          <w:color w:val="auto"/>
          <w:kern w:val="0"/>
          <w:sz w:val="32"/>
          <w:szCs w:val="24"/>
        </w:rPr>
        <w:t>措施</w:t>
      </w:r>
      <w:r>
        <w:rPr>
          <w:rFonts w:hint="eastAsia" w:ascii="仿宋_GB2312" w:hAnsi="Calibri" w:eastAsia="仿宋_GB2312" w:cs="Times New Roman"/>
          <w:color w:val="auto"/>
          <w:kern w:val="0"/>
          <w:sz w:val="32"/>
          <w:szCs w:val="24"/>
          <w:lang w:eastAsia="zh-CN"/>
        </w:rPr>
        <w:t>，</w:t>
      </w:r>
      <w:r>
        <w:rPr>
          <w:rFonts w:hint="eastAsia" w:ascii="仿宋_GB2312" w:hAnsi="Calibri" w:eastAsia="仿宋_GB2312" w:cs="Times New Roman"/>
          <w:color w:val="auto"/>
          <w:kern w:val="0"/>
          <w:sz w:val="32"/>
          <w:szCs w:val="24"/>
          <w:lang w:val="en-US" w:eastAsia="zh-CN"/>
        </w:rPr>
        <w:t>具备成熟的机构入驻条件。</w:t>
      </w:r>
    </w:p>
    <w:p>
      <w:pPr>
        <w:keepNext w:val="0"/>
        <w:keepLines w:val="0"/>
        <w:pageBreakBefore w:val="0"/>
        <w:kinsoku/>
        <w:wordWrap/>
        <w:overflowPunct/>
        <w:topLinePunct w:val="0"/>
        <w:bidi w:val="0"/>
        <w:adjustRightInd/>
        <w:spacing w:line="560" w:lineRule="exact"/>
        <w:ind w:right="0" w:rightChars="0" w:firstLine="643" w:firstLineChars="200"/>
        <w:jc w:val="both"/>
        <w:textAlignment w:val="auto"/>
        <w:rPr>
          <w:rFonts w:hint="eastAsia" w:ascii="仿宋_GB2312" w:hAnsi="Calibri" w:eastAsia="仿宋_GB2312" w:cs="Times New Roman"/>
          <w:color w:val="auto"/>
          <w:kern w:val="0"/>
          <w:sz w:val="32"/>
          <w:szCs w:val="24"/>
          <w:lang w:val="en-US" w:eastAsia="zh-CN"/>
        </w:rPr>
      </w:pPr>
      <w:r>
        <w:rPr>
          <w:rFonts w:hint="eastAsia" w:ascii="仿宋_GB2312" w:hAnsi="Calibri" w:eastAsia="仿宋_GB2312" w:cs="Times New Roman"/>
          <w:b/>
          <w:bCs/>
          <w:color w:val="auto"/>
          <w:kern w:val="0"/>
          <w:sz w:val="32"/>
          <w:szCs w:val="24"/>
          <w:lang w:val="en-US" w:eastAsia="zh-CN"/>
        </w:rPr>
        <w:t xml:space="preserve">第七条 </w:t>
      </w:r>
      <w:r>
        <w:rPr>
          <w:rFonts w:hint="eastAsia" w:ascii="仿宋_GB2312" w:hAnsi="Calibri" w:eastAsia="仿宋_GB2312" w:cs="Times New Roman"/>
          <w:color w:val="auto"/>
          <w:kern w:val="0"/>
          <w:sz w:val="32"/>
          <w:szCs w:val="24"/>
          <w:lang w:val="en-US" w:eastAsia="zh-CN"/>
        </w:rPr>
        <w:t>申请认定为市级重点金融楼宇，应满足以下条件：</w:t>
      </w:r>
    </w:p>
    <w:p>
      <w:pPr>
        <w:keepNext w:val="0"/>
        <w:keepLines w:val="0"/>
        <w:pageBreakBefore w:val="0"/>
        <w:kinsoku/>
        <w:wordWrap/>
        <w:overflowPunct/>
        <w:topLinePunct w:val="0"/>
        <w:bidi w:val="0"/>
        <w:adjustRightInd/>
        <w:spacing w:line="560" w:lineRule="exact"/>
        <w:ind w:right="0" w:rightChars="0" w:firstLine="643" w:firstLineChars="200"/>
        <w:jc w:val="both"/>
        <w:textAlignment w:val="auto"/>
        <w:rPr>
          <w:rFonts w:hint="eastAsia" w:ascii="仿宋_GB2312" w:hAnsi="Calibri" w:eastAsia="仿宋_GB2312" w:cs="Times New Roman"/>
          <w:b w:val="0"/>
          <w:bCs w:val="0"/>
          <w:color w:val="auto"/>
          <w:kern w:val="0"/>
          <w:sz w:val="32"/>
          <w:szCs w:val="24"/>
          <w:lang w:val="en-US" w:eastAsia="zh-CN"/>
        </w:rPr>
      </w:pPr>
      <w:r>
        <w:rPr>
          <w:rFonts w:hint="eastAsia" w:ascii="仿宋_GB2312" w:hAnsi="Calibri" w:eastAsia="仿宋_GB2312" w:cs="Times New Roman"/>
          <w:b/>
          <w:bCs/>
          <w:color w:val="auto"/>
          <w:kern w:val="0"/>
          <w:sz w:val="32"/>
          <w:szCs w:val="24"/>
          <w:lang w:val="en-US" w:eastAsia="zh-CN"/>
        </w:rPr>
        <w:t>（一）建筑规模：</w:t>
      </w:r>
      <w:r>
        <w:rPr>
          <w:rFonts w:hint="eastAsia" w:ascii="仿宋_GB2312" w:hAnsi="Calibri" w:eastAsia="仿宋_GB2312" w:cs="Times New Roman"/>
          <w:color w:val="auto"/>
          <w:kern w:val="0"/>
          <w:sz w:val="32"/>
          <w:szCs w:val="24"/>
          <w:lang w:val="en-US" w:eastAsia="zh-CN"/>
        </w:rPr>
        <w:t>楼宇的</w:t>
      </w:r>
      <w:r>
        <w:rPr>
          <w:rFonts w:hint="eastAsia" w:ascii="仿宋_GB2312" w:hAnsi="Calibri" w:eastAsia="仿宋_GB2312" w:cs="Times New Roman"/>
          <w:color w:val="auto"/>
          <w:kern w:val="0"/>
          <w:sz w:val="32"/>
          <w:szCs w:val="24"/>
          <w:lang w:eastAsia="zh-CN"/>
        </w:rPr>
        <w:t>总建筑面积原则上</w:t>
      </w:r>
      <w:r>
        <w:rPr>
          <w:rFonts w:hint="eastAsia" w:ascii="仿宋_GB2312" w:hAnsi="Calibri" w:eastAsia="仿宋_GB2312" w:cs="Times New Roman"/>
          <w:color w:val="auto"/>
          <w:kern w:val="0"/>
          <w:sz w:val="32"/>
          <w:szCs w:val="24"/>
          <w:lang w:val="en-US" w:eastAsia="zh-CN"/>
        </w:rPr>
        <w:t>不低于</w:t>
      </w:r>
      <w:r>
        <w:rPr>
          <w:rFonts w:hint="eastAsia" w:ascii="仿宋_GB2312" w:hAnsi="Calibri" w:eastAsia="仿宋_GB2312" w:cs="Times New Roman"/>
          <w:color w:val="auto"/>
          <w:kern w:val="0"/>
          <w:sz w:val="32"/>
          <w:szCs w:val="24"/>
          <w:highlight w:val="none"/>
          <w:lang w:val="en-US" w:eastAsia="zh-CN"/>
        </w:rPr>
        <w:t>25000</w:t>
      </w:r>
      <w:r>
        <w:rPr>
          <w:rFonts w:hint="eastAsia" w:ascii="仿宋_GB2312" w:hAnsi="Calibri" w:eastAsia="仿宋_GB2312" w:cs="Times New Roman"/>
          <w:color w:val="auto"/>
          <w:kern w:val="0"/>
          <w:sz w:val="32"/>
          <w:szCs w:val="24"/>
          <w:lang w:val="en-US" w:eastAsia="zh-CN"/>
        </w:rPr>
        <w:t>平方米，对于金融产业规模（具体包括形成地方财力、入驻持牌金融数目、金融企业使用的办公面积占比）较大的楼宇，建筑规模可适当降低认定标准。</w:t>
      </w:r>
    </w:p>
    <w:p>
      <w:pPr>
        <w:keepNext w:val="0"/>
        <w:keepLines w:val="0"/>
        <w:pageBreakBefore w:val="0"/>
        <w:kinsoku/>
        <w:wordWrap/>
        <w:overflowPunct/>
        <w:topLinePunct w:val="0"/>
        <w:bidi w:val="0"/>
        <w:adjustRightInd/>
        <w:spacing w:line="560" w:lineRule="exact"/>
        <w:ind w:right="0" w:rightChars="0" w:firstLine="643" w:firstLineChars="200"/>
        <w:jc w:val="both"/>
        <w:textAlignment w:val="auto"/>
        <w:rPr>
          <w:rFonts w:hint="eastAsia" w:ascii="仿宋_GB2312" w:hAnsi="Calibri" w:eastAsia="仿宋_GB2312" w:cs="Times New Roman"/>
          <w:b/>
          <w:bCs/>
          <w:color w:val="auto"/>
          <w:kern w:val="0"/>
          <w:sz w:val="32"/>
          <w:szCs w:val="24"/>
          <w:lang w:val="en-US" w:eastAsia="zh-CN"/>
        </w:rPr>
      </w:pPr>
      <w:r>
        <w:rPr>
          <w:rFonts w:hint="eastAsia" w:ascii="仿宋_GB2312" w:hAnsi="Calibri" w:eastAsia="仿宋_GB2312" w:cs="Times New Roman"/>
          <w:b/>
          <w:bCs/>
          <w:color w:val="auto"/>
          <w:kern w:val="0"/>
          <w:sz w:val="32"/>
          <w:szCs w:val="24"/>
          <w:lang w:val="en-US" w:eastAsia="zh-CN"/>
        </w:rPr>
        <w:t>（二）产业规模（满足以下任一条件均可）：</w:t>
      </w:r>
    </w:p>
    <w:p>
      <w:pPr>
        <w:keepNext w:val="0"/>
        <w:keepLines w:val="0"/>
        <w:pageBreakBefore w:val="0"/>
        <w:kinsoku/>
        <w:wordWrap/>
        <w:overflowPunct/>
        <w:topLinePunct w:val="0"/>
        <w:bidi w:val="0"/>
        <w:adjustRightInd/>
        <w:spacing w:line="560" w:lineRule="exact"/>
        <w:ind w:right="0" w:rightChars="0" w:firstLine="640" w:firstLineChars="200"/>
        <w:jc w:val="both"/>
        <w:textAlignment w:val="auto"/>
        <w:rPr>
          <w:rFonts w:hint="eastAsia" w:ascii="仿宋_GB2312" w:hAnsi="Calibri" w:eastAsia="仿宋_GB2312" w:cs="Times New Roman"/>
          <w:b w:val="0"/>
          <w:bCs w:val="0"/>
          <w:color w:val="auto"/>
          <w:kern w:val="0"/>
          <w:sz w:val="32"/>
          <w:szCs w:val="24"/>
          <w:lang w:val="en-US" w:eastAsia="zh-CN"/>
        </w:rPr>
      </w:pPr>
      <w:r>
        <w:rPr>
          <w:rFonts w:hint="eastAsia" w:ascii="仿宋_GB2312" w:hAnsi="Calibri" w:eastAsia="仿宋_GB2312" w:cs="Times New Roman"/>
          <w:b w:val="0"/>
          <w:bCs w:val="0"/>
          <w:color w:val="auto"/>
          <w:kern w:val="0"/>
          <w:sz w:val="32"/>
          <w:szCs w:val="24"/>
          <w:lang w:val="en-US" w:eastAsia="zh-CN"/>
        </w:rPr>
        <w:t>1.楼宇内金融企业上年度形成地方财力不低于2.5亿元，或</w:t>
      </w:r>
      <w:r>
        <w:rPr>
          <w:rFonts w:hint="eastAsia" w:ascii="仿宋_GB2312" w:hAnsi="Calibri" w:eastAsia="仿宋_GB2312" w:cs="Times New Roman"/>
          <w:color w:val="auto"/>
          <w:kern w:val="0"/>
          <w:sz w:val="32"/>
          <w:szCs w:val="24"/>
          <w:lang w:val="en-US" w:eastAsia="zh-CN"/>
        </w:rPr>
        <w:t>承诺认定后3年内，楼宇内金融企业形成地方财力年均不低于</w:t>
      </w:r>
      <w:r>
        <w:rPr>
          <w:rFonts w:hint="eastAsia" w:ascii="仿宋_GB2312" w:hAnsi="Calibri" w:eastAsia="仿宋_GB2312" w:cs="Times New Roman"/>
          <w:b w:val="0"/>
          <w:bCs w:val="0"/>
          <w:color w:val="auto"/>
          <w:kern w:val="0"/>
          <w:sz w:val="32"/>
          <w:szCs w:val="24"/>
          <w:lang w:val="en-US" w:eastAsia="zh-CN"/>
        </w:rPr>
        <w:t>2.5亿。</w:t>
      </w:r>
    </w:p>
    <w:p>
      <w:pPr>
        <w:keepNext w:val="0"/>
        <w:keepLines w:val="0"/>
        <w:pageBreakBefore w:val="0"/>
        <w:kinsoku/>
        <w:wordWrap/>
        <w:overflowPunct/>
        <w:topLinePunct w:val="0"/>
        <w:bidi w:val="0"/>
        <w:adjustRightInd/>
        <w:spacing w:line="560" w:lineRule="exact"/>
        <w:ind w:right="0" w:rightChars="0" w:firstLine="640" w:firstLineChars="200"/>
        <w:jc w:val="both"/>
        <w:textAlignment w:val="auto"/>
        <w:rPr>
          <w:rFonts w:hint="eastAsia" w:ascii="仿宋_GB2312" w:hAnsi="Calibri" w:eastAsia="仿宋_GB2312" w:cs="Times New Roman"/>
          <w:color w:val="auto"/>
          <w:kern w:val="0"/>
          <w:sz w:val="32"/>
          <w:szCs w:val="24"/>
          <w:lang w:val="en-US" w:eastAsia="zh-CN"/>
        </w:rPr>
      </w:pPr>
      <w:r>
        <w:rPr>
          <w:rFonts w:hint="eastAsia" w:ascii="仿宋_GB2312" w:hAnsi="Calibri" w:eastAsia="仿宋_GB2312" w:cs="Times New Roman"/>
          <w:b w:val="0"/>
          <w:bCs w:val="0"/>
          <w:color w:val="auto"/>
          <w:kern w:val="0"/>
          <w:sz w:val="32"/>
          <w:szCs w:val="24"/>
          <w:lang w:val="en-US" w:eastAsia="zh-CN"/>
        </w:rPr>
        <w:t>2.楼宇内入驻的持牌金融机构不低于3家，或</w:t>
      </w:r>
      <w:r>
        <w:rPr>
          <w:rFonts w:hint="eastAsia" w:ascii="仿宋_GB2312" w:hAnsi="Calibri" w:eastAsia="仿宋_GB2312" w:cs="Times New Roman"/>
          <w:color w:val="auto"/>
          <w:kern w:val="0"/>
          <w:sz w:val="32"/>
          <w:szCs w:val="24"/>
          <w:lang w:val="en-US" w:eastAsia="zh-CN"/>
        </w:rPr>
        <w:t>承诺认定后3年内，楼宇内实际入驻</w:t>
      </w:r>
      <w:r>
        <w:rPr>
          <w:rFonts w:hint="eastAsia" w:ascii="仿宋_GB2312" w:hAnsi="Calibri" w:eastAsia="仿宋_GB2312" w:cs="Times New Roman"/>
          <w:color w:val="auto"/>
          <w:kern w:val="0"/>
          <w:sz w:val="32"/>
          <w:szCs w:val="24"/>
          <w:highlight w:val="none"/>
          <w:lang w:val="en-US" w:eastAsia="zh-CN"/>
        </w:rPr>
        <w:t>的持牌金融机构不</w:t>
      </w:r>
      <w:r>
        <w:rPr>
          <w:rFonts w:hint="eastAsia" w:ascii="仿宋_GB2312" w:hAnsi="Calibri" w:eastAsia="仿宋_GB2312" w:cs="Times New Roman"/>
          <w:color w:val="auto"/>
          <w:kern w:val="0"/>
          <w:sz w:val="32"/>
          <w:szCs w:val="24"/>
          <w:lang w:val="en-US" w:eastAsia="zh-CN"/>
        </w:rPr>
        <w:t>低于3家。</w:t>
      </w:r>
    </w:p>
    <w:p>
      <w:pPr>
        <w:keepNext w:val="0"/>
        <w:keepLines w:val="0"/>
        <w:pageBreakBefore w:val="0"/>
        <w:kinsoku/>
        <w:wordWrap/>
        <w:overflowPunct/>
        <w:topLinePunct w:val="0"/>
        <w:bidi w:val="0"/>
        <w:adjustRightInd/>
        <w:spacing w:line="560" w:lineRule="exact"/>
        <w:ind w:right="0" w:rightChars="0" w:firstLine="640" w:firstLineChars="200"/>
        <w:jc w:val="both"/>
        <w:textAlignment w:val="auto"/>
        <w:rPr>
          <w:rFonts w:hint="eastAsia" w:ascii="仿宋_GB2312" w:hAnsi="Calibri" w:eastAsia="仿宋_GB2312" w:cs="Times New Roman"/>
          <w:color w:val="auto"/>
          <w:kern w:val="0"/>
          <w:sz w:val="32"/>
          <w:szCs w:val="24"/>
          <w:highlight w:val="none"/>
          <w:lang w:val="en-US" w:eastAsia="zh-CN"/>
        </w:rPr>
      </w:pPr>
      <w:r>
        <w:rPr>
          <w:rFonts w:hint="eastAsia" w:ascii="仿宋_GB2312" w:hAnsi="Calibri" w:eastAsia="仿宋_GB2312" w:cs="Times New Roman"/>
          <w:color w:val="auto"/>
          <w:kern w:val="0"/>
          <w:sz w:val="32"/>
          <w:szCs w:val="24"/>
          <w:lang w:val="en-US" w:eastAsia="zh-CN"/>
        </w:rPr>
        <w:t>3.入驻金融企业使用的办公面积不低于楼宇总办公面积的60%，或承诺认定后3年内，入驻金融企业实际使用的办公面积不低于楼宇总办公面积的60%</w:t>
      </w:r>
      <w:r>
        <w:rPr>
          <w:rFonts w:hint="eastAsia" w:ascii="仿宋_GB2312" w:hAnsi="Calibri" w:eastAsia="仿宋_GB2312" w:cs="Times New Roman"/>
          <w:color w:val="auto"/>
          <w:kern w:val="0"/>
          <w:sz w:val="32"/>
          <w:szCs w:val="24"/>
          <w:highlight w:val="none"/>
          <w:lang w:val="en-US" w:eastAsia="zh-CN"/>
        </w:rPr>
        <w:t>。</w:t>
      </w:r>
    </w:p>
    <w:p>
      <w:pPr>
        <w:keepNext w:val="0"/>
        <w:keepLines w:val="0"/>
        <w:pageBreakBefore w:val="0"/>
        <w:kinsoku/>
        <w:wordWrap/>
        <w:overflowPunct/>
        <w:topLinePunct w:val="0"/>
        <w:bidi w:val="0"/>
        <w:adjustRightInd/>
        <w:spacing w:line="560" w:lineRule="exact"/>
        <w:ind w:right="0" w:rightChars="0" w:firstLine="643" w:firstLineChars="200"/>
        <w:jc w:val="both"/>
        <w:textAlignment w:val="auto"/>
        <w:rPr>
          <w:rFonts w:hint="eastAsia" w:ascii="仿宋_GB2312" w:hAnsi="Calibri" w:eastAsia="仿宋_GB2312" w:cs="Times New Roman"/>
          <w:b/>
          <w:bCs/>
          <w:color w:val="auto"/>
          <w:kern w:val="0"/>
          <w:sz w:val="32"/>
          <w:szCs w:val="24"/>
          <w:lang w:eastAsia="zh-CN"/>
        </w:rPr>
      </w:pPr>
      <w:r>
        <w:rPr>
          <w:rFonts w:hint="eastAsia" w:ascii="仿宋_GB2312" w:hAnsi="Calibri" w:eastAsia="仿宋_GB2312" w:cs="Times New Roman"/>
          <w:b/>
          <w:bCs/>
          <w:color w:val="auto"/>
          <w:kern w:val="0"/>
          <w:sz w:val="32"/>
          <w:szCs w:val="24"/>
          <w:lang w:eastAsia="zh-CN"/>
        </w:rPr>
        <w:t>（三）楼宇资质（同时满足以下条件）：</w:t>
      </w:r>
    </w:p>
    <w:p>
      <w:pPr>
        <w:keepNext w:val="0"/>
        <w:keepLines w:val="0"/>
        <w:pageBreakBefore w:val="0"/>
        <w:kinsoku/>
        <w:wordWrap/>
        <w:overflowPunct/>
        <w:topLinePunct w:val="0"/>
        <w:bidi w:val="0"/>
        <w:adjustRightInd/>
        <w:spacing w:line="560" w:lineRule="exact"/>
        <w:ind w:right="0" w:rightChars="0" w:firstLine="640" w:firstLineChars="200"/>
        <w:jc w:val="both"/>
        <w:textAlignment w:val="auto"/>
        <w:rPr>
          <w:rFonts w:hint="eastAsia" w:ascii="仿宋_GB2312" w:hAnsi="Calibri" w:eastAsia="仿宋_GB2312" w:cs="Times New Roman"/>
          <w:b w:val="0"/>
          <w:bCs w:val="0"/>
          <w:color w:val="auto"/>
          <w:kern w:val="0"/>
          <w:sz w:val="32"/>
          <w:szCs w:val="24"/>
          <w:lang w:eastAsia="zh-CN"/>
        </w:rPr>
      </w:pPr>
      <w:r>
        <w:rPr>
          <w:rFonts w:hint="eastAsia" w:ascii="仿宋_GB2312" w:hAnsi="Calibri" w:eastAsia="仿宋_GB2312" w:cs="Times New Roman"/>
          <w:b w:val="0"/>
          <w:bCs w:val="0"/>
          <w:color w:val="auto"/>
          <w:kern w:val="0"/>
          <w:sz w:val="32"/>
          <w:szCs w:val="24"/>
          <w:lang w:val="en-US" w:eastAsia="zh-CN"/>
        </w:rPr>
        <w:t>1.</w:t>
      </w:r>
      <w:r>
        <w:rPr>
          <w:rFonts w:hint="eastAsia" w:ascii="仿宋_GB2312" w:hAnsi="Calibri" w:eastAsia="仿宋_GB2312" w:cs="Times New Roman"/>
          <w:b w:val="0"/>
          <w:bCs w:val="0"/>
          <w:color w:val="auto"/>
          <w:kern w:val="0"/>
          <w:sz w:val="32"/>
          <w:szCs w:val="24"/>
          <w:lang w:eastAsia="zh-CN"/>
        </w:rPr>
        <w:t>楼宇不属于金融总部用地项目；</w:t>
      </w:r>
    </w:p>
    <w:p>
      <w:pPr>
        <w:keepNext w:val="0"/>
        <w:keepLines w:val="0"/>
        <w:pageBreakBefore w:val="0"/>
        <w:kinsoku/>
        <w:wordWrap/>
        <w:overflowPunct/>
        <w:topLinePunct w:val="0"/>
        <w:bidi w:val="0"/>
        <w:adjustRightInd/>
        <w:spacing w:line="560" w:lineRule="exact"/>
        <w:ind w:right="0" w:rightChars="0" w:firstLine="640" w:firstLineChars="200"/>
        <w:jc w:val="both"/>
        <w:textAlignment w:val="auto"/>
        <w:rPr>
          <w:rFonts w:hint="eastAsia" w:ascii="仿宋_GB2312" w:hAnsi="Calibri" w:eastAsia="仿宋_GB2312" w:cs="Times New Roman"/>
          <w:color w:val="auto"/>
          <w:kern w:val="0"/>
          <w:sz w:val="32"/>
          <w:szCs w:val="24"/>
        </w:rPr>
      </w:pPr>
      <w:r>
        <w:rPr>
          <w:rFonts w:hint="eastAsia" w:ascii="仿宋_GB2312" w:hAnsi="Calibri" w:eastAsia="仿宋_GB2312" w:cs="Times New Roman"/>
          <w:b w:val="0"/>
          <w:bCs w:val="0"/>
          <w:color w:val="auto"/>
          <w:kern w:val="0"/>
          <w:sz w:val="32"/>
          <w:szCs w:val="24"/>
          <w:lang w:val="en-US" w:eastAsia="zh-CN"/>
        </w:rPr>
        <w:t>2.</w:t>
      </w:r>
      <w:r>
        <w:rPr>
          <w:rFonts w:hint="eastAsia" w:ascii="仿宋_GB2312" w:hAnsi="Calibri" w:eastAsia="仿宋_GB2312" w:cs="Times New Roman"/>
          <w:b w:val="0"/>
          <w:bCs w:val="0"/>
          <w:color w:val="auto"/>
          <w:kern w:val="0"/>
          <w:sz w:val="32"/>
          <w:szCs w:val="24"/>
          <w:lang w:eastAsia="zh-CN"/>
        </w:rPr>
        <w:t>楼宇不在市级重点金融产业基地内；楼宇内近两年</w:t>
      </w:r>
      <w:r>
        <w:rPr>
          <w:rFonts w:hint="eastAsia" w:ascii="仿宋_GB2312" w:hAnsi="Calibri" w:eastAsia="仿宋_GB2312" w:cs="Times New Roman"/>
          <w:color w:val="auto"/>
          <w:kern w:val="0"/>
          <w:sz w:val="32"/>
          <w:szCs w:val="24"/>
        </w:rPr>
        <w:t>无重大安全事故</w:t>
      </w:r>
      <w:r>
        <w:rPr>
          <w:rFonts w:hint="eastAsia" w:ascii="仿宋_GB2312" w:hAnsi="Calibri" w:eastAsia="仿宋_GB2312" w:cs="Times New Roman"/>
          <w:color w:val="auto"/>
          <w:kern w:val="0"/>
          <w:sz w:val="32"/>
          <w:szCs w:val="24"/>
          <w:lang w:eastAsia="zh-CN"/>
        </w:rPr>
        <w:t>、金融风险事故</w:t>
      </w:r>
      <w:r>
        <w:rPr>
          <w:rFonts w:hint="eastAsia" w:ascii="仿宋_GB2312" w:hAnsi="Calibri" w:eastAsia="仿宋_GB2312" w:cs="Times New Roman"/>
          <w:color w:val="auto"/>
          <w:kern w:val="0"/>
          <w:sz w:val="32"/>
          <w:szCs w:val="24"/>
        </w:rPr>
        <w:t>及社会不良事件发生；</w:t>
      </w:r>
    </w:p>
    <w:p>
      <w:pPr>
        <w:keepNext w:val="0"/>
        <w:keepLines w:val="0"/>
        <w:pageBreakBefore w:val="0"/>
        <w:kinsoku/>
        <w:wordWrap/>
        <w:overflowPunct/>
        <w:topLinePunct w:val="0"/>
        <w:bidi w:val="0"/>
        <w:adjustRightInd/>
        <w:spacing w:line="560" w:lineRule="exact"/>
        <w:ind w:right="0" w:rightChars="0" w:firstLine="640" w:firstLineChars="200"/>
        <w:jc w:val="both"/>
        <w:textAlignment w:val="auto"/>
        <w:rPr>
          <w:rFonts w:hint="eastAsia" w:ascii="仿宋_GB2312" w:hAnsi="Calibri" w:eastAsia="仿宋_GB2312" w:cs="Times New Roman"/>
          <w:color w:val="auto"/>
          <w:kern w:val="0"/>
          <w:sz w:val="32"/>
          <w:szCs w:val="24"/>
          <w:lang w:val="en-US" w:eastAsia="zh-CN"/>
        </w:rPr>
      </w:pPr>
      <w:r>
        <w:rPr>
          <w:rFonts w:hint="eastAsia" w:ascii="仿宋_GB2312" w:hAnsi="Calibri" w:eastAsia="仿宋_GB2312" w:cs="Times New Roman"/>
          <w:color w:val="auto"/>
          <w:kern w:val="0"/>
          <w:sz w:val="32"/>
          <w:szCs w:val="24"/>
          <w:lang w:val="en-US" w:eastAsia="zh-CN"/>
        </w:rPr>
        <w:t>3.</w:t>
      </w:r>
      <w:r>
        <w:rPr>
          <w:rFonts w:hint="eastAsia" w:ascii="仿宋_GB2312" w:hAnsi="Calibri" w:eastAsia="仿宋_GB2312" w:cs="Times New Roman"/>
          <w:color w:val="auto"/>
          <w:kern w:val="0"/>
          <w:sz w:val="32"/>
          <w:szCs w:val="24"/>
          <w:lang w:eastAsia="zh-CN"/>
        </w:rPr>
        <w:t>楼宇有专门的运营机构、</w:t>
      </w:r>
      <w:r>
        <w:rPr>
          <w:rFonts w:hint="eastAsia" w:ascii="仿宋_GB2312" w:hAnsi="Calibri" w:eastAsia="仿宋_GB2312" w:cs="Times New Roman"/>
          <w:color w:val="auto"/>
          <w:kern w:val="0"/>
          <w:sz w:val="32"/>
          <w:szCs w:val="24"/>
        </w:rPr>
        <w:t>健全的管理制度、规范的服务流程和服务</w:t>
      </w:r>
      <w:r>
        <w:rPr>
          <w:rFonts w:hint="eastAsia" w:ascii="仿宋_GB2312" w:hAnsi="Calibri" w:eastAsia="仿宋_GB2312" w:cs="Times New Roman"/>
          <w:color w:val="auto"/>
          <w:kern w:val="0"/>
          <w:sz w:val="32"/>
          <w:szCs w:val="24"/>
          <w:lang w:eastAsia="zh-CN"/>
        </w:rPr>
        <w:t>保障</w:t>
      </w:r>
      <w:r>
        <w:rPr>
          <w:rFonts w:hint="eastAsia" w:ascii="仿宋_GB2312" w:hAnsi="Calibri" w:eastAsia="仿宋_GB2312" w:cs="Times New Roman"/>
          <w:color w:val="auto"/>
          <w:kern w:val="0"/>
          <w:sz w:val="32"/>
          <w:szCs w:val="24"/>
        </w:rPr>
        <w:t>措施</w:t>
      </w:r>
      <w:r>
        <w:rPr>
          <w:rFonts w:hint="eastAsia" w:ascii="仿宋_GB2312" w:hAnsi="Calibri" w:eastAsia="仿宋_GB2312" w:cs="Times New Roman"/>
          <w:color w:val="auto"/>
          <w:kern w:val="0"/>
          <w:sz w:val="32"/>
          <w:szCs w:val="24"/>
          <w:lang w:eastAsia="zh-CN"/>
        </w:rPr>
        <w:t>，</w:t>
      </w:r>
      <w:r>
        <w:rPr>
          <w:rFonts w:hint="eastAsia" w:ascii="仿宋_GB2312" w:hAnsi="Calibri" w:eastAsia="仿宋_GB2312" w:cs="Times New Roman"/>
          <w:color w:val="auto"/>
          <w:kern w:val="0"/>
          <w:sz w:val="32"/>
          <w:szCs w:val="24"/>
          <w:lang w:val="en-US" w:eastAsia="zh-CN"/>
        </w:rPr>
        <w:t>具备成熟的机构入驻条件。</w:t>
      </w:r>
    </w:p>
    <w:p>
      <w:pPr>
        <w:keepNext w:val="0"/>
        <w:keepLines w:val="0"/>
        <w:pageBreakBefore w:val="0"/>
        <w:numPr>
          <w:ilvl w:val="-1"/>
          <w:numId w:val="0"/>
        </w:numPr>
        <w:kinsoku/>
        <w:wordWrap/>
        <w:overflowPunct/>
        <w:topLinePunct w:val="0"/>
        <w:bidi w:val="0"/>
        <w:adjustRightInd/>
        <w:spacing w:line="560" w:lineRule="exact"/>
        <w:ind w:right="0" w:rightChars="0" w:firstLine="643" w:firstLineChars="200"/>
        <w:jc w:val="both"/>
        <w:textAlignment w:val="auto"/>
        <w:rPr>
          <w:rFonts w:hint="eastAsia" w:ascii="仿宋_GB2312" w:hAnsi="Calibri" w:eastAsia="仿宋_GB2312" w:cs="Times New Roman"/>
          <w:b/>
          <w:bCs/>
          <w:color w:val="auto"/>
          <w:kern w:val="0"/>
          <w:sz w:val="32"/>
          <w:szCs w:val="24"/>
          <w:lang w:val="en-US" w:eastAsia="zh-CN"/>
        </w:rPr>
      </w:pPr>
      <w:r>
        <w:rPr>
          <w:rFonts w:hint="eastAsia" w:ascii="仿宋_GB2312" w:hAnsi="Calibri" w:eastAsia="仿宋_GB2312" w:cs="Times New Roman"/>
          <w:b/>
          <w:bCs/>
          <w:color w:val="auto"/>
          <w:kern w:val="0"/>
          <w:sz w:val="32"/>
          <w:szCs w:val="24"/>
          <w:lang w:val="en-US" w:eastAsia="zh-CN"/>
        </w:rPr>
        <w:t xml:space="preserve">第八条 </w:t>
      </w:r>
      <w:r>
        <w:rPr>
          <w:rFonts w:hint="eastAsia" w:ascii="仿宋_GB2312" w:hAnsi="Calibri" w:eastAsia="仿宋_GB2312" w:cs="Times New Roman"/>
          <w:b w:val="0"/>
          <w:bCs w:val="0"/>
          <w:color w:val="auto"/>
          <w:kern w:val="0"/>
          <w:sz w:val="32"/>
          <w:szCs w:val="24"/>
          <w:lang w:val="en-US" w:eastAsia="zh-CN"/>
        </w:rPr>
        <w:t>金融总部用地项目的用</w:t>
      </w:r>
      <w:r>
        <w:rPr>
          <w:rFonts w:hint="eastAsia" w:ascii="仿宋_GB2312" w:hAnsi="Calibri" w:eastAsia="仿宋_GB2312" w:cs="Times New Roman"/>
          <w:b w:val="0"/>
          <w:bCs w:val="0"/>
          <w:color w:val="auto"/>
          <w:kern w:val="0"/>
          <w:sz w:val="32"/>
          <w:szCs w:val="24"/>
          <w:highlight w:val="none"/>
          <w:lang w:val="en-US" w:eastAsia="zh-CN"/>
        </w:rPr>
        <w:t>地申报主体</w:t>
      </w:r>
      <w:r>
        <w:rPr>
          <w:rFonts w:hint="eastAsia" w:ascii="仿宋_GB2312" w:hAnsi="Calibri" w:eastAsia="仿宋_GB2312" w:cs="Times New Roman"/>
          <w:color w:val="auto"/>
          <w:kern w:val="0"/>
          <w:sz w:val="32"/>
          <w:szCs w:val="24"/>
          <w:lang w:val="en-US" w:eastAsia="zh-CN"/>
        </w:rPr>
        <w:t>满足深圳市总部认定标准且通过市发改委关于总部企业的资格复查，金融总部用地项目可申请认定为</w:t>
      </w:r>
      <w:r>
        <w:rPr>
          <w:rFonts w:hint="eastAsia" w:ascii="仿宋_GB2312" w:hAnsi="Calibri" w:eastAsia="仿宋_GB2312" w:cs="Times New Roman"/>
          <w:b w:val="0"/>
          <w:bCs w:val="0"/>
          <w:color w:val="auto"/>
          <w:kern w:val="0"/>
          <w:sz w:val="32"/>
          <w:szCs w:val="24"/>
          <w:lang w:val="en-US" w:eastAsia="zh-CN"/>
        </w:rPr>
        <w:t>市级重点金融楼宇</w:t>
      </w:r>
      <w:r>
        <w:rPr>
          <w:rFonts w:hint="eastAsia" w:ascii="仿宋_GB2312" w:hAnsi="Calibri" w:eastAsia="仿宋_GB2312" w:cs="Times New Roman"/>
          <w:color w:val="auto"/>
          <w:kern w:val="0"/>
          <w:sz w:val="32"/>
          <w:szCs w:val="24"/>
          <w:lang w:val="en-US" w:eastAsia="zh-CN"/>
        </w:rPr>
        <w:t>。</w:t>
      </w:r>
    </w:p>
    <w:p>
      <w:pPr>
        <w:keepNext w:val="0"/>
        <w:keepLines w:val="0"/>
        <w:pageBreakBefore w:val="0"/>
        <w:numPr>
          <w:ilvl w:val="-1"/>
          <w:numId w:val="0"/>
        </w:numPr>
        <w:kinsoku/>
        <w:wordWrap/>
        <w:overflowPunct/>
        <w:topLinePunct w:val="0"/>
        <w:bidi w:val="0"/>
        <w:adjustRightInd/>
        <w:spacing w:line="560" w:lineRule="exact"/>
        <w:ind w:right="0" w:rightChars="0" w:firstLine="643" w:firstLineChars="200"/>
        <w:jc w:val="both"/>
        <w:textAlignment w:val="auto"/>
        <w:rPr>
          <w:rFonts w:hint="eastAsia" w:ascii="仿宋_GB2312" w:hAnsi="Calibri" w:eastAsia="仿宋_GB2312" w:cs="Times New Roman"/>
          <w:color w:val="auto"/>
          <w:kern w:val="0"/>
          <w:sz w:val="32"/>
          <w:szCs w:val="24"/>
          <w:lang w:val="en-US" w:eastAsia="zh-CN"/>
        </w:rPr>
      </w:pPr>
      <w:r>
        <w:rPr>
          <w:rFonts w:hint="eastAsia" w:ascii="仿宋_GB2312" w:hAnsi="Calibri" w:eastAsia="仿宋_GB2312" w:cs="Times New Roman"/>
          <w:b/>
          <w:bCs/>
          <w:color w:val="auto"/>
          <w:kern w:val="0"/>
          <w:sz w:val="32"/>
          <w:szCs w:val="24"/>
          <w:lang w:val="en-US" w:eastAsia="zh-CN"/>
        </w:rPr>
        <w:t>第九条</w:t>
      </w:r>
      <w:r>
        <w:rPr>
          <w:rFonts w:hint="eastAsia" w:ascii="仿宋_GB2312" w:hAnsi="Calibri" w:eastAsia="仿宋_GB2312" w:cs="Times New Roman"/>
          <w:color w:val="auto"/>
          <w:kern w:val="0"/>
          <w:sz w:val="32"/>
          <w:szCs w:val="24"/>
          <w:lang w:val="en-US" w:eastAsia="zh-CN"/>
        </w:rPr>
        <w:t xml:space="preserve"> 各区无符合第六条、第七条、第八条相关规定的产业基地或楼宇，可根据本区产业规划和实际情况，推荐1个市级重点金融楼宇名单，推荐申报楼宇需满足第七条关于楼宇资质的相关要求。</w:t>
      </w:r>
    </w:p>
    <w:p>
      <w:pPr>
        <w:keepNext w:val="0"/>
        <w:keepLines w:val="0"/>
        <w:pageBreakBefore w:val="0"/>
        <w:numPr>
          <w:ilvl w:val="-1"/>
          <w:numId w:val="0"/>
        </w:numPr>
        <w:kinsoku/>
        <w:wordWrap/>
        <w:overflowPunct/>
        <w:topLinePunct w:val="0"/>
        <w:bidi w:val="0"/>
        <w:adjustRightInd/>
        <w:spacing w:line="560" w:lineRule="exact"/>
        <w:ind w:right="0" w:rightChars="0" w:firstLine="640" w:firstLineChars="200"/>
        <w:jc w:val="both"/>
        <w:textAlignment w:val="auto"/>
        <w:rPr>
          <w:rFonts w:hint="eastAsia" w:ascii="仿宋_GB2312" w:hAnsi="Calibri" w:eastAsia="仿宋_GB2312" w:cs="Times New Roman"/>
          <w:color w:val="auto"/>
          <w:kern w:val="0"/>
          <w:sz w:val="32"/>
          <w:szCs w:val="24"/>
          <w:lang w:val="en-US" w:eastAsia="zh-CN"/>
        </w:rPr>
      </w:pPr>
    </w:p>
    <w:p>
      <w:pPr>
        <w:keepNext w:val="0"/>
        <w:keepLines w:val="0"/>
        <w:pageBreakBefore w:val="0"/>
        <w:numPr>
          <w:ilvl w:val="0"/>
          <w:numId w:val="1"/>
        </w:numPr>
        <w:kinsoku/>
        <w:wordWrap/>
        <w:overflowPunct/>
        <w:topLinePunct w:val="0"/>
        <w:bidi w:val="0"/>
        <w:adjustRightInd/>
        <w:spacing w:line="560" w:lineRule="exact"/>
        <w:ind w:right="0" w:rightChars="0"/>
        <w:jc w:val="center"/>
        <w:textAlignment w:val="auto"/>
        <w:rPr>
          <w:rFonts w:hint="eastAsia" w:ascii="黑体" w:hAnsi="黑体" w:eastAsia="黑体" w:cs="Times New Roman"/>
          <w:color w:val="auto"/>
          <w:kern w:val="0"/>
          <w:sz w:val="32"/>
          <w:szCs w:val="24"/>
          <w:lang w:val="en-US" w:eastAsia="zh-CN"/>
        </w:rPr>
      </w:pPr>
      <w:r>
        <w:rPr>
          <w:rFonts w:hint="eastAsia" w:ascii="黑体" w:hAnsi="黑体" w:eastAsia="黑体" w:cs="Times New Roman"/>
          <w:color w:val="auto"/>
          <w:kern w:val="0"/>
          <w:sz w:val="32"/>
          <w:szCs w:val="24"/>
          <w:lang w:val="en-US" w:eastAsia="zh-CN"/>
        </w:rPr>
        <w:t>申报时间及材料</w:t>
      </w:r>
    </w:p>
    <w:p>
      <w:pPr>
        <w:keepNext w:val="0"/>
        <w:keepLines w:val="0"/>
        <w:pageBreakBefore w:val="0"/>
        <w:widowControl/>
        <w:numPr>
          <w:ilvl w:val="-1"/>
          <w:numId w:val="0"/>
        </w:numPr>
        <w:kinsoku/>
        <w:wordWrap/>
        <w:overflowPunct/>
        <w:topLinePunct w:val="0"/>
        <w:bidi w:val="0"/>
        <w:adjustRightInd/>
        <w:snapToGrid w:val="0"/>
        <w:spacing w:line="560" w:lineRule="exact"/>
        <w:ind w:right="0" w:rightChars="0" w:firstLine="643" w:firstLineChars="200"/>
        <w:jc w:val="both"/>
        <w:textAlignment w:val="auto"/>
        <w:outlineLvl w:val="1"/>
        <w:rPr>
          <w:rFonts w:hint="eastAsia" w:ascii="仿宋_GB2312" w:hAnsi="宋体" w:eastAsia="仿宋_GB2312"/>
          <w:color w:val="auto"/>
          <w:sz w:val="32"/>
          <w:szCs w:val="32"/>
        </w:rPr>
      </w:pPr>
      <w:r>
        <w:rPr>
          <w:rFonts w:hint="eastAsia" w:ascii="仿宋_GB2312" w:hAnsi="宋体" w:eastAsia="仿宋_GB2312"/>
          <w:b/>
          <w:color w:val="auto"/>
          <w:sz w:val="32"/>
          <w:szCs w:val="32"/>
          <w:lang w:eastAsia="zh-CN"/>
        </w:rPr>
        <w:t>第十条</w:t>
      </w: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市级重点金融产业基地和市级重点金融楼宇每</w:t>
      </w:r>
      <w:r>
        <w:rPr>
          <w:rFonts w:hint="eastAsia" w:ascii="仿宋_GB2312" w:hAnsi="宋体" w:eastAsia="仿宋_GB2312"/>
          <w:color w:val="auto"/>
          <w:sz w:val="32"/>
          <w:szCs w:val="32"/>
          <w:lang w:val="en-US" w:eastAsia="zh-CN"/>
        </w:rPr>
        <w:t>年申报一次，具体申报时间以市金融办官网发布的通知为准。</w:t>
      </w:r>
    </w:p>
    <w:p>
      <w:pPr>
        <w:keepNext w:val="0"/>
        <w:keepLines w:val="0"/>
        <w:pageBreakBefore w:val="0"/>
        <w:widowControl/>
        <w:numPr>
          <w:ilvl w:val="-1"/>
          <w:numId w:val="0"/>
        </w:numPr>
        <w:kinsoku/>
        <w:wordWrap/>
        <w:overflowPunct/>
        <w:topLinePunct w:val="0"/>
        <w:bidi w:val="0"/>
        <w:adjustRightInd/>
        <w:snapToGrid w:val="0"/>
        <w:spacing w:line="560" w:lineRule="exact"/>
        <w:ind w:right="0" w:rightChars="0" w:firstLine="643" w:firstLineChars="200"/>
        <w:jc w:val="both"/>
        <w:textAlignment w:val="auto"/>
        <w:outlineLvl w:val="1"/>
        <w:rPr>
          <w:rFonts w:hint="eastAsia" w:ascii="仿宋_GB2312" w:hAnsi="宋体" w:eastAsia="仿宋_GB2312"/>
          <w:color w:val="auto"/>
          <w:sz w:val="32"/>
          <w:szCs w:val="32"/>
          <w:lang w:eastAsia="zh-CN"/>
        </w:rPr>
      </w:pPr>
      <w:r>
        <w:rPr>
          <w:rFonts w:hint="eastAsia" w:ascii="仿宋_GB2312" w:hAnsi="宋体" w:eastAsia="仿宋_GB2312"/>
          <w:b/>
          <w:color w:val="auto"/>
          <w:sz w:val="32"/>
          <w:szCs w:val="32"/>
          <w:lang w:eastAsia="zh-CN"/>
        </w:rPr>
        <w:t>第十一条</w:t>
      </w:r>
      <w:r>
        <w:rPr>
          <w:rFonts w:hint="eastAsia" w:ascii="仿宋_GB2312" w:hAnsi="宋体" w:eastAsia="仿宋_GB2312"/>
          <w:color w:val="auto"/>
          <w:sz w:val="32"/>
          <w:szCs w:val="32"/>
          <w:lang w:val="en-US" w:eastAsia="zh-CN"/>
        </w:rPr>
        <w:t xml:space="preserve"> 市级</w:t>
      </w:r>
      <w:r>
        <w:rPr>
          <w:rFonts w:hint="eastAsia" w:ascii="仿宋_GB2312" w:hAnsi="宋体" w:eastAsia="仿宋_GB2312"/>
          <w:color w:val="auto"/>
          <w:sz w:val="32"/>
          <w:szCs w:val="32"/>
          <w:lang w:eastAsia="zh-CN"/>
        </w:rPr>
        <w:t>重点金融产业基地申报单位需提交以下材料（盖申报单位公章，一式两份）：</w:t>
      </w:r>
    </w:p>
    <w:p>
      <w:pPr>
        <w:keepNext w:val="0"/>
        <w:keepLines w:val="0"/>
        <w:pageBreakBefore w:val="0"/>
        <w:kinsoku/>
        <w:wordWrap/>
        <w:overflowPunct/>
        <w:topLinePunct w:val="0"/>
        <w:autoSpaceDE w:val="0"/>
        <w:autoSpaceDN w:val="0"/>
        <w:bidi w:val="0"/>
        <w:adjustRightInd/>
        <w:spacing w:line="560" w:lineRule="exact"/>
        <w:ind w:right="0" w:rightChars="0" w:firstLine="616" w:firstLineChars="200"/>
        <w:jc w:val="both"/>
        <w:textAlignment w:val="auto"/>
        <w:rPr>
          <w:rFonts w:hint="eastAsia" w:ascii="仿宋_GB2312" w:hAnsi="华文仿宋" w:eastAsia="仿宋_GB2312"/>
          <w:color w:val="auto"/>
          <w:spacing w:val="-6"/>
          <w:sz w:val="32"/>
          <w:szCs w:val="32"/>
          <w:lang w:eastAsia="zh-CN"/>
        </w:rPr>
      </w:pPr>
      <w:r>
        <w:rPr>
          <w:rFonts w:hint="eastAsia" w:ascii="仿宋_GB2312" w:hAnsi="华文仿宋" w:eastAsia="仿宋_GB2312"/>
          <w:color w:val="auto"/>
          <w:spacing w:val="-6"/>
          <w:sz w:val="32"/>
          <w:szCs w:val="32"/>
        </w:rPr>
        <w:t>（一）申报表；</w:t>
      </w:r>
    </w:p>
    <w:p>
      <w:pPr>
        <w:keepNext w:val="0"/>
        <w:keepLines w:val="0"/>
        <w:pageBreakBefore w:val="0"/>
        <w:kinsoku/>
        <w:wordWrap/>
        <w:overflowPunct/>
        <w:topLinePunct w:val="0"/>
        <w:autoSpaceDE w:val="0"/>
        <w:autoSpaceDN w:val="0"/>
        <w:bidi w:val="0"/>
        <w:adjustRightInd/>
        <w:spacing w:line="560" w:lineRule="exact"/>
        <w:ind w:right="0" w:rightChars="0" w:firstLine="616" w:firstLineChars="200"/>
        <w:jc w:val="both"/>
        <w:textAlignment w:val="auto"/>
        <w:rPr>
          <w:rFonts w:hint="eastAsia" w:ascii="仿宋_GB2312" w:hAnsi="华文仿宋" w:eastAsia="仿宋_GB2312"/>
          <w:color w:val="auto"/>
          <w:spacing w:val="-6"/>
          <w:sz w:val="32"/>
          <w:szCs w:val="32"/>
        </w:rPr>
      </w:pPr>
      <w:r>
        <w:rPr>
          <w:rFonts w:hint="eastAsia" w:ascii="仿宋_GB2312" w:hAnsi="华文仿宋" w:eastAsia="仿宋_GB2312"/>
          <w:color w:val="auto"/>
          <w:spacing w:val="-6"/>
          <w:sz w:val="32"/>
          <w:szCs w:val="32"/>
        </w:rPr>
        <w:t>（二）</w:t>
      </w:r>
      <w:r>
        <w:rPr>
          <w:rFonts w:hint="eastAsia" w:ascii="仿宋_GB2312" w:hAnsi="华文仿宋" w:eastAsia="仿宋_GB2312"/>
          <w:color w:val="auto"/>
          <w:spacing w:val="-6"/>
          <w:sz w:val="32"/>
          <w:szCs w:val="32"/>
          <w:lang w:eastAsia="zh-CN"/>
        </w:rPr>
        <w:t>基地内入</w:t>
      </w:r>
      <w:r>
        <w:rPr>
          <w:rFonts w:hint="eastAsia" w:ascii="仿宋_GB2312" w:hAnsi="华文仿宋" w:eastAsia="仿宋_GB2312"/>
          <w:color w:val="auto"/>
          <w:spacing w:val="-6"/>
          <w:sz w:val="32"/>
          <w:szCs w:val="32"/>
        </w:rPr>
        <w:t>驻</w:t>
      </w:r>
      <w:r>
        <w:rPr>
          <w:rFonts w:hint="eastAsia" w:ascii="仿宋_GB2312" w:hAnsi="华文仿宋" w:eastAsia="仿宋_GB2312"/>
          <w:color w:val="auto"/>
          <w:spacing w:val="-6"/>
          <w:sz w:val="32"/>
          <w:szCs w:val="32"/>
          <w:lang w:eastAsia="zh-CN"/>
        </w:rPr>
        <w:t>金融企业</w:t>
      </w:r>
      <w:r>
        <w:rPr>
          <w:rFonts w:hint="eastAsia" w:ascii="仿宋_GB2312" w:hAnsi="华文仿宋" w:eastAsia="仿宋_GB2312"/>
          <w:color w:val="auto"/>
          <w:spacing w:val="-6"/>
          <w:sz w:val="32"/>
          <w:szCs w:val="32"/>
        </w:rPr>
        <w:t>信息表；</w:t>
      </w:r>
    </w:p>
    <w:p>
      <w:pPr>
        <w:keepNext w:val="0"/>
        <w:keepLines w:val="0"/>
        <w:pageBreakBefore w:val="0"/>
        <w:kinsoku/>
        <w:wordWrap/>
        <w:overflowPunct/>
        <w:topLinePunct w:val="0"/>
        <w:autoSpaceDE w:val="0"/>
        <w:autoSpaceDN w:val="0"/>
        <w:bidi w:val="0"/>
        <w:adjustRightInd/>
        <w:spacing w:line="560" w:lineRule="exact"/>
        <w:ind w:right="0" w:rightChars="0" w:firstLine="616" w:firstLineChars="200"/>
        <w:jc w:val="both"/>
        <w:textAlignment w:val="auto"/>
        <w:rPr>
          <w:rFonts w:hint="eastAsia" w:ascii="仿宋_GB2312" w:hAnsi="华文仿宋" w:eastAsia="仿宋_GB2312"/>
          <w:color w:val="auto"/>
          <w:spacing w:val="-6"/>
          <w:sz w:val="32"/>
          <w:szCs w:val="32"/>
          <w:lang w:eastAsia="zh-CN"/>
        </w:rPr>
      </w:pPr>
      <w:r>
        <w:rPr>
          <w:rFonts w:hint="eastAsia" w:ascii="仿宋_GB2312" w:hAnsi="华文仿宋" w:eastAsia="仿宋_GB2312"/>
          <w:color w:val="auto"/>
          <w:spacing w:val="-6"/>
          <w:sz w:val="32"/>
          <w:szCs w:val="32"/>
          <w:lang w:eastAsia="zh-CN"/>
        </w:rPr>
        <w:t>（三）申请报告（包括基地的地理位置、基地内部楼宇规划建设情况及入驻金融企业情况、基地建筑规模、产业规模等）；</w:t>
      </w:r>
    </w:p>
    <w:p>
      <w:pPr>
        <w:keepNext w:val="0"/>
        <w:keepLines w:val="0"/>
        <w:pageBreakBefore w:val="0"/>
        <w:numPr>
          <w:ilvl w:val="0"/>
          <w:numId w:val="2"/>
        </w:numPr>
        <w:kinsoku/>
        <w:wordWrap/>
        <w:overflowPunct/>
        <w:topLinePunct w:val="0"/>
        <w:autoSpaceDE w:val="0"/>
        <w:autoSpaceDN w:val="0"/>
        <w:bidi w:val="0"/>
        <w:adjustRightInd/>
        <w:spacing w:line="560" w:lineRule="exact"/>
        <w:ind w:right="0" w:rightChars="0" w:firstLine="616" w:firstLineChars="200"/>
        <w:jc w:val="both"/>
        <w:textAlignment w:val="auto"/>
        <w:rPr>
          <w:rFonts w:hint="eastAsia" w:ascii="仿宋_GB2312" w:hAnsi="华文仿宋" w:eastAsia="仿宋_GB2312"/>
          <w:color w:val="auto"/>
          <w:spacing w:val="-6"/>
          <w:sz w:val="32"/>
          <w:szCs w:val="32"/>
          <w:lang w:val="en-US" w:eastAsia="zh-CN"/>
        </w:rPr>
      </w:pPr>
      <w:r>
        <w:rPr>
          <w:rFonts w:hint="eastAsia" w:ascii="仿宋_GB2312" w:hAnsi="华文仿宋" w:eastAsia="仿宋_GB2312"/>
          <w:color w:val="auto"/>
          <w:spacing w:val="-6"/>
          <w:sz w:val="32"/>
          <w:szCs w:val="32"/>
          <w:lang w:eastAsia="zh-CN"/>
        </w:rPr>
        <w:t>产业基地的规划建设文件（市委市政府或区委区政府出台的规划建设方案、正式文件或相关会议纪要等）；</w:t>
      </w:r>
      <w:r>
        <w:rPr>
          <w:rFonts w:hint="eastAsia" w:ascii="仿宋_GB2312" w:hAnsi="华文仿宋" w:eastAsia="仿宋_GB2312"/>
          <w:color w:val="auto"/>
          <w:spacing w:val="-6"/>
          <w:sz w:val="32"/>
          <w:szCs w:val="32"/>
          <w:lang w:val="en-US" w:eastAsia="zh-CN"/>
        </w:rPr>
        <w:t xml:space="preserve"> </w:t>
      </w:r>
    </w:p>
    <w:p>
      <w:pPr>
        <w:keepNext w:val="0"/>
        <w:keepLines w:val="0"/>
        <w:pageBreakBefore w:val="0"/>
        <w:numPr>
          <w:ilvl w:val="0"/>
          <w:numId w:val="2"/>
        </w:numPr>
        <w:kinsoku/>
        <w:wordWrap/>
        <w:overflowPunct/>
        <w:topLinePunct w:val="0"/>
        <w:autoSpaceDE w:val="0"/>
        <w:autoSpaceDN w:val="0"/>
        <w:bidi w:val="0"/>
        <w:adjustRightInd/>
        <w:spacing w:line="560" w:lineRule="exact"/>
        <w:ind w:right="0" w:rightChars="0" w:firstLine="616" w:firstLineChars="200"/>
        <w:jc w:val="both"/>
        <w:textAlignment w:val="auto"/>
        <w:rPr>
          <w:rFonts w:hint="eastAsia" w:ascii="仿宋_GB2312" w:hAnsi="华文仿宋" w:eastAsia="仿宋_GB2312"/>
          <w:color w:val="auto"/>
          <w:spacing w:val="-6"/>
          <w:sz w:val="32"/>
          <w:szCs w:val="32"/>
          <w:lang w:eastAsia="zh-CN"/>
        </w:rPr>
      </w:pPr>
      <w:r>
        <w:rPr>
          <w:rFonts w:hint="eastAsia" w:ascii="仿宋_GB2312" w:hAnsi="华文仿宋" w:eastAsia="仿宋_GB2312"/>
          <w:color w:val="auto"/>
          <w:spacing w:val="-6"/>
          <w:sz w:val="32"/>
          <w:szCs w:val="32"/>
          <w:lang w:eastAsia="zh-CN"/>
        </w:rPr>
        <w:t>基地内金融企业纳税证明材料（已有金融企业入驻的基地需提供）；</w:t>
      </w:r>
    </w:p>
    <w:p>
      <w:pPr>
        <w:keepNext w:val="0"/>
        <w:keepLines w:val="0"/>
        <w:pageBreakBefore w:val="0"/>
        <w:numPr>
          <w:ilvl w:val="0"/>
          <w:numId w:val="2"/>
        </w:numPr>
        <w:kinsoku/>
        <w:wordWrap/>
        <w:overflowPunct/>
        <w:topLinePunct w:val="0"/>
        <w:autoSpaceDE w:val="0"/>
        <w:autoSpaceDN w:val="0"/>
        <w:bidi w:val="0"/>
        <w:adjustRightInd/>
        <w:spacing w:line="560" w:lineRule="exact"/>
        <w:ind w:right="0" w:rightChars="0" w:firstLine="616" w:firstLineChars="200"/>
        <w:jc w:val="both"/>
        <w:textAlignment w:val="auto"/>
        <w:rPr>
          <w:rFonts w:hint="eastAsia" w:ascii="仿宋_GB2312" w:hAnsi="华文仿宋" w:eastAsia="仿宋_GB2312"/>
          <w:color w:val="auto"/>
          <w:spacing w:val="-6"/>
          <w:sz w:val="32"/>
          <w:szCs w:val="32"/>
          <w:lang w:val="en-US" w:eastAsia="zh-CN"/>
        </w:rPr>
      </w:pPr>
      <w:r>
        <w:rPr>
          <w:rFonts w:hint="eastAsia" w:ascii="仿宋_GB2312" w:hAnsi="华文仿宋" w:eastAsia="仿宋_GB2312"/>
          <w:color w:val="auto"/>
          <w:spacing w:val="-6"/>
          <w:sz w:val="32"/>
          <w:szCs w:val="32"/>
          <w:lang w:val="en-US" w:eastAsia="zh-CN"/>
        </w:rPr>
        <w:t>基地内持牌金融机构的资质证明文件（复印件）；</w:t>
      </w:r>
    </w:p>
    <w:p>
      <w:pPr>
        <w:keepNext w:val="0"/>
        <w:keepLines w:val="0"/>
        <w:pageBreakBefore w:val="0"/>
        <w:numPr>
          <w:ilvl w:val="0"/>
          <w:numId w:val="2"/>
        </w:numPr>
        <w:kinsoku/>
        <w:wordWrap/>
        <w:overflowPunct/>
        <w:topLinePunct w:val="0"/>
        <w:autoSpaceDE w:val="0"/>
        <w:autoSpaceDN w:val="0"/>
        <w:bidi w:val="0"/>
        <w:adjustRightInd/>
        <w:spacing w:line="560" w:lineRule="exact"/>
        <w:ind w:right="0" w:rightChars="0" w:firstLine="640" w:firstLineChars="200"/>
        <w:jc w:val="both"/>
        <w:textAlignment w:val="auto"/>
        <w:rPr>
          <w:rFonts w:hint="eastAsia" w:ascii="仿宋_GB2312" w:eastAsia="仿宋_GB2312"/>
          <w:color w:val="auto"/>
          <w:sz w:val="32"/>
          <w:highlight w:val="none"/>
          <w:lang w:eastAsia="zh-CN"/>
        </w:rPr>
      </w:pPr>
      <w:r>
        <w:rPr>
          <w:rFonts w:hint="eastAsia" w:ascii="仿宋_GB2312" w:eastAsia="仿宋_GB2312"/>
          <w:color w:val="auto"/>
          <w:sz w:val="32"/>
          <w:highlight w:val="none"/>
          <w:lang w:eastAsia="zh-CN"/>
        </w:rPr>
        <w:t>入驻持牌金融机构签订的租房、购房或购地合同（复印件，以满足产业规模第</w:t>
      </w:r>
      <w:r>
        <w:rPr>
          <w:rFonts w:hint="eastAsia" w:ascii="仿宋_GB2312" w:eastAsia="仿宋_GB2312"/>
          <w:color w:val="auto"/>
          <w:sz w:val="32"/>
          <w:highlight w:val="none"/>
          <w:lang w:val="en-US" w:eastAsia="zh-CN"/>
        </w:rPr>
        <w:t>2个条件为申请理由的申请单位需提供）</w:t>
      </w:r>
      <w:r>
        <w:rPr>
          <w:rFonts w:hint="eastAsia" w:ascii="仿宋_GB2312" w:eastAsia="仿宋_GB2312"/>
          <w:color w:val="auto"/>
          <w:sz w:val="32"/>
          <w:highlight w:val="none"/>
          <w:lang w:eastAsia="zh-CN"/>
        </w:rPr>
        <w:t>；</w:t>
      </w:r>
    </w:p>
    <w:p>
      <w:pPr>
        <w:keepNext w:val="0"/>
        <w:keepLines w:val="0"/>
        <w:pageBreakBefore w:val="0"/>
        <w:kinsoku/>
        <w:wordWrap/>
        <w:overflowPunct/>
        <w:topLinePunct w:val="0"/>
        <w:autoSpaceDE w:val="0"/>
        <w:autoSpaceDN w:val="0"/>
        <w:bidi w:val="0"/>
        <w:adjustRightInd/>
        <w:spacing w:line="560" w:lineRule="exact"/>
        <w:ind w:right="0" w:rightChars="0" w:firstLine="616" w:firstLineChars="200"/>
        <w:jc w:val="both"/>
        <w:textAlignment w:val="auto"/>
        <w:rPr>
          <w:rFonts w:hint="eastAsia" w:ascii="仿宋_GB2312" w:hAnsi="华文仿宋" w:eastAsia="仿宋_GB2312"/>
          <w:color w:val="auto"/>
          <w:spacing w:val="-6"/>
          <w:sz w:val="32"/>
          <w:szCs w:val="32"/>
          <w:lang w:eastAsia="zh-CN"/>
        </w:rPr>
      </w:pPr>
      <w:r>
        <w:rPr>
          <w:rFonts w:hint="eastAsia" w:ascii="仿宋_GB2312" w:hAnsi="华文仿宋" w:eastAsia="仿宋_GB2312"/>
          <w:color w:val="auto"/>
          <w:spacing w:val="-6"/>
          <w:sz w:val="32"/>
          <w:szCs w:val="32"/>
          <w:lang w:eastAsia="zh-CN"/>
        </w:rPr>
        <w:t>（八）承诺函（以承诺形式达到产业规模要求的申请单位需提供）。</w:t>
      </w:r>
    </w:p>
    <w:p>
      <w:pPr>
        <w:keepNext w:val="0"/>
        <w:keepLines w:val="0"/>
        <w:pageBreakBefore w:val="0"/>
        <w:widowControl/>
        <w:numPr>
          <w:ilvl w:val="-1"/>
          <w:numId w:val="0"/>
        </w:numPr>
        <w:kinsoku/>
        <w:wordWrap/>
        <w:overflowPunct/>
        <w:topLinePunct w:val="0"/>
        <w:bidi w:val="0"/>
        <w:adjustRightInd/>
        <w:snapToGrid w:val="0"/>
        <w:spacing w:line="560" w:lineRule="exact"/>
        <w:ind w:right="0" w:rightChars="0" w:firstLine="643" w:firstLineChars="200"/>
        <w:jc w:val="both"/>
        <w:textAlignment w:val="auto"/>
        <w:outlineLvl w:val="1"/>
        <w:rPr>
          <w:rFonts w:hint="eastAsia" w:ascii="仿宋_GB2312" w:hAnsi="宋体" w:eastAsia="仿宋_GB2312"/>
          <w:color w:val="auto"/>
          <w:sz w:val="32"/>
          <w:szCs w:val="32"/>
        </w:rPr>
      </w:pPr>
      <w:r>
        <w:rPr>
          <w:rFonts w:hint="eastAsia" w:ascii="仿宋_GB2312" w:hAnsi="宋体" w:eastAsia="仿宋_GB2312"/>
          <w:b/>
          <w:color w:val="auto"/>
          <w:sz w:val="32"/>
          <w:szCs w:val="32"/>
          <w:lang w:eastAsia="zh-CN"/>
        </w:rPr>
        <w:t>第十二条</w:t>
      </w:r>
      <w:r>
        <w:rPr>
          <w:rFonts w:hint="eastAsia" w:ascii="仿宋_GB2312" w:hAnsi="宋体" w:eastAsia="仿宋_GB2312"/>
          <w:color w:val="auto"/>
          <w:sz w:val="32"/>
          <w:szCs w:val="32"/>
          <w:lang w:val="en-US" w:eastAsia="zh-CN"/>
        </w:rPr>
        <w:t xml:space="preserve"> 市级</w:t>
      </w:r>
      <w:r>
        <w:rPr>
          <w:rFonts w:hint="eastAsia" w:ascii="仿宋_GB2312" w:hAnsi="宋体" w:eastAsia="仿宋_GB2312"/>
          <w:color w:val="auto"/>
          <w:sz w:val="32"/>
          <w:szCs w:val="32"/>
          <w:lang w:eastAsia="zh-CN"/>
        </w:rPr>
        <w:t>重点金融楼宇申报单位需提交以下材料（盖申报单位公章，一式两份）：</w:t>
      </w:r>
    </w:p>
    <w:p>
      <w:pPr>
        <w:keepNext w:val="0"/>
        <w:keepLines w:val="0"/>
        <w:pageBreakBefore w:val="0"/>
        <w:kinsoku/>
        <w:wordWrap/>
        <w:overflowPunct/>
        <w:topLinePunct w:val="0"/>
        <w:autoSpaceDE w:val="0"/>
        <w:autoSpaceDN w:val="0"/>
        <w:bidi w:val="0"/>
        <w:adjustRightInd/>
        <w:spacing w:line="560" w:lineRule="exact"/>
        <w:ind w:right="0" w:rightChars="0" w:firstLine="616" w:firstLineChars="200"/>
        <w:jc w:val="both"/>
        <w:textAlignment w:val="auto"/>
        <w:rPr>
          <w:rFonts w:hint="eastAsia" w:ascii="仿宋_GB2312" w:hAnsi="华文仿宋" w:eastAsia="仿宋_GB2312"/>
          <w:color w:val="auto"/>
          <w:spacing w:val="-6"/>
          <w:sz w:val="32"/>
          <w:szCs w:val="32"/>
        </w:rPr>
      </w:pPr>
      <w:r>
        <w:rPr>
          <w:rFonts w:hint="eastAsia" w:ascii="仿宋_GB2312" w:hAnsi="华文仿宋" w:eastAsia="仿宋_GB2312"/>
          <w:color w:val="auto"/>
          <w:spacing w:val="-6"/>
          <w:sz w:val="32"/>
          <w:szCs w:val="32"/>
        </w:rPr>
        <w:t>（一）申报表；</w:t>
      </w:r>
    </w:p>
    <w:p>
      <w:pPr>
        <w:keepNext w:val="0"/>
        <w:keepLines w:val="0"/>
        <w:pageBreakBefore w:val="0"/>
        <w:kinsoku/>
        <w:wordWrap/>
        <w:overflowPunct/>
        <w:topLinePunct w:val="0"/>
        <w:autoSpaceDE w:val="0"/>
        <w:autoSpaceDN w:val="0"/>
        <w:bidi w:val="0"/>
        <w:adjustRightInd/>
        <w:spacing w:line="560" w:lineRule="exact"/>
        <w:ind w:right="0" w:rightChars="0" w:firstLine="616" w:firstLineChars="200"/>
        <w:jc w:val="both"/>
        <w:textAlignment w:val="auto"/>
        <w:rPr>
          <w:rFonts w:hint="eastAsia" w:ascii="仿宋_GB2312" w:hAnsi="华文仿宋" w:eastAsia="仿宋_GB2312"/>
          <w:color w:val="auto"/>
          <w:spacing w:val="-6"/>
          <w:sz w:val="32"/>
          <w:szCs w:val="32"/>
        </w:rPr>
      </w:pPr>
      <w:r>
        <w:rPr>
          <w:rFonts w:hint="eastAsia" w:ascii="仿宋_GB2312" w:hAnsi="华文仿宋" w:eastAsia="仿宋_GB2312"/>
          <w:color w:val="auto"/>
          <w:spacing w:val="-6"/>
          <w:sz w:val="32"/>
          <w:szCs w:val="32"/>
        </w:rPr>
        <w:t>（二）</w:t>
      </w:r>
      <w:r>
        <w:rPr>
          <w:rFonts w:hint="eastAsia" w:ascii="仿宋_GB2312" w:hAnsi="华文仿宋" w:eastAsia="仿宋_GB2312"/>
          <w:color w:val="auto"/>
          <w:spacing w:val="-6"/>
          <w:sz w:val="32"/>
          <w:szCs w:val="32"/>
          <w:lang w:eastAsia="zh-CN"/>
        </w:rPr>
        <w:t>楼宇内入驻金融企业</w:t>
      </w:r>
      <w:r>
        <w:rPr>
          <w:rFonts w:hint="eastAsia" w:ascii="仿宋_GB2312" w:hAnsi="华文仿宋" w:eastAsia="仿宋_GB2312"/>
          <w:color w:val="auto"/>
          <w:spacing w:val="-6"/>
          <w:sz w:val="32"/>
          <w:szCs w:val="32"/>
        </w:rPr>
        <w:t>信息表；</w:t>
      </w:r>
    </w:p>
    <w:p>
      <w:pPr>
        <w:keepNext w:val="0"/>
        <w:keepLines w:val="0"/>
        <w:pageBreakBefore w:val="0"/>
        <w:kinsoku/>
        <w:wordWrap/>
        <w:overflowPunct/>
        <w:topLinePunct w:val="0"/>
        <w:autoSpaceDE w:val="0"/>
        <w:autoSpaceDN w:val="0"/>
        <w:bidi w:val="0"/>
        <w:adjustRightInd/>
        <w:spacing w:line="560" w:lineRule="exact"/>
        <w:ind w:right="0" w:rightChars="0" w:firstLine="616" w:firstLineChars="200"/>
        <w:jc w:val="both"/>
        <w:textAlignment w:val="auto"/>
        <w:rPr>
          <w:rFonts w:hint="eastAsia" w:ascii="仿宋_GB2312" w:hAnsi="华文仿宋" w:eastAsia="仿宋_GB2312"/>
          <w:color w:val="auto"/>
          <w:spacing w:val="-6"/>
          <w:sz w:val="32"/>
          <w:szCs w:val="32"/>
          <w:lang w:eastAsia="zh-CN"/>
        </w:rPr>
      </w:pPr>
      <w:r>
        <w:rPr>
          <w:rFonts w:hint="eastAsia" w:ascii="仿宋_GB2312" w:hAnsi="华文仿宋" w:eastAsia="仿宋_GB2312"/>
          <w:color w:val="auto"/>
          <w:spacing w:val="-6"/>
          <w:sz w:val="32"/>
          <w:szCs w:val="32"/>
          <w:lang w:eastAsia="zh-CN"/>
        </w:rPr>
        <w:t>（三）申请报告（包括楼宇地理位置、楼宇规划建设情况及意向入驻金融企业、运营管理、楼宇建筑规模、产业规模等情况）；</w:t>
      </w:r>
    </w:p>
    <w:p>
      <w:pPr>
        <w:pStyle w:val="12"/>
        <w:keepNext w:val="0"/>
        <w:keepLines w:val="0"/>
        <w:pageBreakBefore w:val="0"/>
        <w:kinsoku/>
        <w:wordWrap/>
        <w:overflowPunct/>
        <w:topLinePunct w:val="0"/>
        <w:autoSpaceDE w:val="0"/>
        <w:autoSpaceDN w:val="0"/>
        <w:bidi w:val="0"/>
        <w:adjustRightInd/>
        <w:spacing w:line="560" w:lineRule="exact"/>
        <w:ind w:right="0" w:rightChars="0" w:firstLine="616" w:firstLineChars="200"/>
        <w:jc w:val="both"/>
        <w:textAlignment w:val="auto"/>
        <w:rPr>
          <w:rFonts w:hint="eastAsia" w:ascii="仿宋_GB2312" w:eastAsia="仿宋_GB2312"/>
          <w:color w:val="auto"/>
          <w:sz w:val="32"/>
          <w:highlight w:val="none"/>
          <w:lang w:eastAsia="zh-CN"/>
        </w:rPr>
      </w:pPr>
      <w:r>
        <w:rPr>
          <w:rFonts w:hint="eastAsia" w:ascii="仿宋_GB2312" w:hAnsi="华文仿宋" w:eastAsia="仿宋_GB2312"/>
          <w:color w:val="auto"/>
          <w:spacing w:val="-6"/>
          <w:sz w:val="32"/>
          <w:szCs w:val="32"/>
          <w:lang w:val="en-US" w:eastAsia="zh-CN"/>
        </w:rPr>
        <w:t>（四）</w:t>
      </w:r>
      <w:r>
        <w:rPr>
          <w:rFonts w:hint="eastAsia" w:ascii="仿宋_GB2312" w:eastAsia="仿宋_GB2312"/>
          <w:color w:val="auto"/>
          <w:sz w:val="32"/>
          <w:highlight w:val="none"/>
        </w:rPr>
        <w:t>与市土地行政主管部门签定的《深圳市土地使用权出让合同书》</w:t>
      </w:r>
      <w:r>
        <w:rPr>
          <w:rFonts w:hint="eastAsia" w:ascii="仿宋_GB2312" w:hAnsi="仿宋" w:eastAsia="仿宋_GB2312" w:cs="∑¬ÀŒ"/>
          <w:color w:val="auto"/>
          <w:kern w:val="0"/>
          <w:sz w:val="32"/>
          <w:szCs w:val="32"/>
          <w:highlight w:val="none"/>
          <w:lang w:eastAsia="zh-CN"/>
        </w:rPr>
        <w:t>（加盖公章的复印件），军产房、村委房等无土地出让合同书的可提供</w:t>
      </w:r>
      <w:r>
        <w:rPr>
          <w:rFonts w:hint="eastAsia" w:ascii="仿宋_GB2312" w:eastAsia="仿宋_GB2312"/>
          <w:color w:val="auto"/>
          <w:sz w:val="32"/>
          <w:highlight w:val="none"/>
          <w:lang w:eastAsia="zh-CN"/>
        </w:rPr>
        <w:t>其他证明土地使用权的材料；</w:t>
      </w:r>
    </w:p>
    <w:p>
      <w:pPr>
        <w:keepNext w:val="0"/>
        <w:keepLines w:val="0"/>
        <w:pageBreakBefore w:val="0"/>
        <w:numPr>
          <w:ilvl w:val="-1"/>
          <w:numId w:val="0"/>
        </w:numPr>
        <w:kinsoku/>
        <w:wordWrap/>
        <w:overflowPunct/>
        <w:topLinePunct w:val="0"/>
        <w:autoSpaceDE w:val="0"/>
        <w:autoSpaceDN w:val="0"/>
        <w:bidi w:val="0"/>
        <w:adjustRightInd/>
        <w:spacing w:line="560" w:lineRule="exact"/>
        <w:ind w:right="0" w:rightChars="0" w:firstLine="616" w:firstLineChars="200"/>
        <w:jc w:val="both"/>
        <w:textAlignment w:val="auto"/>
        <w:rPr>
          <w:rFonts w:hint="eastAsia" w:ascii="仿宋_GB2312" w:eastAsia="仿宋_GB2312"/>
          <w:color w:val="auto"/>
          <w:sz w:val="32"/>
          <w:highlight w:val="none"/>
          <w:lang w:eastAsia="zh-CN"/>
        </w:rPr>
      </w:pPr>
      <w:r>
        <w:rPr>
          <w:rFonts w:hint="eastAsia" w:ascii="仿宋_GB2312" w:hAnsi="华文仿宋" w:eastAsia="仿宋_GB2312"/>
          <w:color w:val="auto"/>
          <w:spacing w:val="-6"/>
          <w:sz w:val="32"/>
          <w:szCs w:val="32"/>
          <w:lang w:eastAsia="zh-CN"/>
        </w:rPr>
        <w:t>（五）</w:t>
      </w:r>
      <w:r>
        <w:rPr>
          <w:rFonts w:hint="eastAsia" w:ascii="仿宋_GB2312" w:eastAsia="仿宋_GB2312"/>
          <w:color w:val="auto"/>
          <w:sz w:val="32"/>
          <w:highlight w:val="none"/>
          <w:lang w:eastAsia="zh-CN"/>
        </w:rPr>
        <w:t>入驻金融企业签订的租房或购房合同（复印件</w:t>
      </w:r>
      <w:r>
        <w:rPr>
          <w:rFonts w:hint="eastAsia" w:ascii="仿宋_GB2312" w:eastAsia="仿宋_GB2312"/>
          <w:color w:val="auto"/>
          <w:sz w:val="32"/>
          <w:highlight w:val="none"/>
          <w:lang w:val="en-US" w:eastAsia="zh-CN"/>
        </w:rPr>
        <w:t>）</w:t>
      </w:r>
      <w:r>
        <w:rPr>
          <w:rFonts w:hint="eastAsia" w:ascii="仿宋_GB2312" w:eastAsia="仿宋_GB2312"/>
          <w:color w:val="auto"/>
          <w:sz w:val="32"/>
          <w:highlight w:val="none"/>
          <w:lang w:eastAsia="zh-CN"/>
        </w:rPr>
        <w:t>；</w:t>
      </w:r>
    </w:p>
    <w:p>
      <w:pPr>
        <w:keepNext w:val="0"/>
        <w:keepLines w:val="0"/>
        <w:pageBreakBefore w:val="0"/>
        <w:numPr>
          <w:ilvl w:val="-1"/>
          <w:numId w:val="0"/>
        </w:numPr>
        <w:kinsoku/>
        <w:wordWrap/>
        <w:overflowPunct/>
        <w:topLinePunct w:val="0"/>
        <w:autoSpaceDE w:val="0"/>
        <w:autoSpaceDN w:val="0"/>
        <w:bidi w:val="0"/>
        <w:adjustRightInd/>
        <w:spacing w:line="560" w:lineRule="exact"/>
        <w:ind w:right="0" w:rightChars="0" w:firstLine="640" w:firstLineChars="200"/>
        <w:jc w:val="both"/>
        <w:textAlignment w:val="auto"/>
        <w:rPr>
          <w:rFonts w:hint="eastAsia" w:ascii="仿宋_GB2312" w:hAnsi="华文仿宋" w:eastAsia="仿宋_GB2312"/>
          <w:color w:val="auto"/>
          <w:spacing w:val="-6"/>
          <w:sz w:val="32"/>
          <w:szCs w:val="32"/>
          <w:lang w:eastAsia="zh-CN"/>
        </w:rPr>
      </w:pPr>
      <w:r>
        <w:rPr>
          <w:rFonts w:hint="eastAsia" w:ascii="仿宋_GB2312" w:eastAsia="仿宋_GB2312"/>
          <w:color w:val="auto"/>
          <w:sz w:val="32"/>
          <w:highlight w:val="none"/>
          <w:lang w:eastAsia="zh-CN"/>
        </w:rPr>
        <w:t>（六）楼宇</w:t>
      </w:r>
      <w:r>
        <w:rPr>
          <w:rFonts w:hint="eastAsia" w:ascii="仿宋_GB2312" w:hAnsi="华文仿宋" w:eastAsia="仿宋_GB2312"/>
          <w:color w:val="auto"/>
          <w:spacing w:val="-6"/>
          <w:sz w:val="32"/>
          <w:szCs w:val="32"/>
          <w:lang w:eastAsia="zh-CN"/>
        </w:rPr>
        <w:t>内金融企业纳税情况证明材料（已有金融企业入驻的楼宇需提供）；</w:t>
      </w:r>
    </w:p>
    <w:p>
      <w:pPr>
        <w:keepNext w:val="0"/>
        <w:keepLines w:val="0"/>
        <w:pageBreakBefore w:val="0"/>
        <w:kinsoku/>
        <w:wordWrap/>
        <w:overflowPunct/>
        <w:topLinePunct w:val="0"/>
        <w:autoSpaceDE w:val="0"/>
        <w:autoSpaceDN w:val="0"/>
        <w:bidi w:val="0"/>
        <w:adjustRightInd/>
        <w:spacing w:line="560" w:lineRule="exact"/>
        <w:ind w:right="0" w:rightChars="0" w:firstLine="616" w:firstLineChars="200"/>
        <w:jc w:val="both"/>
        <w:textAlignment w:val="auto"/>
        <w:rPr>
          <w:rFonts w:hint="eastAsia" w:ascii="仿宋_GB2312" w:hAnsi="华文仿宋" w:eastAsia="仿宋_GB2312"/>
          <w:color w:val="auto"/>
          <w:spacing w:val="-6"/>
          <w:sz w:val="32"/>
          <w:szCs w:val="32"/>
          <w:lang w:val="en-US" w:eastAsia="zh-CN"/>
        </w:rPr>
      </w:pPr>
      <w:r>
        <w:rPr>
          <w:rFonts w:hint="eastAsia" w:ascii="仿宋_GB2312" w:hAnsi="华文仿宋" w:eastAsia="仿宋_GB2312"/>
          <w:color w:val="auto"/>
          <w:spacing w:val="-6"/>
          <w:sz w:val="32"/>
          <w:szCs w:val="32"/>
          <w:lang w:eastAsia="zh-CN"/>
        </w:rPr>
        <w:t>（七）</w:t>
      </w:r>
      <w:r>
        <w:rPr>
          <w:rFonts w:hint="eastAsia" w:ascii="仿宋_GB2312" w:hAnsi="华文仿宋" w:eastAsia="仿宋_GB2312"/>
          <w:color w:val="auto"/>
          <w:spacing w:val="-6"/>
          <w:sz w:val="32"/>
          <w:szCs w:val="32"/>
          <w:lang w:val="en-US" w:eastAsia="zh-CN"/>
        </w:rPr>
        <w:t>楼宇内持牌金融机构的资质证明文件（复印件）；</w:t>
      </w:r>
    </w:p>
    <w:p>
      <w:pPr>
        <w:keepNext w:val="0"/>
        <w:keepLines w:val="0"/>
        <w:pageBreakBefore w:val="0"/>
        <w:kinsoku/>
        <w:wordWrap/>
        <w:overflowPunct/>
        <w:topLinePunct w:val="0"/>
        <w:autoSpaceDE w:val="0"/>
        <w:autoSpaceDN w:val="0"/>
        <w:bidi w:val="0"/>
        <w:adjustRightInd/>
        <w:spacing w:line="560" w:lineRule="exact"/>
        <w:ind w:right="0" w:rightChars="0" w:firstLine="616" w:firstLineChars="200"/>
        <w:jc w:val="both"/>
        <w:textAlignment w:val="auto"/>
        <w:rPr>
          <w:rFonts w:hint="eastAsia" w:ascii="仿宋_GB2312" w:hAnsi="华文仿宋" w:eastAsia="仿宋_GB2312"/>
          <w:color w:val="auto"/>
          <w:spacing w:val="-6"/>
          <w:sz w:val="32"/>
          <w:szCs w:val="32"/>
          <w:lang w:eastAsia="zh-CN"/>
        </w:rPr>
      </w:pPr>
      <w:r>
        <w:rPr>
          <w:rFonts w:hint="eastAsia" w:ascii="仿宋_GB2312" w:hAnsi="华文仿宋" w:eastAsia="仿宋_GB2312"/>
          <w:color w:val="auto"/>
          <w:spacing w:val="-6"/>
          <w:sz w:val="32"/>
          <w:szCs w:val="32"/>
          <w:lang w:val="en-US" w:eastAsia="zh-CN"/>
        </w:rPr>
        <w:t>（八）</w:t>
      </w:r>
      <w:r>
        <w:rPr>
          <w:rFonts w:hint="eastAsia" w:ascii="仿宋_GB2312" w:hAnsi="华文仿宋" w:eastAsia="仿宋_GB2312"/>
          <w:color w:val="auto"/>
          <w:spacing w:val="-6"/>
          <w:sz w:val="32"/>
          <w:szCs w:val="32"/>
          <w:lang w:eastAsia="zh-CN"/>
        </w:rPr>
        <w:t>承诺函（以承诺形式达到产业规模要求的申请单位需提供）。</w:t>
      </w:r>
    </w:p>
    <w:p>
      <w:pPr>
        <w:keepNext w:val="0"/>
        <w:keepLines w:val="0"/>
        <w:pageBreakBefore w:val="0"/>
        <w:kinsoku/>
        <w:wordWrap/>
        <w:overflowPunct/>
        <w:topLinePunct w:val="0"/>
        <w:autoSpaceDE w:val="0"/>
        <w:autoSpaceDN w:val="0"/>
        <w:bidi w:val="0"/>
        <w:adjustRightInd/>
        <w:spacing w:line="560" w:lineRule="exact"/>
        <w:ind w:right="0" w:rightChars="0" w:firstLine="592" w:firstLineChars="0"/>
        <w:jc w:val="both"/>
        <w:textAlignment w:val="auto"/>
        <w:rPr>
          <w:rFonts w:hint="eastAsia" w:ascii="仿宋_GB2312" w:hAnsi="华文仿宋" w:eastAsia="仿宋_GB2312"/>
          <w:color w:val="auto"/>
          <w:spacing w:val="-6"/>
          <w:sz w:val="32"/>
          <w:szCs w:val="32"/>
          <w:lang w:val="en-US" w:eastAsia="zh-CN"/>
        </w:rPr>
      </w:pPr>
      <w:r>
        <w:rPr>
          <w:rFonts w:hint="eastAsia" w:ascii="仿宋_GB2312" w:hAnsi="华文仿宋" w:eastAsia="仿宋_GB2312"/>
          <w:color w:val="auto"/>
          <w:spacing w:val="-6"/>
          <w:sz w:val="32"/>
          <w:szCs w:val="32"/>
          <w:lang w:val="en-US" w:eastAsia="zh-CN"/>
        </w:rPr>
        <w:t>（九）总部用地项目相关证明材料（以金融总部大厦申请认定市级重点金融楼宇的申请单位需提交，具体包括“总部企业认定、总部企业资格复查、总部用地审批文件等证明材料）</w:t>
      </w:r>
    </w:p>
    <w:p>
      <w:pPr>
        <w:keepNext w:val="0"/>
        <w:keepLines w:val="0"/>
        <w:pageBreakBefore w:val="0"/>
        <w:kinsoku/>
        <w:wordWrap/>
        <w:overflowPunct/>
        <w:topLinePunct w:val="0"/>
        <w:autoSpaceDE w:val="0"/>
        <w:autoSpaceDN w:val="0"/>
        <w:bidi w:val="0"/>
        <w:adjustRightInd/>
        <w:spacing w:line="560" w:lineRule="exact"/>
        <w:ind w:right="0" w:rightChars="0" w:firstLine="592" w:firstLineChars="0"/>
        <w:jc w:val="both"/>
        <w:textAlignment w:val="auto"/>
        <w:rPr>
          <w:rFonts w:hint="eastAsia" w:ascii="仿宋_GB2312" w:hAnsi="华文仿宋" w:eastAsia="仿宋_GB2312"/>
          <w:color w:val="auto"/>
          <w:spacing w:val="-6"/>
          <w:sz w:val="32"/>
          <w:szCs w:val="32"/>
          <w:lang w:val="en-US" w:eastAsia="zh-CN"/>
        </w:rPr>
      </w:pPr>
      <w:r>
        <w:rPr>
          <w:rFonts w:hint="eastAsia" w:ascii="仿宋_GB2312" w:hAnsi="华文仿宋" w:eastAsia="仿宋_GB2312"/>
          <w:b/>
          <w:bCs/>
          <w:color w:val="auto"/>
          <w:spacing w:val="-6"/>
          <w:sz w:val="32"/>
          <w:szCs w:val="32"/>
          <w:lang w:val="en-US" w:eastAsia="zh-CN"/>
        </w:rPr>
        <w:t>第十三条</w:t>
      </w:r>
      <w:r>
        <w:rPr>
          <w:rFonts w:hint="eastAsia" w:ascii="仿宋_GB2312" w:hAnsi="华文仿宋" w:eastAsia="仿宋_GB2312"/>
          <w:color w:val="auto"/>
          <w:spacing w:val="-6"/>
          <w:sz w:val="32"/>
          <w:szCs w:val="32"/>
          <w:lang w:val="en-US" w:eastAsia="zh-CN"/>
        </w:rPr>
        <w:t xml:space="preserve"> 各区自主推荐的市级重点金融楼宇，需提供推荐说明材料（加盖区政府公章），具体包括</w:t>
      </w:r>
      <w:r>
        <w:rPr>
          <w:rFonts w:hint="eastAsia" w:ascii="仿宋_GB2312" w:hAnsi="华文仿宋" w:eastAsia="仿宋_GB2312"/>
          <w:color w:val="auto"/>
          <w:spacing w:val="-6"/>
          <w:sz w:val="32"/>
          <w:szCs w:val="32"/>
          <w:lang w:eastAsia="zh-CN"/>
        </w:rPr>
        <w:t>楼宇地理位置、建筑面积、楼宇规划建设情况、已入驻企业、运营管理、楼宇资质等情况和推荐理由。</w:t>
      </w:r>
    </w:p>
    <w:p>
      <w:pPr>
        <w:pStyle w:val="12"/>
        <w:keepNext w:val="0"/>
        <w:keepLines w:val="0"/>
        <w:pageBreakBefore w:val="0"/>
        <w:kinsoku/>
        <w:wordWrap/>
        <w:overflowPunct/>
        <w:topLinePunct w:val="0"/>
        <w:autoSpaceDE w:val="0"/>
        <w:autoSpaceDN w:val="0"/>
        <w:bidi w:val="0"/>
        <w:adjustRightInd/>
        <w:spacing w:line="560" w:lineRule="exact"/>
        <w:ind w:right="0" w:rightChars="0" w:firstLine="640" w:firstLineChars="200"/>
        <w:jc w:val="both"/>
        <w:textAlignment w:val="auto"/>
        <w:rPr>
          <w:rFonts w:hint="eastAsia" w:ascii="仿宋_GB2312" w:eastAsia="仿宋_GB2312"/>
          <w:color w:val="auto"/>
          <w:sz w:val="32"/>
          <w:highlight w:val="none"/>
          <w:lang w:eastAsia="zh-CN"/>
        </w:rPr>
      </w:pPr>
    </w:p>
    <w:p>
      <w:pPr>
        <w:pStyle w:val="12"/>
        <w:keepNext w:val="0"/>
        <w:keepLines w:val="0"/>
        <w:pageBreakBefore w:val="0"/>
        <w:numPr>
          <w:ilvl w:val="0"/>
          <w:numId w:val="0"/>
        </w:numPr>
        <w:kinsoku/>
        <w:wordWrap/>
        <w:overflowPunct/>
        <w:topLinePunct w:val="0"/>
        <w:autoSpaceDE w:val="0"/>
        <w:autoSpaceDN w:val="0"/>
        <w:bidi w:val="0"/>
        <w:adjustRightInd/>
        <w:spacing w:line="560" w:lineRule="exact"/>
        <w:ind w:right="0" w:rightChars="0" w:firstLine="640" w:firstLineChars="200"/>
        <w:jc w:val="center"/>
        <w:textAlignment w:val="auto"/>
        <w:rPr>
          <w:rFonts w:hint="eastAsia" w:ascii="黑体" w:hAnsi="黑体" w:eastAsia="黑体" w:cs="Times New Roman"/>
          <w:color w:val="auto"/>
          <w:kern w:val="0"/>
          <w:sz w:val="32"/>
          <w:szCs w:val="24"/>
          <w:lang w:val="en-US" w:eastAsia="zh-CN"/>
        </w:rPr>
      </w:pPr>
      <w:r>
        <w:rPr>
          <w:rFonts w:hint="eastAsia" w:ascii="黑体" w:hAnsi="黑体" w:eastAsia="黑体" w:cs="Times New Roman"/>
          <w:color w:val="auto"/>
          <w:kern w:val="0"/>
          <w:sz w:val="32"/>
          <w:szCs w:val="24"/>
          <w:lang w:val="en-US" w:eastAsia="zh-CN"/>
        </w:rPr>
        <w:t>第四章 申报评审程序</w:t>
      </w:r>
    </w:p>
    <w:p>
      <w:pPr>
        <w:keepNext w:val="0"/>
        <w:keepLines w:val="0"/>
        <w:pageBreakBefore w:val="0"/>
        <w:kinsoku/>
        <w:wordWrap/>
        <w:overflowPunct/>
        <w:topLinePunct w:val="0"/>
        <w:autoSpaceDE w:val="0"/>
        <w:autoSpaceDN w:val="0"/>
        <w:bidi w:val="0"/>
        <w:adjustRightInd/>
        <w:spacing w:line="560" w:lineRule="exact"/>
        <w:ind w:right="0" w:rightChars="0" w:firstLine="600"/>
        <w:jc w:val="both"/>
        <w:textAlignment w:val="auto"/>
        <w:rPr>
          <w:rFonts w:hint="eastAsia" w:ascii="仿宋_GB2312" w:hAnsi="宋体" w:eastAsia="仿宋_GB2312"/>
          <w:b/>
          <w:color w:val="auto"/>
          <w:sz w:val="32"/>
          <w:szCs w:val="32"/>
        </w:rPr>
      </w:pPr>
      <w:r>
        <w:rPr>
          <w:rFonts w:hint="eastAsia" w:ascii="仿宋_GB2312" w:hAnsi="宋体" w:eastAsia="仿宋_GB2312"/>
          <w:b/>
          <w:color w:val="auto"/>
          <w:sz w:val="32"/>
          <w:szCs w:val="32"/>
        </w:rPr>
        <w:t>第</w:t>
      </w:r>
      <w:r>
        <w:rPr>
          <w:rFonts w:hint="eastAsia" w:ascii="仿宋_GB2312" w:hAnsi="宋体" w:eastAsia="仿宋_GB2312"/>
          <w:b/>
          <w:color w:val="auto"/>
          <w:sz w:val="32"/>
          <w:szCs w:val="32"/>
          <w:lang w:eastAsia="zh-CN"/>
        </w:rPr>
        <w:t>十四</w:t>
      </w:r>
      <w:r>
        <w:rPr>
          <w:rFonts w:hint="eastAsia" w:ascii="仿宋_GB2312" w:hAnsi="宋体" w:eastAsia="仿宋_GB2312"/>
          <w:b/>
          <w:color w:val="auto"/>
          <w:sz w:val="32"/>
          <w:szCs w:val="32"/>
        </w:rPr>
        <w:t xml:space="preserve">条 </w:t>
      </w:r>
      <w:r>
        <w:rPr>
          <w:rFonts w:hint="eastAsia" w:ascii="仿宋_GB2312" w:hAnsi="华文仿宋" w:eastAsia="仿宋_GB2312"/>
          <w:b w:val="0"/>
          <w:color w:val="auto"/>
          <w:spacing w:val="-6"/>
          <w:sz w:val="32"/>
          <w:szCs w:val="32"/>
          <w:lang w:eastAsia="zh-CN"/>
        </w:rPr>
        <w:t>市级</w:t>
      </w:r>
      <w:r>
        <w:rPr>
          <w:rFonts w:hint="eastAsia" w:ascii="仿宋_GB2312" w:hAnsi="华文仿宋" w:eastAsia="仿宋_GB2312"/>
          <w:color w:val="auto"/>
          <w:spacing w:val="-6"/>
          <w:sz w:val="32"/>
          <w:szCs w:val="32"/>
          <w:lang w:eastAsia="zh-CN"/>
        </w:rPr>
        <w:t>重点金融产业基地和市级重点金融楼宇</w:t>
      </w:r>
      <w:r>
        <w:rPr>
          <w:rFonts w:hint="eastAsia" w:ascii="仿宋_GB2312" w:hAnsi="华文仿宋" w:eastAsia="仿宋_GB2312"/>
          <w:color w:val="auto"/>
          <w:spacing w:val="-6"/>
          <w:sz w:val="32"/>
          <w:szCs w:val="32"/>
        </w:rPr>
        <w:t>认</w:t>
      </w:r>
      <w:r>
        <w:rPr>
          <w:rFonts w:hint="eastAsia" w:ascii="仿宋_GB2312" w:hAnsi="宋体" w:eastAsia="仿宋_GB2312"/>
          <w:color w:val="auto"/>
          <w:sz w:val="32"/>
          <w:szCs w:val="32"/>
        </w:rPr>
        <w:t>定</w:t>
      </w:r>
      <w:r>
        <w:rPr>
          <w:rFonts w:hint="eastAsia" w:ascii="仿宋_GB2312" w:hAnsi="宋体" w:eastAsia="仿宋_GB2312"/>
          <w:color w:val="auto"/>
          <w:sz w:val="32"/>
          <w:szCs w:val="32"/>
          <w:lang w:eastAsia="zh-CN"/>
        </w:rPr>
        <w:t>程序主要包括：</w:t>
      </w:r>
    </w:p>
    <w:p>
      <w:pPr>
        <w:keepNext w:val="0"/>
        <w:keepLines w:val="0"/>
        <w:pageBreakBefore w:val="0"/>
        <w:kinsoku/>
        <w:wordWrap/>
        <w:overflowPunct/>
        <w:topLinePunct w:val="0"/>
        <w:autoSpaceDE w:val="0"/>
        <w:autoSpaceDN w:val="0"/>
        <w:bidi w:val="0"/>
        <w:adjustRightInd/>
        <w:spacing w:line="560" w:lineRule="exact"/>
        <w:ind w:right="0" w:rightChars="0" w:firstLine="600"/>
        <w:jc w:val="both"/>
        <w:textAlignment w:val="auto"/>
        <w:rPr>
          <w:rFonts w:hint="eastAsia" w:ascii="仿宋_GB2312" w:hAnsi="华文仿宋" w:eastAsia="仿宋_GB2312"/>
          <w:color w:val="auto"/>
          <w:spacing w:val="-6"/>
          <w:sz w:val="32"/>
          <w:szCs w:val="32"/>
          <w:lang w:eastAsia="zh-CN"/>
        </w:rPr>
      </w:pPr>
      <w:r>
        <w:rPr>
          <w:rFonts w:hint="eastAsia" w:ascii="仿宋_GB2312" w:hAnsi="华文仿宋" w:eastAsia="仿宋_GB2312"/>
          <w:b/>
          <w:bCs/>
          <w:color w:val="auto"/>
          <w:spacing w:val="-6"/>
          <w:sz w:val="32"/>
          <w:szCs w:val="32"/>
          <w:lang w:eastAsia="zh-CN"/>
        </w:rPr>
        <w:t>（一）申报</w:t>
      </w:r>
      <w:r>
        <w:rPr>
          <w:rFonts w:hint="eastAsia" w:ascii="仿宋_GB2312" w:hAnsi="华文仿宋" w:eastAsia="仿宋_GB2312"/>
          <w:color w:val="auto"/>
          <w:spacing w:val="-6"/>
          <w:sz w:val="32"/>
          <w:szCs w:val="32"/>
          <w:lang w:eastAsia="zh-CN"/>
        </w:rPr>
        <w:t>。申报单位向各区金融工作部门提交申报材料。</w:t>
      </w:r>
    </w:p>
    <w:p>
      <w:pPr>
        <w:keepNext w:val="0"/>
        <w:keepLines w:val="0"/>
        <w:pageBreakBefore w:val="0"/>
        <w:kinsoku/>
        <w:wordWrap/>
        <w:overflowPunct/>
        <w:topLinePunct w:val="0"/>
        <w:autoSpaceDE w:val="0"/>
        <w:autoSpaceDN w:val="0"/>
        <w:bidi w:val="0"/>
        <w:adjustRightInd/>
        <w:spacing w:line="560" w:lineRule="exact"/>
        <w:ind w:right="0" w:rightChars="0" w:firstLine="600"/>
        <w:jc w:val="both"/>
        <w:textAlignment w:val="auto"/>
        <w:rPr>
          <w:rFonts w:hint="eastAsia" w:ascii="仿宋_GB2312" w:hAnsi="华文仿宋" w:eastAsia="仿宋_GB2312"/>
          <w:color w:val="auto"/>
          <w:spacing w:val="-6"/>
          <w:sz w:val="32"/>
          <w:szCs w:val="32"/>
          <w:lang w:eastAsia="zh-CN"/>
        </w:rPr>
      </w:pPr>
      <w:r>
        <w:rPr>
          <w:rFonts w:hint="eastAsia" w:ascii="仿宋_GB2312" w:hAnsi="华文仿宋" w:eastAsia="仿宋_GB2312"/>
          <w:b/>
          <w:bCs/>
          <w:color w:val="auto"/>
          <w:spacing w:val="-6"/>
          <w:sz w:val="32"/>
          <w:szCs w:val="32"/>
          <w:lang w:eastAsia="zh-CN"/>
        </w:rPr>
        <w:t>（二）初核推荐。</w:t>
      </w:r>
      <w:r>
        <w:rPr>
          <w:rFonts w:hint="eastAsia" w:ascii="仿宋_GB2312" w:hAnsi="华文仿宋" w:eastAsia="仿宋_GB2312"/>
          <w:color w:val="auto"/>
          <w:spacing w:val="-6"/>
          <w:sz w:val="32"/>
          <w:szCs w:val="32"/>
          <w:lang w:eastAsia="zh-CN"/>
        </w:rPr>
        <w:t>各区金融工作部门对申报材料进行初核后，将初核意见、推荐名单及原始申报材料送市金融办复审认定。</w:t>
      </w:r>
    </w:p>
    <w:p>
      <w:pPr>
        <w:keepNext w:val="0"/>
        <w:keepLines w:val="0"/>
        <w:pageBreakBefore w:val="0"/>
        <w:kinsoku/>
        <w:wordWrap/>
        <w:overflowPunct/>
        <w:topLinePunct w:val="0"/>
        <w:autoSpaceDE w:val="0"/>
        <w:autoSpaceDN w:val="0"/>
        <w:bidi w:val="0"/>
        <w:adjustRightInd/>
        <w:spacing w:line="560" w:lineRule="exact"/>
        <w:ind w:right="0" w:rightChars="0" w:firstLine="600"/>
        <w:jc w:val="both"/>
        <w:textAlignment w:val="auto"/>
        <w:rPr>
          <w:rFonts w:hint="eastAsia" w:ascii="仿宋_GB2312" w:hAnsi="华文仿宋" w:eastAsia="仿宋_GB2312"/>
          <w:color w:val="auto"/>
          <w:spacing w:val="-6"/>
          <w:sz w:val="32"/>
          <w:szCs w:val="32"/>
          <w:lang w:eastAsia="zh-CN"/>
        </w:rPr>
      </w:pPr>
      <w:r>
        <w:rPr>
          <w:rFonts w:hint="eastAsia" w:ascii="仿宋_GB2312" w:hAnsi="华文仿宋" w:eastAsia="仿宋_GB2312"/>
          <w:b/>
          <w:bCs/>
          <w:color w:val="auto"/>
          <w:spacing w:val="-6"/>
          <w:sz w:val="32"/>
          <w:szCs w:val="32"/>
          <w:lang w:eastAsia="zh-CN"/>
        </w:rPr>
        <w:t>（三）复审</w:t>
      </w:r>
      <w:r>
        <w:rPr>
          <w:rFonts w:hint="eastAsia" w:ascii="仿宋_GB2312" w:hAnsi="华文仿宋" w:eastAsia="仿宋_GB2312" w:cs="华文仿宋"/>
          <w:b w:val="0"/>
          <w:bCs w:val="0"/>
          <w:color w:val="auto"/>
          <w:spacing w:val="-6"/>
          <w:sz w:val="32"/>
          <w:szCs w:val="32"/>
          <w:lang w:eastAsia="zh-CN"/>
        </w:rPr>
        <w:t>。</w:t>
      </w:r>
      <w:r>
        <w:rPr>
          <w:rFonts w:hint="eastAsia" w:ascii="仿宋_GB2312" w:hAnsi="华文仿宋" w:eastAsia="仿宋_GB2312" w:cs="华文仿宋"/>
          <w:color w:val="auto"/>
          <w:spacing w:val="-6"/>
          <w:sz w:val="32"/>
          <w:szCs w:val="32"/>
        </w:rPr>
        <w:t>市</w:t>
      </w:r>
      <w:r>
        <w:rPr>
          <w:rFonts w:hint="eastAsia" w:ascii="仿宋_GB2312" w:hAnsi="华文仿宋" w:eastAsia="仿宋_GB2312" w:cs="华文仿宋"/>
          <w:color w:val="auto"/>
          <w:spacing w:val="-6"/>
          <w:sz w:val="32"/>
          <w:szCs w:val="32"/>
          <w:lang w:eastAsia="zh-CN"/>
        </w:rPr>
        <w:t>金融办根据推荐名单，将需要核算的数据分类汇总后分</w:t>
      </w:r>
      <w:r>
        <w:rPr>
          <w:rFonts w:hint="eastAsia" w:ascii="仿宋_GB2312" w:hAnsi="华文仿宋" w:eastAsia="仿宋_GB2312" w:cstheme="minorBidi"/>
          <w:color w:val="auto"/>
          <w:spacing w:val="-6"/>
          <w:sz w:val="32"/>
          <w:szCs w:val="32"/>
          <w:lang w:eastAsia="zh-CN"/>
        </w:rPr>
        <w:t>送税务、统计和规划国土等部</w:t>
      </w:r>
      <w:r>
        <w:rPr>
          <w:rFonts w:hint="eastAsia" w:ascii="仿宋_GB2312" w:hAnsi="华文仿宋" w:eastAsia="仿宋_GB2312" w:cs="华文仿宋"/>
          <w:color w:val="auto"/>
          <w:spacing w:val="-6"/>
          <w:sz w:val="32"/>
          <w:szCs w:val="32"/>
          <w:lang w:eastAsia="zh-CN"/>
        </w:rPr>
        <w:t>门核查；市金</w:t>
      </w:r>
      <w:r>
        <w:rPr>
          <w:rFonts w:hint="eastAsia" w:ascii="仿宋_GB2312" w:hAnsi="华文仿宋" w:eastAsia="仿宋_GB2312"/>
          <w:color w:val="auto"/>
          <w:spacing w:val="-6"/>
          <w:sz w:val="32"/>
          <w:szCs w:val="32"/>
          <w:lang w:eastAsia="zh-CN"/>
        </w:rPr>
        <w:t>融办根据各部门核查意见，审核符合条件的基地和楼宇纳入拟认定的市级重点金融产业基地和市级重点金融楼宇名录。</w:t>
      </w:r>
    </w:p>
    <w:p>
      <w:pPr>
        <w:keepNext w:val="0"/>
        <w:keepLines w:val="0"/>
        <w:pageBreakBefore w:val="0"/>
        <w:kinsoku/>
        <w:wordWrap/>
        <w:overflowPunct/>
        <w:topLinePunct w:val="0"/>
        <w:autoSpaceDE w:val="0"/>
        <w:autoSpaceDN w:val="0"/>
        <w:bidi w:val="0"/>
        <w:adjustRightInd/>
        <w:spacing w:line="560" w:lineRule="exact"/>
        <w:ind w:right="0" w:rightChars="0" w:firstLine="600"/>
        <w:jc w:val="both"/>
        <w:textAlignment w:val="auto"/>
        <w:rPr>
          <w:rFonts w:ascii="仿宋_GB2312" w:hAnsi="华文仿宋" w:eastAsia="仿宋_GB2312"/>
          <w:color w:val="auto"/>
          <w:spacing w:val="-6"/>
          <w:sz w:val="32"/>
          <w:szCs w:val="32"/>
        </w:rPr>
      </w:pPr>
      <w:r>
        <w:rPr>
          <w:rFonts w:hint="eastAsia" w:ascii="仿宋_GB2312" w:hAnsi="华文仿宋" w:eastAsia="仿宋_GB2312"/>
          <w:b/>
          <w:bCs/>
          <w:color w:val="auto"/>
          <w:spacing w:val="-6"/>
          <w:sz w:val="32"/>
          <w:szCs w:val="32"/>
          <w:lang w:eastAsia="zh-CN"/>
        </w:rPr>
        <w:t>（四）</w:t>
      </w:r>
      <w:r>
        <w:rPr>
          <w:rFonts w:hint="eastAsia" w:ascii="仿宋_GB2312" w:hAnsi="华文仿宋" w:eastAsia="仿宋_GB2312"/>
          <w:b/>
          <w:bCs/>
          <w:color w:val="auto"/>
          <w:spacing w:val="-6"/>
          <w:sz w:val="32"/>
          <w:szCs w:val="32"/>
        </w:rPr>
        <w:t>公示</w:t>
      </w:r>
      <w:r>
        <w:rPr>
          <w:rFonts w:hint="eastAsia" w:ascii="仿宋_GB2312" w:hAnsi="华文仿宋" w:eastAsia="仿宋_GB2312"/>
          <w:b/>
          <w:bCs/>
          <w:color w:val="auto"/>
          <w:spacing w:val="-6"/>
          <w:sz w:val="32"/>
          <w:szCs w:val="32"/>
          <w:lang w:eastAsia="zh-CN"/>
        </w:rPr>
        <w:t>。</w:t>
      </w:r>
      <w:r>
        <w:rPr>
          <w:rFonts w:hint="eastAsia" w:ascii="仿宋_GB2312" w:hAnsi="华文仿宋" w:eastAsia="仿宋_GB2312"/>
          <w:color w:val="auto"/>
          <w:spacing w:val="-6"/>
          <w:sz w:val="32"/>
          <w:szCs w:val="32"/>
          <w:lang w:eastAsia="zh-CN"/>
        </w:rPr>
        <w:t>市金融办将拟认定的市级重点金融产业基地和重点金融楼宇名单</w:t>
      </w:r>
      <w:r>
        <w:rPr>
          <w:rFonts w:hint="eastAsia" w:ascii="仿宋_GB2312" w:hAnsi="仿宋_GB2312" w:eastAsia="仿宋_GB2312" w:cs="仿宋_GB2312"/>
          <w:color w:val="auto"/>
          <w:kern w:val="0"/>
          <w:sz w:val="32"/>
          <w:szCs w:val="32"/>
        </w:rPr>
        <w:t>在</w:t>
      </w:r>
      <w:r>
        <w:rPr>
          <w:rFonts w:hint="eastAsia" w:ascii="仿宋_GB2312" w:hAnsi="仿宋_GB2312" w:eastAsia="仿宋_GB2312" w:cs="仿宋_GB2312"/>
          <w:color w:val="auto"/>
          <w:kern w:val="0"/>
          <w:sz w:val="32"/>
          <w:szCs w:val="32"/>
          <w:lang w:eastAsia="zh-CN"/>
        </w:rPr>
        <w:t>本部门</w:t>
      </w:r>
      <w:r>
        <w:rPr>
          <w:rFonts w:hint="eastAsia" w:ascii="仿宋_GB2312" w:hAnsi="仿宋_GB2312" w:eastAsia="仿宋_GB2312" w:cs="仿宋_GB2312"/>
          <w:color w:val="auto"/>
          <w:kern w:val="0"/>
          <w:sz w:val="32"/>
          <w:szCs w:val="32"/>
        </w:rPr>
        <w:t>官方网站上</w:t>
      </w:r>
      <w:r>
        <w:rPr>
          <w:rFonts w:ascii="仿宋_GB2312" w:hAnsi="华文仿宋" w:eastAsia="仿宋_GB2312"/>
          <w:color w:val="auto"/>
          <w:spacing w:val="-6"/>
          <w:sz w:val="32"/>
          <w:szCs w:val="32"/>
        </w:rPr>
        <w:t>向社会公示</w:t>
      </w:r>
      <w:r>
        <w:rPr>
          <w:rFonts w:hint="eastAsia" w:ascii="仿宋_GB2312" w:hAnsi="华文仿宋" w:eastAsia="仿宋_GB2312"/>
          <w:color w:val="auto"/>
          <w:spacing w:val="-6"/>
          <w:sz w:val="32"/>
          <w:szCs w:val="32"/>
          <w:lang w:val="en-US" w:eastAsia="zh-CN"/>
        </w:rPr>
        <w:t>5</w:t>
      </w:r>
      <w:r>
        <w:rPr>
          <w:rFonts w:ascii="仿宋_GB2312" w:hAnsi="华文仿宋" w:eastAsia="仿宋_GB2312"/>
          <w:color w:val="auto"/>
          <w:spacing w:val="-6"/>
          <w:sz w:val="32"/>
          <w:szCs w:val="32"/>
        </w:rPr>
        <w:t>个工作日，接受社会监督和意见反馈。</w:t>
      </w:r>
    </w:p>
    <w:p>
      <w:pPr>
        <w:keepNext w:val="0"/>
        <w:keepLines w:val="0"/>
        <w:pageBreakBefore w:val="0"/>
        <w:kinsoku/>
        <w:wordWrap/>
        <w:overflowPunct/>
        <w:topLinePunct w:val="0"/>
        <w:autoSpaceDE w:val="0"/>
        <w:autoSpaceDN w:val="0"/>
        <w:bidi w:val="0"/>
        <w:adjustRightInd/>
        <w:spacing w:line="560" w:lineRule="exact"/>
        <w:ind w:right="0" w:rightChars="0" w:firstLine="619" w:firstLineChars="200"/>
        <w:jc w:val="both"/>
        <w:textAlignment w:val="auto"/>
        <w:rPr>
          <w:rFonts w:hint="eastAsia" w:ascii="仿宋_GB2312" w:hAnsi="华文仿宋" w:eastAsia="仿宋_GB2312"/>
          <w:color w:val="auto"/>
          <w:spacing w:val="-6"/>
          <w:sz w:val="32"/>
          <w:szCs w:val="32"/>
        </w:rPr>
      </w:pPr>
      <w:r>
        <w:rPr>
          <w:rFonts w:hint="eastAsia" w:ascii="仿宋_GB2312" w:hAnsi="华文仿宋" w:eastAsia="仿宋_GB2312"/>
          <w:b/>
          <w:bCs/>
          <w:color w:val="auto"/>
          <w:spacing w:val="-6"/>
          <w:sz w:val="32"/>
          <w:szCs w:val="32"/>
          <w:lang w:eastAsia="zh-CN"/>
        </w:rPr>
        <w:t>（五）认定</w:t>
      </w:r>
      <w:r>
        <w:rPr>
          <w:rFonts w:hint="eastAsia" w:ascii="仿宋_GB2312" w:hAnsi="华文仿宋" w:eastAsia="仿宋_GB2312"/>
          <w:color w:val="auto"/>
          <w:spacing w:val="-6"/>
          <w:sz w:val="32"/>
          <w:szCs w:val="32"/>
          <w:lang w:eastAsia="zh-CN"/>
        </w:rPr>
        <w:t>。</w:t>
      </w:r>
      <w:r>
        <w:rPr>
          <w:rFonts w:hint="eastAsia" w:ascii="仿宋_GB2312" w:hAnsi="华文仿宋" w:eastAsia="仿宋_GB2312" w:cstheme="minorBidi"/>
          <w:color w:val="auto"/>
          <w:spacing w:val="-6"/>
          <w:sz w:val="32"/>
          <w:szCs w:val="32"/>
        </w:rPr>
        <w:t>市</w:t>
      </w:r>
      <w:r>
        <w:rPr>
          <w:rFonts w:hint="eastAsia" w:ascii="仿宋_GB2312" w:hAnsi="华文仿宋" w:eastAsia="仿宋_GB2312" w:cstheme="minorBidi"/>
          <w:color w:val="auto"/>
          <w:spacing w:val="-6"/>
          <w:sz w:val="32"/>
          <w:szCs w:val="32"/>
          <w:lang w:eastAsia="zh-CN"/>
        </w:rPr>
        <w:t>金融办将公示无异议的</w:t>
      </w:r>
      <w:r>
        <w:rPr>
          <w:rFonts w:hint="eastAsia" w:ascii="仿宋_GB2312" w:hAnsi="华文仿宋" w:eastAsia="仿宋_GB2312"/>
          <w:color w:val="auto"/>
          <w:spacing w:val="-6"/>
          <w:sz w:val="32"/>
          <w:szCs w:val="32"/>
          <w:lang w:eastAsia="zh-CN"/>
        </w:rPr>
        <w:t>拟认定重点金融产业基地和重点金融楼宇名单报市政府审定。</w:t>
      </w:r>
    </w:p>
    <w:p>
      <w:pPr>
        <w:keepNext w:val="0"/>
        <w:keepLines w:val="0"/>
        <w:pageBreakBefore w:val="0"/>
        <w:kinsoku/>
        <w:wordWrap/>
        <w:overflowPunct/>
        <w:topLinePunct w:val="0"/>
        <w:autoSpaceDE w:val="0"/>
        <w:autoSpaceDN w:val="0"/>
        <w:bidi w:val="0"/>
        <w:adjustRightInd/>
        <w:spacing w:line="560" w:lineRule="exact"/>
        <w:ind w:right="0" w:rightChars="0" w:firstLine="600"/>
        <w:jc w:val="both"/>
        <w:textAlignment w:val="auto"/>
        <w:rPr>
          <w:rFonts w:ascii="仿宋_GB2312" w:hAnsi="华文仿宋" w:eastAsia="仿宋_GB2312"/>
          <w:bCs w:val="0"/>
          <w:color w:val="auto"/>
          <w:spacing w:val="-6"/>
          <w:sz w:val="32"/>
          <w:szCs w:val="32"/>
        </w:rPr>
      </w:pPr>
      <w:r>
        <w:rPr>
          <w:rFonts w:hint="default" w:ascii="仿宋_GB2312" w:hAnsi="华文仿宋" w:eastAsia="仿宋_GB2312"/>
          <w:b/>
          <w:bCs/>
          <w:color w:val="auto"/>
          <w:spacing w:val="-6"/>
          <w:sz w:val="32"/>
          <w:szCs w:val="32"/>
        </w:rPr>
        <w:t>（</w:t>
      </w:r>
      <w:r>
        <w:rPr>
          <w:rFonts w:hint="eastAsia" w:ascii="仿宋_GB2312" w:hAnsi="华文仿宋" w:eastAsia="仿宋_GB2312"/>
          <w:b/>
          <w:bCs/>
          <w:color w:val="auto"/>
          <w:spacing w:val="-6"/>
          <w:sz w:val="32"/>
          <w:szCs w:val="32"/>
          <w:lang w:eastAsia="zh-CN"/>
        </w:rPr>
        <w:t>六</w:t>
      </w:r>
      <w:r>
        <w:rPr>
          <w:rFonts w:hint="default" w:ascii="仿宋_GB2312" w:hAnsi="华文仿宋" w:eastAsia="仿宋_GB2312"/>
          <w:b/>
          <w:bCs/>
          <w:color w:val="auto"/>
          <w:spacing w:val="-6"/>
          <w:sz w:val="32"/>
          <w:szCs w:val="32"/>
        </w:rPr>
        <w:t>）</w:t>
      </w:r>
      <w:r>
        <w:rPr>
          <w:rFonts w:hint="default" w:ascii="仿宋_GB2312" w:hAnsi="华文仿宋" w:eastAsia="仿宋_GB2312"/>
          <w:b/>
          <w:bCs/>
          <w:color w:val="auto"/>
          <w:spacing w:val="-6"/>
          <w:sz w:val="32"/>
          <w:szCs w:val="32"/>
          <w:lang w:eastAsia="zh-CN"/>
        </w:rPr>
        <w:t>结果反馈</w:t>
      </w:r>
      <w:r>
        <w:rPr>
          <w:rFonts w:hint="default" w:ascii="仿宋_GB2312" w:hAnsi="华文仿宋" w:eastAsia="仿宋_GB2312"/>
          <w:b/>
          <w:bCs/>
          <w:color w:val="auto"/>
          <w:spacing w:val="-6"/>
          <w:sz w:val="32"/>
          <w:szCs w:val="32"/>
        </w:rPr>
        <w:t>。</w:t>
      </w:r>
      <w:r>
        <w:rPr>
          <w:rFonts w:hint="eastAsia" w:ascii="仿宋_GB2312" w:hAnsi="华文仿宋" w:eastAsia="仿宋_GB2312"/>
          <w:b w:val="0"/>
          <w:bCs w:val="0"/>
          <w:color w:val="auto"/>
          <w:spacing w:val="-6"/>
          <w:sz w:val="32"/>
          <w:szCs w:val="32"/>
          <w:lang w:eastAsia="zh-CN"/>
        </w:rPr>
        <w:t>市</w:t>
      </w:r>
      <w:r>
        <w:rPr>
          <w:rFonts w:hint="eastAsia" w:ascii="仿宋_GB2312" w:hAnsi="华文仿宋" w:eastAsia="仿宋_GB2312" w:cstheme="minorBidi"/>
          <w:color w:val="auto"/>
          <w:spacing w:val="-6"/>
          <w:sz w:val="32"/>
          <w:szCs w:val="32"/>
          <w:lang w:eastAsia="zh-CN"/>
        </w:rPr>
        <w:t>金融办将市政府审定后的认定名单在本部门官方网站上发布，并反馈至各区金融工作部门。</w:t>
      </w:r>
    </w:p>
    <w:p>
      <w:pPr>
        <w:keepNext w:val="0"/>
        <w:keepLines w:val="0"/>
        <w:pageBreakBefore w:val="0"/>
        <w:numPr>
          <w:ilvl w:val="0"/>
          <w:numId w:val="0"/>
        </w:numPr>
        <w:kinsoku/>
        <w:wordWrap/>
        <w:overflowPunct/>
        <w:topLinePunct w:val="0"/>
        <w:bidi w:val="0"/>
        <w:adjustRightInd/>
        <w:spacing w:line="560" w:lineRule="exact"/>
        <w:ind w:leftChars="0" w:right="0" w:rightChars="0"/>
        <w:jc w:val="both"/>
        <w:textAlignment w:val="auto"/>
        <w:rPr>
          <w:rFonts w:hint="eastAsia" w:ascii="黑体" w:hAnsi="黑体" w:eastAsia="黑体" w:cs="Times New Roman"/>
          <w:color w:val="auto"/>
          <w:kern w:val="0"/>
          <w:sz w:val="32"/>
          <w:szCs w:val="24"/>
          <w:lang w:val="en-US" w:eastAsia="zh-CN"/>
        </w:rPr>
      </w:pPr>
    </w:p>
    <w:p>
      <w:pPr>
        <w:keepNext w:val="0"/>
        <w:keepLines w:val="0"/>
        <w:pageBreakBefore w:val="0"/>
        <w:numPr>
          <w:ilvl w:val="0"/>
          <w:numId w:val="0"/>
        </w:numPr>
        <w:kinsoku/>
        <w:wordWrap/>
        <w:overflowPunct/>
        <w:topLinePunct w:val="0"/>
        <w:bidi w:val="0"/>
        <w:adjustRightInd/>
        <w:spacing w:line="560" w:lineRule="exact"/>
        <w:ind w:right="0" w:rightChars="0"/>
        <w:jc w:val="center"/>
        <w:textAlignment w:val="auto"/>
        <w:rPr>
          <w:rFonts w:hint="eastAsia" w:ascii="黑体" w:hAnsi="黑体" w:eastAsia="黑体" w:cs="Times New Roman"/>
          <w:color w:val="auto"/>
          <w:kern w:val="0"/>
          <w:sz w:val="32"/>
          <w:szCs w:val="24"/>
          <w:lang w:val="en-US" w:eastAsia="zh-CN"/>
        </w:rPr>
      </w:pPr>
      <w:r>
        <w:rPr>
          <w:rFonts w:hint="eastAsia" w:ascii="黑体" w:hAnsi="黑体" w:eastAsia="黑体" w:cs="Times New Roman"/>
          <w:color w:val="auto"/>
          <w:kern w:val="0"/>
          <w:sz w:val="32"/>
          <w:szCs w:val="24"/>
          <w:lang w:val="en-US" w:eastAsia="zh-CN"/>
        </w:rPr>
        <w:t>第五章 扶持与管理</w:t>
      </w:r>
    </w:p>
    <w:p>
      <w:pPr>
        <w:keepNext w:val="0"/>
        <w:keepLines w:val="0"/>
        <w:pageBreakBefore w:val="0"/>
        <w:widowControl/>
        <w:kinsoku/>
        <w:wordWrap/>
        <w:overflowPunct/>
        <w:topLinePunct w:val="0"/>
        <w:bidi w:val="0"/>
        <w:adjustRightInd/>
        <w:snapToGrid w:val="0"/>
        <w:spacing w:line="560" w:lineRule="exact"/>
        <w:ind w:right="0" w:rightChars="0" w:firstLine="630" w:firstLineChars="196"/>
        <w:textAlignment w:val="auto"/>
        <w:outlineLvl w:val="1"/>
        <w:rPr>
          <w:rFonts w:hint="eastAsia" w:ascii="仿宋_GB2312" w:hAnsi="Calibri" w:eastAsia="仿宋_GB2312" w:cs="Times New Roman"/>
          <w:color w:val="auto"/>
          <w:kern w:val="0"/>
          <w:sz w:val="32"/>
          <w:szCs w:val="24"/>
          <w:lang w:eastAsia="zh-CN"/>
        </w:rPr>
      </w:pPr>
      <w:r>
        <w:rPr>
          <w:rFonts w:hint="eastAsia" w:ascii="仿宋_GB2312" w:hAnsi="宋体" w:eastAsia="仿宋_GB2312"/>
          <w:b/>
          <w:color w:val="auto"/>
          <w:sz w:val="32"/>
          <w:szCs w:val="32"/>
        </w:rPr>
        <w:t>第</w:t>
      </w:r>
      <w:r>
        <w:rPr>
          <w:rFonts w:hint="eastAsia" w:ascii="仿宋_GB2312" w:hAnsi="宋体" w:eastAsia="仿宋_GB2312"/>
          <w:b/>
          <w:color w:val="auto"/>
          <w:sz w:val="32"/>
          <w:szCs w:val="32"/>
          <w:lang w:eastAsia="zh-CN"/>
        </w:rPr>
        <w:t>十五</w:t>
      </w:r>
      <w:r>
        <w:rPr>
          <w:rFonts w:hint="eastAsia" w:ascii="仿宋_GB2312" w:hAnsi="宋体" w:eastAsia="仿宋_GB2312"/>
          <w:b/>
          <w:color w:val="auto"/>
          <w:sz w:val="32"/>
          <w:szCs w:val="32"/>
        </w:rPr>
        <w:t>条</w:t>
      </w: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入驻市级重点金融产业基地或市级重点金融楼宇，且在《若干措施》扶持补贴范围内的金融企业，可参照</w:t>
      </w:r>
      <w:r>
        <w:rPr>
          <w:rFonts w:hint="eastAsia" w:ascii="仿宋_GB2312" w:hAnsi="Calibri" w:eastAsia="仿宋_GB2312" w:cs="Times New Roman"/>
          <w:color w:val="auto"/>
          <w:kern w:val="0"/>
          <w:sz w:val="32"/>
          <w:szCs w:val="24"/>
        </w:rPr>
        <w:t>《</w:t>
      </w:r>
      <w:r>
        <w:rPr>
          <w:rFonts w:hint="eastAsia" w:ascii="仿宋_GB2312" w:hAnsi="Calibri" w:eastAsia="仿宋_GB2312" w:cs="Times New Roman"/>
          <w:color w:val="auto"/>
          <w:kern w:val="0"/>
          <w:sz w:val="32"/>
          <w:szCs w:val="24"/>
          <w:lang w:eastAsia="zh-CN"/>
        </w:rPr>
        <w:t>若干措施</w:t>
      </w:r>
      <w:r>
        <w:rPr>
          <w:rFonts w:hint="eastAsia" w:ascii="仿宋_GB2312" w:hAnsi="Calibri" w:eastAsia="仿宋_GB2312" w:cs="Times New Roman"/>
          <w:color w:val="auto"/>
          <w:kern w:val="0"/>
          <w:sz w:val="32"/>
          <w:szCs w:val="24"/>
        </w:rPr>
        <w:t>》</w:t>
      </w:r>
      <w:r>
        <w:rPr>
          <w:rFonts w:hint="eastAsia" w:ascii="仿宋_GB2312" w:hAnsi="Calibri" w:eastAsia="仿宋_GB2312" w:cs="Times New Roman"/>
          <w:color w:val="auto"/>
          <w:kern w:val="0"/>
          <w:sz w:val="32"/>
          <w:szCs w:val="24"/>
          <w:lang w:eastAsia="zh-CN"/>
        </w:rPr>
        <w:t>第（十五）条、第（十八）条标准</w:t>
      </w:r>
      <w:r>
        <w:rPr>
          <w:rFonts w:hint="eastAsia" w:ascii="仿宋_GB2312" w:hAnsi="宋体" w:eastAsia="仿宋_GB2312"/>
          <w:color w:val="auto"/>
          <w:sz w:val="32"/>
          <w:szCs w:val="32"/>
        </w:rPr>
        <w:t>享受</w:t>
      </w:r>
      <w:r>
        <w:rPr>
          <w:rFonts w:hint="eastAsia" w:ascii="仿宋_GB2312" w:hAnsi="宋体" w:eastAsia="仿宋_GB2312"/>
          <w:color w:val="auto"/>
          <w:sz w:val="32"/>
          <w:szCs w:val="32"/>
          <w:lang w:eastAsia="zh-CN"/>
        </w:rPr>
        <w:t>自用办公用房租房补贴；申请自用办公用房租房补贴的金融企业，必须未享受过用地建设奖励金、购房补贴和市级其他同类型优惠政策。</w:t>
      </w:r>
      <w:r>
        <w:rPr>
          <w:rFonts w:hint="eastAsia" w:ascii="仿宋_GB2312" w:hAnsi="Calibri" w:eastAsia="仿宋_GB2312" w:cs="Times New Roman"/>
          <w:b w:val="0"/>
          <w:i w:val="0"/>
          <w:caps w:val="0"/>
          <w:color w:val="auto"/>
          <w:spacing w:val="0"/>
          <w:kern w:val="0"/>
          <w:sz w:val="32"/>
          <w:szCs w:val="24"/>
          <w:shd w:val="clear" w:fill="auto"/>
        </w:rPr>
        <w:t>各区可</w:t>
      </w:r>
      <w:r>
        <w:rPr>
          <w:rFonts w:hint="eastAsia" w:ascii="仿宋_GB2312" w:hAnsi="Calibri" w:eastAsia="仿宋_GB2312" w:cs="Times New Roman"/>
          <w:b w:val="0"/>
          <w:i w:val="0"/>
          <w:caps w:val="0"/>
          <w:color w:val="auto"/>
          <w:spacing w:val="0"/>
          <w:kern w:val="0"/>
          <w:sz w:val="32"/>
          <w:szCs w:val="24"/>
          <w:shd w:val="clear" w:fill="auto"/>
          <w:lang w:eastAsia="zh-CN"/>
        </w:rPr>
        <w:t>参照</w:t>
      </w:r>
      <w:r>
        <w:rPr>
          <w:rFonts w:hint="eastAsia" w:ascii="仿宋_GB2312" w:hAnsi="Calibri" w:eastAsia="仿宋_GB2312" w:cs="Times New Roman"/>
          <w:b w:val="0"/>
          <w:i w:val="0"/>
          <w:caps w:val="0"/>
          <w:color w:val="auto"/>
          <w:spacing w:val="0"/>
          <w:kern w:val="0"/>
          <w:sz w:val="32"/>
          <w:szCs w:val="24"/>
          <w:shd w:val="clear"/>
          <w:lang w:val="en-US" w:eastAsia="zh-CN"/>
        </w:rPr>
        <w:t>《若干措施》和</w:t>
      </w:r>
      <w:r>
        <w:rPr>
          <w:rFonts w:hint="eastAsia" w:ascii="仿宋_GB2312" w:hAnsi="Calibri" w:eastAsia="仿宋_GB2312" w:cs="Times New Roman"/>
          <w:b w:val="0"/>
          <w:i w:val="0"/>
          <w:caps w:val="0"/>
          <w:color w:val="auto"/>
          <w:spacing w:val="0"/>
          <w:kern w:val="0"/>
          <w:sz w:val="32"/>
          <w:szCs w:val="24"/>
          <w:shd w:val="clear" w:fill="auto"/>
        </w:rPr>
        <w:t>本办法</w:t>
      </w:r>
      <w:r>
        <w:rPr>
          <w:rFonts w:hint="eastAsia" w:ascii="仿宋_GB2312" w:hAnsi="Calibri" w:eastAsia="仿宋_GB2312" w:cs="Times New Roman"/>
          <w:b w:val="0"/>
          <w:i w:val="0"/>
          <w:caps w:val="0"/>
          <w:color w:val="auto"/>
          <w:spacing w:val="0"/>
          <w:kern w:val="0"/>
          <w:sz w:val="32"/>
          <w:szCs w:val="24"/>
          <w:shd w:val="clear"/>
          <w:lang w:eastAsia="zh-CN"/>
        </w:rPr>
        <w:t>，</w:t>
      </w:r>
      <w:r>
        <w:rPr>
          <w:rFonts w:hint="eastAsia" w:ascii="仿宋_GB2312" w:hAnsi="Calibri" w:eastAsia="仿宋_GB2312" w:cs="Times New Roman"/>
          <w:b w:val="0"/>
          <w:i w:val="0"/>
          <w:caps w:val="0"/>
          <w:color w:val="auto"/>
          <w:spacing w:val="0"/>
          <w:kern w:val="0"/>
          <w:sz w:val="32"/>
          <w:szCs w:val="24"/>
          <w:shd w:val="clear" w:fill="auto"/>
        </w:rPr>
        <w:t>结合本区</w:t>
      </w:r>
      <w:r>
        <w:rPr>
          <w:rFonts w:hint="eastAsia" w:ascii="仿宋_GB2312" w:hAnsi="Calibri" w:eastAsia="仿宋_GB2312" w:cs="Times New Roman"/>
          <w:b w:val="0"/>
          <w:i w:val="0"/>
          <w:caps w:val="0"/>
          <w:color w:val="auto"/>
          <w:spacing w:val="0"/>
          <w:kern w:val="0"/>
          <w:sz w:val="32"/>
          <w:szCs w:val="24"/>
          <w:shd w:val="clear"/>
          <w:lang w:eastAsia="zh-CN"/>
        </w:rPr>
        <w:t>金融产业发展情况</w:t>
      </w:r>
      <w:r>
        <w:rPr>
          <w:rFonts w:hint="eastAsia" w:ascii="仿宋_GB2312" w:hAnsi="Calibri" w:eastAsia="仿宋_GB2312" w:cs="Times New Roman"/>
          <w:b w:val="0"/>
          <w:i w:val="0"/>
          <w:caps w:val="0"/>
          <w:color w:val="auto"/>
          <w:spacing w:val="0"/>
          <w:kern w:val="0"/>
          <w:sz w:val="32"/>
          <w:szCs w:val="24"/>
          <w:shd w:val="clear" w:fill="auto"/>
        </w:rPr>
        <w:t>，制定</w:t>
      </w:r>
      <w:r>
        <w:rPr>
          <w:rFonts w:hint="eastAsia" w:ascii="仿宋_GB2312" w:hAnsi="Calibri" w:eastAsia="仿宋_GB2312" w:cs="Times New Roman"/>
          <w:b w:val="0"/>
          <w:i w:val="0"/>
          <w:caps w:val="0"/>
          <w:color w:val="auto"/>
          <w:spacing w:val="0"/>
          <w:kern w:val="0"/>
          <w:sz w:val="32"/>
          <w:szCs w:val="24"/>
          <w:shd w:val="clear"/>
          <w:lang w:eastAsia="zh-CN"/>
        </w:rPr>
        <w:t>区级的配套</w:t>
      </w:r>
      <w:r>
        <w:rPr>
          <w:rFonts w:hint="eastAsia" w:ascii="仿宋_GB2312" w:hAnsi="Calibri" w:eastAsia="仿宋_GB2312" w:cs="Times New Roman"/>
          <w:b w:val="0"/>
          <w:i w:val="0"/>
          <w:caps w:val="0"/>
          <w:color w:val="auto"/>
          <w:spacing w:val="0"/>
          <w:kern w:val="0"/>
          <w:sz w:val="32"/>
          <w:szCs w:val="24"/>
          <w:shd w:val="clear" w:fill="auto"/>
        </w:rPr>
        <w:t>支持政策</w:t>
      </w:r>
      <w:r>
        <w:rPr>
          <w:rFonts w:hint="eastAsia" w:ascii="仿宋_GB2312" w:hAnsi="Calibri" w:eastAsia="仿宋_GB2312" w:cs="Times New Roman"/>
          <w:b w:val="0"/>
          <w:i w:val="0"/>
          <w:caps w:val="0"/>
          <w:color w:val="auto"/>
          <w:spacing w:val="0"/>
          <w:kern w:val="0"/>
          <w:sz w:val="32"/>
          <w:szCs w:val="24"/>
          <w:shd w:val="clear"/>
          <w:lang w:eastAsia="zh-CN"/>
        </w:rPr>
        <w:t>。</w:t>
      </w:r>
    </w:p>
    <w:p>
      <w:pPr>
        <w:keepNext w:val="0"/>
        <w:keepLines w:val="0"/>
        <w:pageBreakBefore w:val="0"/>
        <w:widowControl/>
        <w:kinsoku/>
        <w:wordWrap/>
        <w:overflowPunct/>
        <w:topLinePunct w:val="0"/>
        <w:bidi w:val="0"/>
        <w:adjustRightInd/>
        <w:snapToGrid w:val="0"/>
        <w:spacing w:before="0" w:beforeLines="0" w:after="0" w:afterLines="0" w:line="560" w:lineRule="exact"/>
        <w:ind w:right="0" w:rightChars="0" w:firstLine="630" w:firstLineChars="196"/>
        <w:jc w:val="both"/>
        <w:textAlignment w:val="auto"/>
        <w:outlineLvl w:val="1"/>
        <w:rPr>
          <w:rFonts w:hint="eastAsia" w:ascii="仿宋_GB2312" w:hAnsi="宋体" w:eastAsia="仿宋_GB2312"/>
          <w:color w:val="auto"/>
          <w:sz w:val="32"/>
          <w:szCs w:val="32"/>
          <w:highlight w:val="none"/>
          <w:shd w:val="clear" w:fill="FFFFFF"/>
          <w:lang w:eastAsia="zh-CN"/>
        </w:rPr>
      </w:pPr>
      <w:r>
        <w:rPr>
          <w:rFonts w:hint="eastAsia" w:ascii="仿宋_GB2312" w:hAnsi="宋体" w:eastAsia="仿宋_GB2312"/>
          <w:b/>
          <w:color w:val="auto"/>
          <w:sz w:val="32"/>
          <w:szCs w:val="32"/>
        </w:rPr>
        <w:t>第十</w:t>
      </w:r>
      <w:r>
        <w:rPr>
          <w:rFonts w:hint="eastAsia" w:ascii="仿宋_GB2312" w:hAnsi="宋体" w:eastAsia="仿宋_GB2312"/>
          <w:b/>
          <w:color w:val="auto"/>
          <w:sz w:val="32"/>
          <w:szCs w:val="32"/>
          <w:lang w:eastAsia="zh-CN"/>
        </w:rPr>
        <w:t>六</w:t>
      </w:r>
      <w:r>
        <w:rPr>
          <w:rFonts w:hint="eastAsia" w:ascii="仿宋_GB2312" w:hAnsi="宋体" w:eastAsia="仿宋_GB2312"/>
          <w:b/>
          <w:color w:val="auto"/>
          <w:sz w:val="32"/>
          <w:szCs w:val="32"/>
        </w:rPr>
        <w:t>条</w:t>
      </w:r>
      <w:r>
        <w:rPr>
          <w:rFonts w:hint="eastAsia" w:ascii="仿宋_GB2312" w:hAnsi="宋体" w:eastAsia="仿宋_GB2312"/>
          <w:b/>
          <w:color w:val="auto"/>
          <w:sz w:val="32"/>
          <w:szCs w:val="32"/>
          <w:lang w:val="en-US" w:eastAsia="zh-CN"/>
        </w:rPr>
        <w:t xml:space="preserve"> </w:t>
      </w:r>
      <w:r>
        <w:rPr>
          <w:rFonts w:hint="eastAsia" w:ascii="仿宋_GB2312" w:hAnsi="宋体" w:eastAsia="仿宋_GB2312" w:cstheme="minorBidi"/>
          <w:b w:val="0"/>
          <w:i w:val="0"/>
          <w:caps w:val="0"/>
          <w:color w:val="auto"/>
          <w:spacing w:val="0"/>
          <w:kern w:val="2"/>
          <w:sz w:val="32"/>
          <w:szCs w:val="32"/>
          <w:shd w:val="clear" w:fill="FFFFFF"/>
          <w:lang w:eastAsia="zh-CN" w:bidi="ar-SA"/>
        </w:rPr>
        <w:t>市金融办会同各区金融工作部门建立市级重点金融产业基地和市级重点金融楼宇的年度核查、</w:t>
      </w:r>
      <w:r>
        <w:rPr>
          <w:rFonts w:hint="eastAsia" w:ascii="仿宋_GB2312" w:hAnsi="宋体" w:eastAsia="仿宋_GB2312" w:cstheme="minorBidi"/>
          <w:b w:val="0"/>
          <w:i w:val="0"/>
          <w:caps w:val="0"/>
          <w:color w:val="auto"/>
          <w:spacing w:val="0"/>
          <w:kern w:val="2"/>
          <w:sz w:val="32"/>
          <w:szCs w:val="32"/>
          <w:shd w:val="clear" w:fill="FFFFFF"/>
          <w:lang w:bidi="ar-SA"/>
        </w:rPr>
        <w:t>动态</w:t>
      </w:r>
      <w:r>
        <w:rPr>
          <w:rFonts w:hint="eastAsia" w:ascii="仿宋_GB2312" w:hAnsi="宋体" w:eastAsia="仿宋_GB2312" w:cstheme="minorBidi"/>
          <w:b w:val="0"/>
          <w:i w:val="0"/>
          <w:caps w:val="0"/>
          <w:color w:val="auto"/>
          <w:spacing w:val="0"/>
          <w:kern w:val="2"/>
          <w:sz w:val="32"/>
          <w:szCs w:val="32"/>
          <w:shd w:val="clear"/>
          <w:lang w:eastAsia="zh-CN" w:bidi="ar-SA"/>
        </w:rPr>
        <w:t>更</w:t>
      </w:r>
      <w:r>
        <w:rPr>
          <w:rFonts w:hint="eastAsia" w:ascii="仿宋_GB2312" w:hAnsi="宋体" w:eastAsia="仿宋_GB2312" w:cstheme="minorBidi"/>
          <w:b w:val="0"/>
          <w:i w:val="0"/>
          <w:caps w:val="0"/>
          <w:color w:val="auto"/>
          <w:spacing w:val="0"/>
          <w:kern w:val="2"/>
          <w:sz w:val="32"/>
          <w:szCs w:val="32"/>
          <w:shd w:val="clear" w:fill="FFFFFF"/>
          <w:lang w:eastAsia="zh-CN" w:bidi="ar-SA"/>
        </w:rPr>
        <w:t>新</w:t>
      </w:r>
      <w:r>
        <w:rPr>
          <w:rFonts w:hint="eastAsia" w:ascii="仿宋_GB2312" w:hAnsi="宋体" w:eastAsia="仿宋_GB2312" w:cstheme="minorBidi"/>
          <w:b w:val="0"/>
          <w:i w:val="0"/>
          <w:caps w:val="0"/>
          <w:color w:val="auto"/>
          <w:spacing w:val="0"/>
          <w:kern w:val="2"/>
          <w:sz w:val="32"/>
          <w:szCs w:val="32"/>
          <w:shd w:val="clear" w:fill="FFFFFF"/>
          <w:lang w:bidi="ar-SA"/>
        </w:rPr>
        <w:t>机制，</w:t>
      </w:r>
      <w:r>
        <w:rPr>
          <w:rFonts w:hint="eastAsia" w:ascii="仿宋_GB2312" w:hAnsi="宋体" w:eastAsia="仿宋_GB2312"/>
          <w:color w:val="auto"/>
          <w:sz w:val="32"/>
          <w:szCs w:val="32"/>
          <w:shd w:val="clear" w:fill="FFFFFF"/>
          <w:lang w:eastAsia="zh-CN"/>
        </w:rPr>
        <w:t>申报单位需每年向所在区金融工作部门报送基地、楼宇内金融企业</w:t>
      </w:r>
      <w:r>
        <w:rPr>
          <w:rFonts w:hint="eastAsia" w:ascii="仿宋_GB2312" w:hAnsi="宋体" w:eastAsia="仿宋_GB2312"/>
          <w:color w:val="auto"/>
          <w:sz w:val="32"/>
          <w:szCs w:val="32"/>
          <w:shd w:val="clear" w:fill="FFFFFF"/>
        </w:rPr>
        <w:t>进</w:t>
      </w:r>
      <w:r>
        <w:rPr>
          <w:rFonts w:hint="eastAsia" w:ascii="仿宋_GB2312" w:hAnsi="宋体" w:eastAsia="仿宋_GB2312"/>
          <w:color w:val="auto"/>
          <w:sz w:val="32"/>
          <w:szCs w:val="32"/>
          <w:highlight w:val="none"/>
          <w:shd w:val="clear" w:fill="FFFFFF"/>
        </w:rPr>
        <w:t>驻、生产经营</w:t>
      </w:r>
      <w:r>
        <w:rPr>
          <w:rFonts w:hint="eastAsia" w:ascii="仿宋_GB2312" w:hAnsi="宋体" w:eastAsia="仿宋_GB2312"/>
          <w:color w:val="auto"/>
          <w:sz w:val="32"/>
          <w:szCs w:val="32"/>
          <w:highlight w:val="none"/>
          <w:shd w:val="clear" w:fill="FFFFFF"/>
          <w:lang w:eastAsia="zh-CN"/>
        </w:rPr>
        <w:t>、财力贡献</w:t>
      </w:r>
      <w:r>
        <w:rPr>
          <w:rFonts w:hint="eastAsia" w:ascii="仿宋_GB2312" w:hAnsi="宋体" w:eastAsia="仿宋_GB2312"/>
          <w:color w:val="auto"/>
          <w:sz w:val="32"/>
          <w:szCs w:val="32"/>
          <w:highlight w:val="none"/>
          <w:shd w:val="clear" w:fill="FFFFFF"/>
        </w:rPr>
        <w:t>等</w:t>
      </w:r>
      <w:r>
        <w:rPr>
          <w:rFonts w:hint="eastAsia" w:ascii="仿宋_GB2312" w:hAnsi="宋体" w:eastAsia="仿宋_GB2312"/>
          <w:color w:val="auto"/>
          <w:sz w:val="32"/>
          <w:szCs w:val="32"/>
          <w:highlight w:val="none"/>
          <w:shd w:val="clear" w:fill="FFFFFF"/>
          <w:lang w:eastAsia="zh-CN"/>
        </w:rPr>
        <w:t>方面的</w:t>
      </w:r>
      <w:r>
        <w:rPr>
          <w:rFonts w:hint="eastAsia" w:ascii="仿宋_GB2312" w:hAnsi="宋体" w:eastAsia="仿宋_GB2312"/>
          <w:color w:val="auto"/>
          <w:sz w:val="32"/>
          <w:szCs w:val="32"/>
          <w:highlight w:val="none"/>
          <w:shd w:val="clear" w:fill="FFFFFF"/>
        </w:rPr>
        <w:t>信息，</w:t>
      </w:r>
      <w:r>
        <w:rPr>
          <w:rFonts w:hint="eastAsia" w:ascii="仿宋_GB2312" w:hAnsi="宋体" w:eastAsia="仿宋_GB2312"/>
          <w:color w:val="auto"/>
          <w:sz w:val="32"/>
          <w:szCs w:val="32"/>
          <w:highlight w:val="none"/>
          <w:shd w:val="clear" w:fill="FFFFFF"/>
          <w:lang w:eastAsia="zh-CN"/>
        </w:rPr>
        <w:t>各区金融工作部门核查后向市金融办报送年度核查情况。</w:t>
      </w:r>
      <w:r>
        <w:rPr>
          <w:rFonts w:hint="eastAsia" w:ascii="仿宋_GB2312" w:hAnsi="宋体" w:eastAsia="仿宋_GB2312"/>
          <w:color w:val="auto"/>
          <w:sz w:val="32"/>
          <w:szCs w:val="32"/>
          <w:shd w:val="clear" w:fill="FFFFFF"/>
          <w:lang w:eastAsia="zh-CN"/>
        </w:rPr>
        <w:t>认定后</w:t>
      </w:r>
      <w:r>
        <w:rPr>
          <w:rFonts w:hint="eastAsia" w:ascii="仿宋_GB2312" w:hAnsi="宋体" w:eastAsia="仿宋_GB2312"/>
          <w:color w:val="auto"/>
          <w:sz w:val="32"/>
          <w:szCs w:val="32"/>
          <w:shd w:val="clear" w:fill="FFFFFF"/>
          <w:lang w:val="en-US" w:eastAsia="zh-CN"/>
        </w:rPr>
        <w:t>3年</w:t>
      </w:r>
      <w:r>
        <w:rPr>
          <w:rFonts w:hint="eastAsia" w:ascii="仿宋_GB2312" w:hAnsi="宋体" w:eastAsia="仿宋_GB2312"/>
          <w:color w:val="auto"/>
          <w:sz w:val="32"/>
          <w:szCs w:val="32"/>
          <w:highlight w:val="none"/>
          <w:shd w:val="clear" w:fill="FFFFFF"/>
        </w:rPr>
        <w:t>未达</w:t>
      </w:r>
      <w:r>
        <w:rPr>
          <w:rFonts w:hint="eastAsia" w:ascii="仿宋_GB2312" w:hAnsi="宋体" w:eastAsia="仿宋_GB2312"/>
          <w:color w:val="auto"/>
          <w:sz w:val="32"/>
          <w:szCs w:val="32"/>
          <w:highlight w:val="none"/>
          <w:shd w:val="clear" w:fill="FFFFFF"/>
          <w:lang w:eastAsia="zh-CN"/>
        </w:rPr>
        <w:t>相关认定条件的，市金融办将会同有关部门</w:t>
      </w:r>
      <w:r>
        <w:rPr>
          <w:rFonts w:hint="eastAsia" w:ascii="仿宋_GB2312" w:hAnsi="宋体" w:eastAsia="仿宋_GB2312"/>
          <w:color w:val="auto"/>
          <w:sz w:val="32"/>
          <w:szCs w:val="32"/>
          <w:highlight w:val="none"/>
          <w:shd w:val="clear" w:fill="FFFFFF"/>
        </w:rPr>
        <w:t>取消其</w:t>
      </w:r>
      <w:r>
        <w:rPr>
          <w:rFonts w:hint="eastAsia" w:ascii="仿宋_GB2312" w:hAnsi="宋体" w:eastAsia="仿宋_GB2312"/>
          <w:color w:val="auto"/>
          <w:sz w:val="32"/>
          <w:szCs w:val="32"/>
          <w:highlight w:val="none"/>
          <w:shd w:val="clear" w:fill="FFFFFF"/>
          <w:lang w:eastAsia="zh-CN"/>
        </w:rPr>
        <w:t>市级重点金融产业基地或市级重点金融楼宇的</w:t>
      </w:r>
      <w:r>
        <w:rPr>
          <w:rFonts w:hint="eastAsia" w:ascii="仿宋_GB2312" w:hAnsi="宋体" w:eastAsia="仿宋_GB2312"/>
          <w:color w:val="auto"/>
          <w:sz w:val="32"/>
          <w:szCs w:val="32"/>
          <w:highlight w:val="none"/>
          <w:shd w:val="clear" w:fill="FFFFFF"/>
        </w:rPr>
        <w:t>资格</w:t>
      </w:r>
      <w:r>
        <w:rPr>
          <w:rFonts w:hint="eastAsia" w:ascii="仿宋_GB2312" w:hAnsi="宋体" w:eastAsia="仿宋_GB2312"/>
          <w:color w:val="auto"/>
          <w:sz w:val="32"/>
          <w:szCs w:val="32"/>
          <w:highlight w:val="none"/>
          <w:shd w:val="clear" w:fill="FFFFFF"/>
          <w:lang w:eastAsia="zh-CN"/>
        </w:rPr>
        <w:t>，并取消其</w:t>
      </w:r>
      <w:r>
        <w:rPr>
          <w:rFonts w:hint="eastAsia" w:ascii="仿宋_GB2312" w:hAnsi="宋体" w:eastAsia="仿宋_GB2312"/>
          <w:color w:val="auto"/>
          <w:sz w:val="32"/>
          <w:szCs w:val="32"/>
          <w:highlight w:val="none"/>
          <w:shd w:val="clear" w:fill="FFFFFF"/>
          <w:lang w:val="en-US" w:eastAsia="zh-CN"/>
        </w:rPr>
        <w:t>3年内再次申报的资格</w:t>
      </w:r>
      <w:r>
        <w:rPr>
          <w:rFonts w:hint="eastAsia" w:ascii="仿宋_GB2312" w:hAnsi="宋体" w:eastAsia="仿宋_GB2312"/>
          <w:color w:val="auto"/>
          <w:sz w:val="32"/>
          <w:szCs w:val="32"/>
          <w:highlight w:val="none"/>
          <w:shd w:val="clear" w:fill="FFFFFF"/>
          <w:lang w:eastAsia="zh-CN"/>
        </w:rPr>
        <w:t>。</w:t>
      </w:r>
    </w:p>
    <w:p>
      <w:pPr>
        <w:keepNext w:val="0"/>
        <w:keepLines w:val="0"/>
        <w:pageBreakBefore w:val="0"/>
        <w:widowControl/>
        <w:kinsoku/>
        <w:wordWrap/>
        <w:overflowPunct/>
        <w:topLinePunct w:val="0"/>
        <w:bidi w:val="0"/>
        <w:adjustRightInd/>
        <w:snapToGrid w:val="0"/>
        <w:spacing w:before="0" w:beforeLines="0" w:after="0" w:afterLines="0" w:line="560" w:lineRule="exact"/>
        <w:ind w:right="0" w:rightChars="0" w:firstLine="630" w:firstLineChars="196"/>
        <w:jc w:val="both"/>
        <w:textAlignment w:val="auto"/>
        <w:outlineLvl w:val="1"/>
        <w:rPr>
          <w:rFonts w:hint="eastAsia" w:ascii="仿宋_GB2312" w:hAnsi="宋体" w:eastAsia="仿宋_GB2312"/>
          <w:color w:val="auto"/>
          <w:sz w:val="32"/>
          <w:szCs w:val="32"/>
          <w:highlight w:val="none"/>
          <w:shd w:val="clear" w:fill="FFFFFF"/>
          <w:lang w:val="en-US" w:eastAsia="zh-CN"/>
        </w:rPr>
      </w:pPr>
      <w:r>
        <w:rPr>
          <w:rFonts w:hint="eastAsia" w:ascii="仿宋_GB2312" w:hAnsi="宋体" w:eastAsia="仿宋_GB2312"/>
          <w:b/>
          <w:bCs/>
          <w:color w:val="auto"/>
          <w:sz w:val="32"/>
          <w:szCs w:val="32"/>
          <w:highlight w:val="none"/>
          <w:shd w:val="clear" w:fill="FFFFFF"/>
          <w:lang w:eastAsia="zh-CN"/>
        </w:rPr>
        <w:t>第十七条</w:t>
      </w:r>
      <w:r>
        <w:rPr>
          <w:rFonts w:hint="eastAsia" w:ascii="仿宋_GB2312" w:hAnsi="宋体" w:eastAsia="仿宋_GB2312"/>
          <w:color w:val="auto"/>
          <w:sz w:val="32"/>
          <w:szCs w:val="32"/>
          <w:highlight w:val="none"/>
          <w:shd w:val="clear" w:fill="FFFFFF"/>
          <w:lang w:val="en-US" w:eastAsia="zh-CN"/>
        </w:rPr>
        <w:t xml:space="preserve"> 认定为市级重点金融产业基地或市级重点金融楼宇</w:t>
      </w:r>
      <w:r>
        <w:rPr>
          <w:rFonts w:hint="eastAsia" w:ascii="仿宋_GB2312" w:hAnsi="宋体" w:eastAsia="仿宋_GB2312"/>
          <w:color w:val="auto"/>
          <w:sz w:val="32"/>
          <w:szCs w:val="32"/>
          <w:highlight w:val="none"/>
          <w:lang w:val="en-US" w:eastAsia="zh-CN"/>
        </w:rPr>
        <w:t>的基地或楼宇，必须加强自身的安全风险、</w:t>
      </w:r>
      <w:r>
        <w:rPr>
          <w:rFonts w:hint="eastAsia" w:ascii="仿宋_GB2312" w:hAnsi="Calibri" w:eastAsia="仿宋_GB2312" w:cs="Times New Roman"/>
          <w:color w:val="auto"/>
          <w:kern w:val="0"/>
          <w:sz w:val="32"/>
          <w:szCs w:val="24"/>
          <w:lang w:eastAsia="zh-CN"/>
        </w:rPr>
        <w:t>金融风险等防范工作，</w:t>
      </w:r>
      <w:r>
        <w:rPr>
          <w:rFonts w:hint="eastAsia" w:ascii="仿宋_GB2312" w:hAnsi="宋体" w:eastAsia="仿宋_GB2312"/>
          <w:color w:val="auto"/>
          <w:sz w:val="32"/>
          <w:szCs w:val="32"/>
          <w:highlight w:val="none"/>
          <w:lang w:val="en-US" w:eastAsia="zh-CN"/>
        </w:rPr>
        <w:t>发生重大风险事故造成不良社会影响的，市金融办将会同有关部门取消其</w:t>
      </w:r>
      <w:r>
        <w:rPr>
          <w:rFonts w:hint="eastAsia" w:ascii="仿宋_GB2312" w:hAnsi="宋体" w:eastAsia="仿宋_GB2312"/>
          <w:color w:val="auto"/>
          <w:sz w:val="32"/>
          <w:szCs w:val="32"/>
          <w:highlight w:val="none"/>
          <w:lang w:eastAsia="zh-CN"/>
        </w:rPr>
        <w:t>市级重点金融产业基地或市级重点金融楼宇的</w:t>
      </w:r>
      <w:r>
        <w:rPr>
          <w:rFonts w:hint="eastAsia" w:ascii="仿宋_GB2312" w:hAnsi="宋体" w:eastAsia="仿宋_GB2312"/>
          <w:color w:val="auto"/>
          <w:sz w:val="32"/>
          <w:szCs w:val="32"/>
          <w:highlight w:val="none"/>
        </w:rPr>
        <w:t>资格</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shd w:val="clear" w:fill="FFFFFF"/>
          <w:lang w:eastAsia="zh-CN"/>
        </w:rPr>
        <w:t>并取消其</w:t>
      </w:r>
      <w:r>
        <w:rPr>
          <w:rFonts w:hint="eastAsia" w:ascii="仿宋_GB2312" w:hAnsi="宋体" w:eastAsia="仿宋_GB2312"/>
          <w:color w:val="auto"/>
          <w:sz w:val="32"/>
          <w:szCs w:val="32"/>
          <w:highlight w:val="none"/>
          <w:shd w:val="clear" w:fill="FFFFFF"/>
          <w:lang w:val="en-US" w:eastAsia="zh-CN"/>
        </w:rPr>
        <w:t>3年内再次申报的资格。</w:t>
      </w:r>
    </w:p>
    <w:p>
      <w:pPr>
        <w:keepNext w:val="0"/>
        <w:keepLines w:val="0"/>
        <w:pageBreakBefore w:val="0"/>
        <w:widowControl/>
        <w:kinsoku/>
        <w:wordWrap/>
        <w:overflowPunct/>
        <w:topLinePunct w:val="0"/>
        <w:bidi w:val="0"/>
        <w:adjustRightInd/>
        <w:snapToGrid w:val="0"/>
        <w:spacing w:before="0" w:beforeLines="0" w:after="0" w:afterLines="0" w:line="560" w:lineRule="exact"/>
        <w:ind w:right="0" w:rightChars="0" w:firstLine="630" w:firstLineChars="196"/>
        <w:jc w:val="both"/>
        <w:textAlignment w:val="auto"/>
        <w:outlineLvl w:val="1"/>
        <w:rPr>
          <w:rFonts w:hint="eastAsia" w:ascii="仿宋_GB2312" w:hAnsi="宋体" w:eastAsia="仿宋_GB2312"/>
          <w:color w:val="auto"/>
          <w:sz w:val="32"/>
          <w:szCs w:val="32"/>
          <w:highlight w:val="none"/>
          <w:shd w:val="clear" w:fill="FFFFFF"/>
          <w:lang w:val="en-US" w:eastAsia="zh-CN"/>
        </w:rPr>
      </w:pPr>
      <w:r>
        <w:rPr>
          <w:rFonts w:hint="eastAsia" w:ascii="仿宋_GB2312" w:hAnsi="宋体" w:eastAsia="仿宋_GB2312"/>
          <w:b/>
          <w:bCs/>
          <w:color w:val="auto"/>
          <w:sz w:val="32"/>
          <w:szCs w:val="32"/>
          <w:highlight w:val="none"/>
          <w:shd w:val="clear" w:fill="FFFFFF"/>
          <w:lang w:val="en-US" w:eastAsia="zh-CN"/>
        </w:rPr>
        <w:t>第十八条</w:t>
      </w:r>
      <w:r>
        <w:rPr>
          <w:rFonts w:hint="eastAsia" w:ascii="仿宋_GB2312" w:hAnsi="宋体" w:eastAsia="仿宋_GB2312"/>
          <w:color w:val="auto"/>
          <w:sz w:val="32"/>
          <w:szCs w:val="32"/>
          <w:highlight w:val="none"/>
          <w:shd w:val="clear" w:fill="FFFFFF"/>
          <w:lang w:val="en-US" w:eastAsia="zh-CN"/>
        </w:rPr>
        <w:t xml:space="preserve"> 认定为市级重点金融产业基地或市级重点金融楼宇</w:t>
      </w:r>
      <w:r>
        <w:rPr>
          <w:rFonts w:hint="eastAsia" w:ascii="仿宋_GB2312" w:hAnsi="宋体" w:eastAsia="仿宋_GB2312"/>
          <w:color w:val="auto"/>
          <w:sz w:val="32"/>
          <w:szCs w:val="32"/>
          <w:highlight w:val="none"/>
          <w:lang w:val="en-US" w:eastAsia="zh-CN"/>
        </w:rPr>
        <w:t>的基地或楼宇不允许以高于同区域市场价的租金出租给入驻机构，发现有违规抬高租金行为的，市金融办将会同有关部门取消其</w:t>
      </w:r>
      <w:r>
        <w:rPr>
          <w:rFonts w:hint="eastAsia" w:ascii="仿宋_GB2312" w:hAnsi="宋体" w:eastAsia="仿宋_GB2312"/>
          <w:color w:val="auto"/>
          <w:sz w:val="32"/>
          <w:szCs w:val="32"/>
          <w:highlight w:val="none"/>
          <w:lang w:eastAsia="zh-CN"/>
        </w:rPr>
        <w:t>市级重点金融产业基地或市级重点金融楼宇的</w:t>
      </w:r>
      <w:r>
        <w:rPr>
          <w:rFonts w:hint="eastAsia" w:ascii="仿宋_GB2312" w:hAnsi="宋体" w:eastAsia="仿宋_GB2312"/>
          <w:color w:val="auto"/>
          <w:sz w:val="32"/>
          <w:szCs w:val="32"/>
          <w:highlight w:val="none"/>
        </w:rPr>
        <w:t>资格</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shd w:val="clear" w:fill="FFFFFF"/>
          <w:lang w:eastAsia="zh-CN"/>
        </w:rPr>
        <w:t>并取消其</w:t>
      </w:r>
      <w:r>
        <w:rPr>
          <w:rFonts w:hint="eastAsia" w:ascii="仿宋_GB2312" w:hAnsi="宋体" w:eastAsia="仿宋_GB2312"/>
          <w:color w:val="auto"/>
          <w:sz w:val="32"/>
          <w:szCs w:val="32"/>
          <w:highlight w:val="none"/>
          <w:shd w:val="clear" w:fill="FFFFFF"/>
          <w:lang w:val="en-US" w:eastAsia="zh-CN"/>
        </w:rPr>
        <w:t>3年内再次申报的资格。</w:t>
      </w:r>
    </w:p>
    <w:p>
      <w:pPr>
        <w:keepNext w:val="0"/>
        <w:keepLines w:val="0"/>
        <w:pageBreakBefore w:val="0"/>
        <w:widowControl w:val="0"/>
        <w:kinsoku/>
        <w:wordWrap/>
        <w:overflowPunct/>
        <w:topLinePunct w:val="0"/>
        <w:bidi w:val="0"/>
        <w:adjustRightInd/>
        <w:snapToGrid/>
        <w:spacing w:before="0" w:beforeLines="-2147483648" w:after="0" w:afterLines="-2147483648" w:line="560" w:lineRule="exact"/>
        <w:ind w:right="0" w:rightChars="0"/>
        <w:jc w:val="both"/>
        <w:textAlignment w:val="auto"/>
        <w:outlineLvl w:val="9"/>
        <w:rPr>
          <w:rFonts w:hint="eastAsia" w:ascii="黑体" w:hAnsi="黑体" w:eastAsia="黑体" w:cs="Times New Roman"/>
          <w:color w:val="auto"/>
          <w:kern w:val="0"/>
          <w:sz w:val="32"/>
          <w:szCs w:val="24"/>
        </w:rPr>
      </w:pPr>
    </w:p>
    <w:p>
      <w:pPr>
        <w:keepNext w:val="0"/>
        <w:keepLines w:val="0"/>
        <w:pageBreakBefore w:val="0"/>
        <w:widowControl w:val="0"/>
        <w:numPr>
          <w:ilvl w:val="0"/>
          <w:numId w:val="3"/>
        </w:numPr>
        <w:kinsoku/>
        <w:wordWrap/>
        <w:overflowPunct/>
        <w:topLinePunct w:val="0"/>
        <w:bidi w:val="0"/>
        <w:adjustRightInd/>
        <w:snapToGrid/>
        <w:spacing w:before="0" w:beforeLines="-2147483648" w:after="0" w:afterLines="-2147483648" w:line="560" w:lineRule="exact"/>
        <w:ind w:right="0" w:rightChars="0"/>
        <w:jc w:val="center"/>
        <w:textAlignment w:val="auto"/>
        <w:outlineLvl w:val="9"/>
        <w:rPr>
          <w:rFonts w:hint="eastAsia" w:ascii="黑体" w:hAnsi="黑体" w:eastAsia="黑体" w:cs="Times New Roman"/>
          <w:color w:val="auto"/>
          <w:kern w:val="0"/>
          <w:sz w:val="32"/>
          <w:szCs w:val="24"/>
        </w:rPr>
      </w:pPr>
      <w:r>
        <w:rPr>
          <w:rFonts w:hint="eastAsia" w:ascii="黑体" w:hAnsi="黑体" w:eastAsia="黑体" w:cs="Times New Roman"/>
          <w:color w:val="auto"/>
          <w:kern w:val="0"/>
          <w:sz w:val="32"/>
          <w:szCs w:val="24"/>
        </w:rPr>
        <w:t>附则</w:t>
      </w:r>
    </w:p>
    <w:p>
      <w:pPr>
        <w:keepNext w:val="0"/>
        <w:keepLines w:val="0"/>
        <w:pageBreakBefore w:val="0"/>
        <w:widowControl w:val="0"/>
        <w:numPr>
          <w:ilvl w:val="-1"/>
          <w:numId w:val="0"/>
        </w:numPr>
        <w:kinsoku/>
        <w:wordWrap/>
        <w:overflowPunct/>
        <w:topLinePunct w:val="0"/>
        <w:bidi w:val="0"/>
        <w:adjustRightInd/>
        <w:snapToGrid/>
        <w:spacing w:line="560" w:lineRule="exact"/>
        <w:ind w:right="0" w:rightChars="0" w:firstLine="643" w:firstLineChars="200"/>
        <w:textAlignment w:val="auto"/>
        <w:outlineLvl w:val="9"/>
        <w:rPr>
          <w:rFonts w:hint="eastAsia" w:ascii="仿宋_GB2312" w:hAnsi="宋体" w:eastAsia="仿宋_GB2312" w:cstheme="minorBidi"/>
          <w:b w:val="0"/>
          <w:i w:val="0"/>
          <w:caps w:val="0"/>
          <w:color w:val="auto"/>
          <w:spacing w:val="0"/>
          <w:sz w:val="32"/>
          <w:szCs w:val="32"/>
          <w:shd w:val="clear" w:fill="FFFFFF"/>
        </w:rPr>
      </w:pPr>
      <w:r>
        <w:rPr>
          <w:rFonts w:hint="eastAsia" w:ascii="仿宋_GB2312" w:hAnsi="宋体" w:eastAsia="仿宋_GB2312"/>
          <w:b/>
          <w:color w:val="auto"/>
          <w:kern w:val="0"/>
          <w:sz w:val="32"/>
          <w:szCs w:val="32"/>
          <w:lang w:eastAsia="zh-CN"/>
        </w:rPr>
        <w:t>第十九条</w:t>
      </w:r>
      <w:r>
        <w:rPr>
          <w:rFonts w:hint="eastAsia" w:ascii="仿宋_GB2312" w:hAnsi="宋体" w:eastAsia="仿宋_GB2312"/>
          <w:b/>
          <w:color w:val="auto"/>
          <w:kern w:val="0"/>
          <w:sz w:val="32"/>
          <w:szCs w:val="32"/>
          <w:lang w:val="en-US" w:eastAsia="zh-CN"/>
        </w:rPr>
        <w:t xml:space="preserve"> </w:t>
      </w:r>
      <w:r>
        <w:rPr>
          <w:rFonts w:hint="eastAsia" w:ascii="仿宋_GB2312" w:hAnsi="宋体" w:eastAsia="仿宋_GB2312" w:cstheme="minorBidi"/>
          <w:b w:val="0"/>
          <w:i w:val="0"/>
          <w:caps w:val="0"/>
          <w:color w:val="auto"/>
          <w:spacing w:val="0"/>
          <w:sz w:val="32"/>
          <w:szCs w:val="32"/>
          <w:shd w:val="clear" w:fill="FFFFFF"/>
        </w:rPr>
        <w:t>本办法所称形成地方财力是指</w:t>
      </w:r>
      <w:r>
        <w:rPr>
          <w:rFonts w:hint="eastAsia" w:ascii="仿宋_GB2312" w:hAnsi="宋体" w:eastAsia="仿宋_GB2312" w:cstheme="minorBidi"/>
          <w:b w:val="0"/>
          <w:i w:val="0"/>
          <w:caps w:val="0"/>
          <w:color w:val="auto"/>
          <w:spacing w:val="0"/>
          <w:sz w:val="32"/>
          <w:szCs w:val="32"/>
          <w:shd w:val="clear" w:fill="FFFFFF"/>
          <w:lang w:eastAsia="zh-CN"/>
        </w:rPr>
        <w:t>金融</w:t>
      </w:r>
      <w:r>
        <w:rPr>
          <w:rFonts w:hint="eastAsia" w:ascii="仿宋_GB2312" w:hAnsi="宋体" w:eastAsia="仿宋_GB2312" w:cstheme="minorBidi"/>
          <w:b w:val="0"/>
          <w:i w:val="0"/>
          <w:caps w:val="0"/>
          <w:color w:val="auto"/>
          <w:spacing w:val="0"/>
          <w:sz w:val="32"/>
          <w:szCs w:val="32"/>
          <w:shd w:val="clear" w:fill="FFFFFF"/>
        </w:rPr>
        <w:t>企业在</w:t>
      </w:r>
      <w:r>
        <w:rPr>
          <w:rFonts w:hint="eastAsia" w:ascii="仿宋_GB2312" w:hAnsi="宋体" w:eastAsia="仿宋_GB2312" w:cstheme="minorBidi"/>
          <w:b w:val="0"/>
          <w:i w:val="0"/>
          <w:caps w:val="0"/>
          <w:color w:val="auto"/>
          <w:spacing w:val="0"/>
          <w:kern w:val="2"/>
          <w:sz w:val="32"/>
          <w:szCs w:val="32"/>
          <w:shd w:val="clear" w:fill="FFFFFF"/>
          <w:lang w:eastAsia="zh-CN" w:bidi="ar-SA"/>
        </w:rPr>
        <w:t>深圳</w:t>
      </w:r>
      <w:r>
        <w:rPr>
          <w:rFonts w:hint="eastAsia" w:ascii="仿宋_GB2312" w:hAnsi="宋体" w:eastAsia="仿宋_GB2312" w:cstheme="minorBidi"/>
          <w:b w:val="0"/>
          <w:i w:val="0"/>
          <w:caps w:val="0"/>
          <w:color w:val="auto"/>
          <w:spacing w:val="0"/>
          <w:sz w:val="32"/>
          <w:szCs w:val="32"/>
          <w:shd w:val="clear" w:fill="FFFFFF"/>
        </w:rPr>
        <w:t>市缴纳的税款入库期内，企业所得税、增值税、城市维护建设税、印花税、地方教育费附加、教育费附加、房产税、土地使用税、文化事业建设费计入地方分成部分。</w:t>
      </w:r>
    </w:p>
    <w:p>
      <w:pPr>
        <w:keepNext w:val="0"/>
        <w:keepLines w:val="0"/>
        <w:pageBreakBefore w:val="0"/>
        <w:widowControl w:val="0"/>
        <w:numPr>
          <w:ilvl w:val="-1"/>
          <w:numId w:val="0"/>
        </w:numPr>
        <w:kinsoku/>
        <w:wordWrap/>
        <w:overflowPunct/>
        <w:topLinePunct w:val="0"/>
        <w:bidi w:val="0"/>
        <w:adjustRightInd/>
        <w:snapToGrid/>
        <w:spacing w:line="560" w:lineRule="exact"/>
        <w:ind w:right="0" w:rightChars="0" w:firstLine="643" w:firstLineChars="200"/>
        <w:textAlignment w:val="auto"/>
        <w:outlineLvl w:val="9"/>
        <w:rPr>
          <w:rFonts w:hint="eastAsia" w:ascii="仿宋_GB2312" w:hAnsi="Calibri" w:eastAsia="仿宋_GB2312" w:cs="Times New Roman"/>
          <w:b w:val="0"/>
          <w:bCs w:val="0"/>
          <w:color w:val="auto"/>
          <w:kern w:val="0"/>
          <w:sz w:val="32"/>
          <w:szCs w:val="24"/>
          <w:lang w:eastAsia="zh-CN"/>
        </w:rPr>
      </w:pPr>
      <w:r>
        <w:rPr>
          <w:rFonts w:hint="eastAsia" w:ascii="仿宋_GB2312" w:hAnsi="宋体" w:eastAsia="仿宋_GB2312" w:cstheme="minorBidi"/>
          <w:b/>
          <w:i w:val="0"/>
          <w:caps w:val="0"/>
          <w:color w:val="auto"/>
          <w:spacing w:val="0"/>
          <w:kern w:val="0"/>
          <w:sz w:val="32"/>
          <w:szCs w:val="32"/>
          <w:shd w:val="clear" w:fill="auto"/>
          <w:lang w:eastAsia="zh-CN"/>
        </w:rPr>
        <w:t>第二十条</w:t>
      </w:r>
      <w:r>
        <w:rPr>
          <w:rFonts w:hint="eastAsia" w:ascii="仿宋_GB2312" w:hAnsi="宋体" w:eastAsia="仿宋_GB2312" w:cstheme="minorBidi"/>
          <w:b w:val="0"/>
          <w:i w:val="0"/>
          <w:caps w:val="0"/>
          <w:color w:val="auto"/>
          <w:spacing w:val="0"/>
          <w:sz w:val="32"/>
          <w:szCs w:val="32"/>
          <w:shd w:val="clear" w:fill="FFFFFF"/>
          <w:lang w:val="en-US" w:eastAsia="zh-CN"/>
        </w:rPr>
        <w:t xml:space="preserve"> 本办法所称金融</w:t>
      </w:r>
      <w:r>
        <w:rPr>
          <w:rFonts w:hint="eastAsia" w:ascii="仿宋_GB2312" w:hAnsi="Calibri" w:eastAsia="仿宋_GB2312" w:cs="Times New Roman"/>
          <w:b w:val="0"/>
          <w:bCs w:val="0"/>
          <w:color w:val="auto"/>
          <w:kern w:val="0"/>
          <w:sz w:val="32"/>
          <w:szCs w:val="24"/>
          <w:lang w:eastAsia="zh-CN"/>
        </w:rPr>
        <w:t>总部用地项目是指按照深圳市金融</w:t>
      </w:r>
      <w:r>
        <w:rPr>
          <w:rFonts w:hint="eastAsia" w:ascii="仿宋_GB2312" w:hAnsi="Calibri" w:eastAsia="仿宋_GB2312" w:cs="Times New Roman"/>
          <w:color w:val="auto"/>
          <w:kern w:val="0"/>
          <w:sz w:val="32"/>
          <w:szCs w:val="24"/>
          <w:lang w:val="en-US" w:eastAsia="zh-CN"/>
        </w:rPr>
        <w:t>总部项目遴选及用地申报流程</w:t>
      </w:r>
      <w:r>
        <w:rPr>
          <w:rFonts w:hint="eastAsia" w:ascii="仿宋_GB2312" w:hAnsi="Calibri" w:eastAsia="仿宋_GB2312" w:cs="Times New Roman"/>
          <w:b w:val="0"/>
          <w:bCs w:val="0"/>
          <w:color w:val="auto"/>
          <w:kern w:val="0"/>
          <w:sz w:val="32"/>
          <w:szCs w:val="24"/>
          <w:lang w:eastAsia="zh-CN"/>
        </w:rPr>
        <w:t>（包括前海深港现代服务业合作区总部用地出让标准、流程），持牌金融机构独立或联合申请的，用于建设总部大厦的用地项目。</w:t>
      </w:r>
    </w:p>
    <w:p>
      <w:pPr>
        <w:keepNext w:val="0"/>
        <w:keepLines w:val="0"/>
        <w:pageBreakBefore w:val="0"/>
        <w:widowControl w:val="0"/>
        <w:kinsoku/>
        <w:wordWrap/>
        <w:overflowPunct/>
        <w:topLinePunct w:val="0"/>
        <w:bidi w:val="0"/>
        <w:adjustRightInd/>
        <w:snapToGrid/>
        <w:spacing w:line="560" w:lineRule="exact"/>
        <w:ind w:right="0" w:rightChars="0" w:firstLine="643" w:firstLineChars="200"/>
        <w:textAlignment w:val="auto"/>
        <w:outlineLvl w:val="9"/>
        <w:rPr>
          <w:rFonts w:ascii="仿宋_GB2312" w:hAnsi="宋体" w:eastAsia="仿宋_GB2312"/>
          <w:color w:val="auto"/>
          <w:kern w:val="0"/>
          <w:sz w:val="32"/>
          <w:szCs w:val="32"/>
        </w:rPr>
      </w:pPr>
      <w:r>
        <w:rPr>
          <w:rFonts w:hint="eastAsia" w:ascii="仿宋_GB2312" w:hAnsi="宋体" w:eastAsia="仿宋_GB2312"/>
          <w:b/>
          <w:color w:val="auto"/>
          <w:kern w:val="0"/>
          <w:sz w:val="32"/>
          <w:szCs w:val="32"/>
          <w:lang w:eastAsia="zh-CN" w:bidi="ar"/>
        </w:rPr>
        <w:t>第二十一条</w:t>
      </w: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rPr>
        <w:t>本办法由市</w:t>
      </w:r>
      <w:r>
        <w:rPr>
          <w:rFonts w:hint="eastAsia" w:ascii="仿宋_GB2312" w:hAnsi="宋体" w:eastAsia="仿宋_GB2312"/>
          <w:color w:val="auto"/>
          <w:kern w:val="0"/>
          <w:sz w:val="32"/>
          <w:szCs w:val="32"/>
          <w:lang w:eastAsia="zh-CN"/>
        </w:rPr>
        <w:t>金融办</w:t>
      </w:r>
      <w:r>
        <w:rPr>
          <w:rFonts w:hint="eastAsia" w:ascii="仿宋_GB2312" w:hAnsi="宋体" w:eastAsia="仿宋_GB2312"/>
          <w:color w:val="auto"/>
          <w:kern w:val="0"/>
          <w:sz w:val="32"/>
          <w:szCs w:val="32"/>
        </w:rPr>
        <w:t>负责解释。</w:t>
      </w:r>
    </w:p>
    <w:p>
      <w:pPr>
        <w:spacing w:line="560" w:lineRule="exact"/>
        <w:ind w:firstLine="643" w:firstLineChars="200"/>
        <w:rPr>
          <w:rFonts w:ascii="仿宋_GB2312" w:hAnsi="Arial" w:eastAsia="仿宋_GB2312" w:cs="Arial"/>
          <w:color w:val="auto"/>
          <w:sz w:val="32"/>
          <w:szCs w:val="32"/>
        </w:rPr>
      </w:pPr>
      <w:r>
        <w:rPr>
          <w:rFonts w:hint="eastAsia" w:ascii="仿宋_GB2312" w:hAnsi="宋体" w:eastAsia="仿宋_GB2312"/>
          <w:b/>
          <w:color w:val="auto"/>
          <w:kern w:val="0"/>
          <w:sz w:val="32"/>
          <w:szCs w:val="32"/>
        </w:rPr>
        <w:t>第</w:t>
      </w:r>
      <w:r>
        <w:rPr>
          <w:rFonts w:hint="eastAsia" w:ascii="仿宋_GB2312" w:hAnsi="宋体" w:eastAsia="仿宋_GB2312"/>
          <w:b/>
          <w:color w:val="auto"/>
          <w:kern w:val="0"/>
          <w:sz w:val="32"/>
          <w:szCs w:val="32"/>
          <w:lang w:eastAsia="zh-CN"/>
        </w:rPr>
        <w:t>二十二</w:t>
      </w:r>
      <w:r>
        <w:rPr>
          <w:rFonts w:hint="eastAsia" w:ascii="仿宋_GB2312" w:hAnsi="宋体" w:eastAsia="仿宋_GB2312"/>
          <w:b/>
          <w:color w:val="auto"/>
          <w:kern w:val="0"/>
          <w:sz w:val="32"/>
          <w:szCs w:val="32"/>
        </w:rPr>
        <w:t xml:space="preserve">条 </w:t>
      </w:r>
      <w:r>
        <w:rPr>
          <w:rFonts w:hint="eastAsia" w:ascii="仿宋_GB2312" w:hAnsi="宋体" w:eastAsia="仿宋_GB2312"/>
          <w:color w:val="auto"/>
          <w:kern w:val="0"/>
          <w:sz w:val="32"/>
          <w:szCs w:val="32"/>
        </w:rPr>
        <w:t>本办法</w:t>
      </w:r>
      <w:r>
        <w:rPr>
          <w:rFonts w:hint="eastAsia" w:ascii="仿宋_GB2312" w:hAnsi="仿宋" w:eastAsia="仿宋_GB2312" w:cs="∑¬ÀŒ"/>
          <w:color w:val="auto"/>
          <w:kern w:val="0"/>
          <w:sz w:val="32"/>
          <w:szCs w:val="32"/>
          <w:highlight w:val="none"/>
        </w:rPr>
        <w:t>自</w:t>
      </w:r>
      <w:r>
        <w:rPr>
          <w:rFonts w:hint="eastAsia" w:ascii="仿宋_GB2312" w:hAnsi="仿宋" w:eastAsia="仿宋_GB2312" w:cs="∑¬ÀŒ"/>
          <w:color w:val="auto"/>
          <w:kern w:val="0"/>
          <w:sz w:val="32"/>
          <w:szCs w:val="32"/>
          <w:highlight w:val="none"/>
          <w:lang w:eastAsia="zh-CN"/>
        </w:rPr>
        <w:t>发</w:t>
      </w:r>
      <w:r>
        <w:rPr>
          <w:rFonts w:hint="eastAsia" w:ascii="仿宋_GB2312" w:hAnsi="宋体" w:eastAsia="仿宋_GB2312" w:cstheme="minorBidi"/>
          <w:color w:val="auto"/>
          <w:kern w:val="2"/>
          <w:sz w:val="32"/>
          <w:szCs w:val="32"/>
          <w:highlight w:val="none"/>
          <w:shd w:val="clear" w:fill="FFFFFF"/>
          <w:lang w:eastAsia="zh-CN"/>
        </w:rPr>
        <w:t>布</w:t>
      </w:r>
      <w:r>
        <w:rPr>
          <w:rFonts w:hint="eastAsia" w:ascii="仿宋_GB2312" w:hAnsi="宋体" w:eastAsia="仿宋_GB2312" w:cstheme="minorBidi"/>
          <w:color w:val="auto"/>
          <w:kern w:val="2"/>
          <w:sz w:val="32"/>
          <w:szCs w:val="32"/>
          <w:highlight w:val="none"/>
          <w:shd w:val="clear" w:fill="FFFFFF"/>
        </w:rPr>
        <w:t>之日</w:t>
      </w:r>
      <w:r>
        <w:rPr>
          <w:rFonts w:hint="eastAsia" w:ascii="仿宋_GB2312" w:hAnsi="宋体" w:eastAsia="仿宋_GB2312" w:cstheme="minorBidi"/>
          <w:color w:val="auto"/>
          <w:kern w:val="2"/>
          <w:sz w:val="32"/>
          <w:szCs w:val="32"/>
          <w:highlight w:val="none"/>
          <w:shd w:val="clear" w:fill="FFFFFF"/>
          <w:lang w:eastAsia="zh-CN"/>
        </w:rPr>
        <w:t>起</w:t>
      </w:r>
      <w:r>
        <w:rPr>
          <w:rFonts w:hint="eastAsia" w:ascii="仿宋_GB2312" w:hAnsi="宋体" w:eastAsia="仿宋_GB2312" w:cstheme="minorBidi"/>
          <w:color w:val="auto"/>
          <w:sz w:val="32"/>
          <w:szCs w:val="32"/>
          <w:shd w:val="clear" w:fill="FFFFFF"/>
        </w:rPr>
        <w:t>10日之后</w:t>
      </w:r>
      <w:r>
        <w:rPr>
          <w:rFonts w:hint="eastAsia" w:ascii="仿宋_GB2312" w:hAnsi="宋体" w:eastAsia="仿宋_GB2312" w:cstheme="minorBidi"/>
          <w:color w:val="auto"/>
          <w:kern w:val="2"/>
          <w:sz w:val="32"/>
          <w:szCs w:val="32"/>
          <w:highlight w:val="none"/>
          <w:shd w:val="clear" w:fill="FFFFFF"/>
          <w:lang w:val="en-US" w:eastAsia="zh-CN"/>
        </w:rPr>
        <w:t>生效</w:t>
      </w:r>
      <w:r>
        <w:rPr>
          <w:rFonts w:hint="eastAsia" w:ascii="仿宋_GB2312" w:hAnsi="宋体" w:eastAsia="仿宋_GB2312" w:cstheme="minorBidi"/>
          <w:color w:val="auto"/>
          <w:kern w:val="2"/>
          <w:sz w:val="32"/>
          <w:szCs w:val="32"/>
          <w:highlight w:val="none"/>
          <w:shd w:val="clear" w:fill="FFFFFF"/>
        </w:rPr>
        <w:t>，</w:t>
      </w:r>
      <w:r>
        <w:rPr>
          <w:rFonts w:hint="eastAsia" w:ascii="仿宋_GB2312" w:hAnsi="宋体" w:eastAsia="仿宋_GB2312" w:cstheme="minorBidi"/>
          <w:color w:val="auto"/>
          <w:kern w:val="2"/>
          <w:sz w:val="32"/>
          <w:szCs w:val="32"/>
          <w:highlight w:val="none"/>
          <w:shd w:val="clear" w:fill="FFFFFF"/>
          <w:lang w:eastAsia="zh-CN"/>
        </w:rPr>
        <w:t>有效</w:t>
      </w:r>
      <w:r>
        <w:rPr>
          <w:rFonts w:hint="eastAsia" w:ascii="仿宋_GB2312" w:hAnsi="仿宋" w:eastAsia="仿宋_GB2312" w:cs="∑¬ÀŒ"/>
          <w:color w:val="auto"/>
          <w:kern w:val="0"/>
          <w:sz w:val="32"/>
          <w:szCs w:val="32"/>
          <w:highlight w:val="none"/>
          <w:lang w:eastAsia="zh-CN"/>
        </w:rPr>
        <w:t>期为</w:t>
      </w:r>
      <w:r>
        <w:rPr>
          <w:rFonts w:hint="eastAsia" w:ascii="仿宋_GB2312" w:hAnsi="仿宋" w:eastAsia="仿宋_GB2312" w:cs="∑¬ÀŒ"/>
          <w:color w:val="auto"/>
          <w:kern w:val="0"/>
          <w:sz w:val="32"/>
          <w:szCs w:val="32"/>
          <w:highlight w:val="none"/>
          <w:lang w:val="en-US" w:eastAsia="zh-CN"/>
        </w:rPr>
        <w:t>3年。</w:t>
      </w:r>
    </w:p>
    <w:p>
      <w:pPr>
        <w:pStyle w:val="10"/>
        <w:widowControl w:val="0"/>
        <w:autoSpaceDE w:val="0"/>
        <w:autoSpaceDN w:val="0"/>
        <w:spacing w:line="360" w:lineRule="auto"/>
        <w:rPr>
          <w:rFonts w:hint="eastAsia" w:ascii="仿宋_GB2312" w:hAnsi="仿宋_GB2312" w:eastAsia="仿宋_GB2312" w:cs="仿宋_GB2312"/>
          <w:b/>
          <w:bCs w:val="0"/>
          <w:color w:val="auto"/>
          <w:sz w:val="32"/>
          <w:szCs w:val="32"/>
        </w:rPr>
      </w:pPr>
    </w:p>
    <w:p>
      <w:pPr>
        <w:pStyle w:val="10"/>
        <w:widowControl w:val="0"/>
        <w:autoSpaceDE w:val="0"/>
        <w:autoSpaceDN w:val="0"/>
        <w:spacing w:line="360" w:lineRule="auto"/>
        <w:rPr>
          <w:rFonts w:hint="eastAsia" w:ascii="仿宋_GB2312" w:hAnsi="仿宋_GB2312" w:eastAsia="仿宋_GB2312" w:cs="仿宋_GB2312"/>
          <w:b w:val="0"/>
          <w:bCs/>
          <w:color w:val="auto"/>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val="0"/>
          <w:bCs/>
          <w:color w:val="auto"/>
          <w:sz w:val="32"/>
          <w:szCs w:val="32"/>
        </w:rPr>
        <w:br w:type="page"/>
      </w:r>
    </w:p>
    <w:p>
      <w:pPr>
        <w:pStyle w:val="10"/>
        <w:widowControl w:val="0"/>
        <w:autoSpaceDE w:val="0"/>
        <w:autoSpaceDN w:val="0"/>
        <w:spacing w:line="360" w:lineRule="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附件1：</w:t>
      </w:r>
    </w:p>
    <w:p>
      <w:pPr>
        <w:pStyle w:val="11"/>
        <w:spacing w:line="360" w:lineRule="auto"/>
        <w:ind w:right="-334" w:rightChars="-159"/>
        <w:jc w:val="center"/>
        <w:rPr>
          <w:rFonts w:hint="eastAsia" w:ascii="宋体" w:hAnsi="宋体" w:eastAsia="宋体" w:cs="宋体"/>
          <w:b/>
          <w:bCs/>
          <w:color w:val="auto"/>
          <w:kern w:val="0"/>
          <w:sz w:val="36"/>
          <w:szCs w:val="36"/>
          <w:lang w:eastAsia="zh-CN"/>
        </w:rPr>
      </w:pPr>
      <w:r>
        <w:rPr>
          <w:rFonts w:hint="eastAsia" w:ascii="宋体" w:hAnsi="宋体" w:eastAsia="宋体" w:cs="宋体"/>
          <w:b/>
          <w:bCs/>
          <w:color w:val="auto"/>
          <w:kern w:val="0"/>
          <w:sz w:val="36"/>
          <w:szCs w:val="36"/>
          <w:lang w:eastAsia="zh-CN"/>
        </w:rPr>
        <w:t>深圳市重点金融产业基地和重点金融楼宇申报表</w:t>
      </w:r>
    </w:p>
    <w:p>
      <w:pPr>
        <w:pStyle w:val="11"/>
        <w:spacing w:line="360" w:lineRule="auto"/>
        <w:ind w:right="-334" w:rightChars="-159"/>
        <w:rPr>
          <w:color w:val="auto"/>
        </w:rPr>
      </w:pPr>
      <w:r>
        <w:rPr>
          <w:rFonts w:hint="eastAsia"/>
          <w:color w:val="auto"/>
        </w:rPr>
        <w:t>申</w:t>
      </w:r>
      <w:r>
        <w:rPr>
          <w:rFonts w:hint="eastAsia"/>
          <w:color w:val="auto"/>
          <w:lang w:eastAsia="zh-CN"/>
        </w:rPr>
        <w:t>报</w:t>
      </w:r>
      <w:r>
        <w:rPr>
          <w:rFonts w:hint="eastAsia"/>
          <w:color w:val="auto"/>
        </w:rPr>
        <w:t>单位（公章）：</w:t>
      </w:r>
      <w:r>
        <w:rPr>
          <w:rFonts w:hint="eastAsia"/>
          <w:color w:val="auto"/>
          <w:u w:val="single"/>
        </w:rPr>
        <w:t xml:space="preserve">                </w:t>
      </w:r>
      <w:r>
        <w:rPr>
          <w:rFonts w:hint="eastAsia"/>
          <w:color w:val="auto"/>
        </w:rPr>
        <w:t xml:space="preserve">            申报时间：</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tbl>
      <w:tblPr>
        <w:tblStyle w:val="9"/>
        <w:tblW w:w="8946" w:type="dxa"/>
        <w:tblInd w:w="0" w:type="dxa"/>
        <w:tblLayout w:type="fixed"/>
        <w:tblCellMar>
          <w:top w:w="0" w:type="dxa"/>
          <w:left w:w="108" w:type="dxa"/>
          <w:bottom w:w="0" w:type="dxa"/>
          <w:right w:w="108" w:type="dxa"/>
        </w:tblCellMar>
      </w:tblPr>
      <w:tblGrid>
        <w:gridCol w:w="1385"/>
        <w:gridCol w:w="850"/>
        <w:gridCol w:w="1134"/>
        <w:gridCol w:w="1065"/>
        <w:gridCol w:w="2197"/>
        <w:gridCol w:w="850"/>
        <w:gridCol w:w="1465"/>
      </w:tblGrid>
      <w:tr>
        <w:tblPrEx>
          <w:tblLayout w:type="fixed"/>
          <w:tblCellMar>
            <w:top w:w="0" w:type="dxa"/>
            <w:left w:w="108" w:type="dxa"/>
            <w:bottom w:w="0" w:type="dxa"/>
            <w:right w:w="108" w:type="dxa"/>
          </w:tblCellMar>
        </w:tblPrEx>
        <w:trPr>
          <w:trHeight w:val="49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lang w:eastAsia="zh-CN"/>
              </w:rPr>
              <w:t>基地（</w:t>
            </w:r>
            <w:r>
              <w:rPr>
                <w:rFonts w:hint="eastAsia" w:ascii="宋体" w:hAnsi="宋体" w:cs="宋体"/>
                <w:color w:val="auto"/>
                <w:kern w:val="0"/>
                <w:szCs w:val="21"/>
              </w:rPr>
              <w:t>楼宇</w:t>
            </w:r>
            <w:r>
              <w:rPr>
                <w:rFonts w:hint="eastAsia" w:ascii="宋体" w:hAnsi="宋体" w:cs="宋体"/>
                <w:color w:val="auto"/>
                <w:kern w:val="0"/>
                <w:szCs w:val="21"/>
                <w:lang w:eastAsia="zh-CN"/>
              </w:rPr>
              <w:t>）</w:t>
            </w:r>
            <w:r>
              <w:rPr>
                <w:rFonts w:hint="eastAsia" w:ascii="宋体" w:hAnsi="宋体" w:cs="宋体"/>
                <w:color w:val="auto"/>
                <w:kern w:val="0"/>
                <w:szCs w:val="21"/>
              </w:rPr>
              <w:t>名称</w:t>
            </w:r>
          </w:p>
        </w:tc>
        <w:tc>
          <w:tcPr>
            <w:tcW w:w="6711"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r>
      <w:tr>
        <w:tblPrEx>
          <w:tblLayout w:type="fixed"/>
          <w:tblCellMar>
            <w:top w:w="0" w:type="dxa"/>
            <w:left w:w="108" w:type="dxa"/>
            <w:bottom w:w="0" w:type="dxa"/>
            <w:right w:w="108" w:type="dxa"/>
          </w:tblCellMar>
        </w:tblPrEx>
        <w:trPr>
          <w:trHeight w:val="660" w:hRule="atLeast"/>
        </w:trPr>
        <w:tc>
          <w:tcPr>
            <w:tcW w:w="2235"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eastAsia="zh-CN"/>
              </w:rPr>
              <w:t>基地（</w:t>
            </w:r>
            <w:r>
              <w:rPr>
                <w:rFonts w:hint="eastAsia" w:ascii="宋体" w:hAnsi="宋体" w:cs="宋体"/>
                <w:color w:val="auto"/>
                <w:kern w:val="0"/>
                <w:szCs w:val="21"/>
              </w:rPr>
              <w:t>楼宇</w:t>
            </w:r>
            <w:r>
              <w:rPr>
                <w:rFonts w:hint="eastAsia" w:ascii="宋体" w:hAnsi="宋体" w:cs="宋体"/>
                <w:color w:val="auto"/>
                <w:kern w:val="0"/>
                <w:szCs w:val="21"/>
                <w:lang w:eastAsia="zh-CN"/>
              </w:rPr>
              <w:t>）</w:t>
            </w:r>
            <w:r>
              <w:rPr>
                <w:rFonts w:hint="eastAsia" w:ascii="宋体" w:hAnsi="宋体" w:cs="宋体"/>
                <w:color w:val="auto"/>
                <w:kern w:val="0"/>
                <w:szCs w:val="21"/>
              </w:rPr>
              <w:t>地址</w:t>
            </w:r>
          </w:p>
        </w:tc>
        <w:tc>
          <w:tcPr>
            <w:tcW w:w="6711"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r>
      <w:tr>
        <w:tblPrEx>
          <w:tblLayout w:type="fixed"/>
          <w:tblCellMar>
            <w:top w:w="0" w:type="dxa"/>
            <w:left w:w="108" w:type="dxa"/>
            <w:bottom w:w="0" w:type="dxa"/>
            <w:right w:w="108" w:type="dxa"/>
          </w:tblCellMar>
        </w:tblPrEx>
        <w:trPr>
          <w:trHeight w:val="660" w:hRule="atLeast"/>
        </w:trPr>
        <w:tc>
          <w:tcPr>
            <w:tcW w:w="2235"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eastAsia="zh-CN"/>
              </w:rPr>
              <w:t>基地（</w:t>
            </w:r>
            <w:r>
              <w:rPr>
                <w:rFonts w:hint="eastAsia" w:ascii="宋体" w:hAnsi="宋体" w:cs="宋体"/>
                <w:color w:val="auto"/>
                <w:kern w:val="0"/>
                <w:szCs w:val="21"/>
              </w:rPr>
              <w:t>楼宇</w:t>
            </w:r>
            <w:r>
              <w:rPr>
                <w:rFonts w:hint="eastAsia" w:ascii="宋体" w:hAnsi="宋体" w:cs="宋体"/>
                <w:color w:val="auto"/>
                <w:kern w:val="0"/>
                <w:szCs w:val="21"/>
                <w:lang w:eastAsia="zh-CN"/>
              </w:rPr>
              <w:t>）</w:t>
            </w:r>
            <w:r>
              <w:rPr>
                <w:rFonts w:hint="eastAsia" w:ascii="宋体" w:hAnsi="宋体" w:cs="宋体"/>
                <w:color w:val="auto"/>
                <w:kern w:val="0"/>
                <w:szCs w:val="21"/>
              </w:rPr>
              <w:t>运营机构</w:t>
            </w:r>
            <w:r>
              <w:rPr>
                <w:rFonts w:hint="eastAsia" w:ascii="宋体" w:hAnsi="宋体" w:cs="宋体"/>
                <w:color w:val="auto"/>
                <w:kern w:val="0"/>
                <w:szCs w:val="21"/>
                <w:lang w:eastAsia="zh-CN"/>
              </w:rPr>
              <w:t>名称</w:t>
            </w:r>
          </w:p>
        </w:tc>
        <w:tc>
          <w:tcPr>
            <w:tcW w:w="219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19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color w:val="auto"/>
                <w:kern w:val="0"/>
                <w:szCs w:val="21"/>
                <w:lang w:eastAsia="zh-CN"/>
              </w:rPr>
            </w:pPr>
            <w:r>
              <w:rPr>
                <w:rFonts w:hint="eastAsia" w:ascii="宋体" w:hAnsi="宋体" w:cs="宋体"/>
                <w:color w:val="auto"/>
                <w:kern w:val="0"/>
                <w:szCs w:val="21"/>
                <w:lang w:eastAsia="zh-CN"/>
              </w:rPr>
              <w:t>楼宇是否属于总部用地项目</w:t>
            </w:r>
          </w:p>
        </w:tc>
        <w:tc>
          <w:tcPr>
            <w:tcW w:w="231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r>
      <w:tr>
        <w:tblPrEx>
          <w:tblLayout w:type="fixed"/>
          <w:tblCellMar>
            <w:top w:w="0" w:type="dxa"/>
            <w:left w:w="108" w:type="dxa"/>
            <w:bottom w:w="0" w:type="dxa"/>
            <w:right w:w="108" w:type="dxa"/>
          </w:tblCellMar>
        </w:tblPrEx>
        <w:trPr>
          <w:trHeight w:val="495" w:hRule="atLeast"/>
        </w:trPr>
        <w:tc>
          <w:tcPr>
            <w:tcW w:w="138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联系人</w:t>
            </w:r>
          </w:p>
        </w:tc>
        <w:tc>
          <w:tcPr>
            <w:tcW w:w="1984"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106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联系电话</w:t>
            </w:r>
          </w:p>
        </w:tc>
        <w:tc>
          <w:tcPr>
            <w:tcW w:w="219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8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邮箱</w:t>
            </w:r>
          </w:p>
        </w:tc>
        <w:tc>
          <w:tcPr>
            <w:tcW w:w="146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r>
      <w:tr>
        <w:tblPrEx>
          <w:tblLayout w:type="fixed"/>
          <w:tblCellMar>
            <w:top w:w="0" w:type="dxa"/>
            <w:left w:w="108" w:type="dxa"/>
            <w:bottom w:w="0" w:type="dxa"/>
            <w:right w:w="108" w:type="dxa"/>
          </w:tblCellMar>
        </w:tblPrEx>
        <w:trPr>
          <w:trHeight w:val="810" w:hRule="atLeast"/>
        </w:trPr>
        <w:tc>
          <w:tcPr>
            <w:tcW w:w="2235"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eastAsia="zh-CN"/>
              </w:rPr>
              <w:t>基地（楼宇）总建筑</w:t>
            </w:r>
            <w:r>
              <w:rPr>
                <w:rFonts w:hint="eastAsia" w:ascii="宋体" w:hAnsi="宋体" w:cs="宋体"/>
                <w:color w:val="auto"/>
                <w:kern w:val="0"/>
                <w:szCs w:val="21"/>
              </w:rPr>
              <w:t>面积（m</w:t>
            </w:r>
            <w:r>
              <w:rPr>
                <w:rFonts w:hint="eastAsia" w:ascii="宋体" w:hAnsi="宋体" w:cs="宋体"/>
                <w:color w:val="auto"/>
                <w:kern w:val="0"/>
                <w:szCs w:val="21"/>
                <w:vertAlign w:val="superscript"/>
              </w:rPr>
              <w:t>2</w:t>
            </w:r>
            <w:r>
              <w:rPr>
                <w:rFonts w:hint="eastAsia" w:ascii="宋体" w:hAnsi="宋体" w:cs="宋体"/>
                <w:color w:val="auto"/>
                <w:kern w:val="0"/>
                <w:szCs w:val="21"/>
              </w:rPr>
              <w:t>）</w:t>
            </w:r>
          </w:p>
        </w:tc>
        <w:tc>
          <w:tcPr>
            <w:tcW w:w="219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19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eastAsia="zh-CN"/>
              </w:rPr>
              <w:t>基地（</w:t>
            </w:r>
            <w:r>
              <w:rPr>
                <w:rFonts w:hint="eastAsia" w:ascii="宋体" w:hAnsi="宋体" w:cs="宋体"/>
                <w:color w:val="auto"/>
                <w:kern w:val="0"/>
                <w:szCs w:val="21"/>
              </w:rPr>
              <w:t>楼宇</w:t>
            </w:r>
            <w:r>
              <w:rPr>
                <w:rFonts w:hint="eastAsia" w:ascii="宋体" w:hAnsi="宋体" w:cs="宋体"/>
                <w:color w:val="auto"/>
                <w:kern w:val="0"/>
                <w:szCs w:val="21"/>
                <w:lang w:eastAsia="zh-CN"/>
              </w:rPr>
              <w:t>）总办公面积</w:t>
            </w:r>
            <w:r>
              <w:rPr>
                <w:rFonts w:hint="eastAsia" w:ascii="宋体" w:hAnsi="宋体" w:cs="宋体"/>
                <w:color w:val="auto"/>
                <w:kern w:val="0"/>
                <w:szCs w:val="21"/>
              </w:rPr>
              <w:t>（m</w:t>
            </w:r>
            <w:r>
              <w:rPr>
                <w:rFonts w:hint="eastAsia" w:ascii="宋体" w:hAnsi="宋体" w:cs="宋体"/>
                <w:color w:val="auto"/>
                <w:kern w:val="0"/>
                <w:szCs w:val="21"/>
                <w:vertAlign w:val="superscript"/>
              </w:rPr>
              <w:t>2</w:t>
            </w:r>
            <w:r>
              <w:rPr>
                <w:rFonts w:hint="eastAsia" w:ascii="宋体" w:hAnsi="宋体" w:cs="宋体"/>
                <w:color w:val="auto"/>
                <w:kern w:val="0"/>
                <w:szCs w:val="21"/>
              </w:rPr>
              <w:t>）</w:t>
            </w:r>
          </w:p>
        </w:tc>
        <w:tc>
          <w:tcPr>
            <w:tcW w:w="231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r>
      <w:tr>
        <w:tblPrEx>
          <w:tblLayout w:type="fixed"/>
          <w:tblCellMar>
            <w:top w:w="0" w:type="dxa"/>
            <w:left w:w="108" w:type="dxa"/>
            <w:bottom w:w="0" w:type="dxa"/>
            <w:right w:w="108" w:type="dxa"/>
          </w:tblCellMar>
        </w:tblPrEx>
        <w:trPr>
          <w:trHeight w:val="810" w:hRule="atLeast"/>
        </w:trPr>
        <w:tc>
          <w:tcPr>
            <w:tcW w:w="2235"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eastAsia="zh-CN"/>
              </w:rPr>
              <w:t>基地（</w:t>
            </w:r>
            <w:r>
              <w:rPr>
                <w:rFonts w:hint="eastAsia" w:ascii="宋体" w:hAnsi="宋体" w:cs="宋体"/>
                <w:color w:val="auto"/>
                <w:kern w:val="0"/>
                <w:szCs w:val="21"/>
              </w:rPr>
              <w:t>楼宇</w:t>
            </w:r>
            <w:r>
              <w:rPr>
                <w:rFonts w:hint="eastAsia" w:ascii="宋体" w:hAnsi="宋体" w:cs="宋体"/>
                <w:color w:val="auto"/>
                <w:kern w:val="0"/>
                <w:szCs w:val="21"/>
                <w:lang w:eastAsia="zh-CN"/>
              </w:rPr>
              <w:t>）未入驻可用于招商面积</w:t>
            </w:r>
            <w:r>
              <w:rPr>
                <w:rFonts w:hint="eastAsia" w:ascii="宋体" w:hAnsi="宋体" w:cs="宋体"/>
                <w:color w:val="auto"/>
                <w:kern w:val="0"/>
                <w:szCs w:val="21"/>
              </w:rPr>
              <w:t>（m</w:t>
            </w:r>
            <w:r>
              <w:rPr>
                <w:rFonts w:hint="eastAsia" w:ascii="宋体" w:hAnsi="宋体" w:cs="宋体"/>
                <w:color w:val="auto"/>
                <w:kern w:val="0"/>
                <w:szCs w:val="21"/>
                <w:vertAlign w:val="superscript"/>
              </w:rPr>
              <w:t>2</w:t>
            </w:r>
            <w:r>
              <w:rPr>
                <w:rFonts w:hint="eastAsia" w:ascii="宋体" w:hAnsi="宋体" w:cs="宋体"/>
                <w:color w:val="auto"/>
                <w:kern w:val="0"/>
                <w:szCs w:val="21"/>
              </w:rPr>
              <w:t>）</w:t>
            </w:r>
          </w:p>
        </w:tc>
        <w:tc>
          <w:tcPr>
            <w:tcW w:w="219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19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已入驻持牌金融机构数（家）</w:t>
            </w:r>
          </w:p>
        </w:tc>
        <w:tc>
          <w:tcPr>
            <w:tcW w:w="231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r>
      <w:tr>
        <w:tblPrEx>
          <w:tblLayout w:type="fixed"/>
          <w:tblCellMar>
            <w:top w:w="0" w:type="dxa"/>
            <w:left w:w="108" w:type="dxa"/>
            <w:bottom w:w="0" w:type="dxa"/>
            <w:right w:w="108" w:type="dxa"/>
          </w:tblCellMar>
        </w:tblPrEx>
        <w:trPr>
          <w:trHeight w:val="660" w:hRule="atLeast"/>
        </w:trPr>
        <w:tc>
          <w:tcPr>
            <w:tcW w:w="2235"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eastAsia="zh-CN"/>
              </w:rPr>
              <w:t>已入驻金融企业数（家）</w:t>
            </w:r>
          </w:p>
        </w:tc>
        <w:tc>
          <w:tcPr>
            <w:tcW w:w="219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19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eastAsia="zh-CN"/>
              </w:rPr>
              <w:t>入驻金融企业</w:t>
            </w:r>
            <w:r>
              <w:rPr>
                <w:rFonts w:hint="eastAsia" w:ascii="宋体" w:hAnsi="宋体" w:cs="宋体"/>
                <w:color w:val="auto"/>
                <w:kern w:val="0"/>
                <w:szCs w:val="21"/>
              </w:rPr>
              <w:t>已使用</w:t>
            </w:r>
            <w:r>
              <w:rPr>
                <w:rFonts w:hint="eastAsia" w:ascii="宋体" w:hAnsi="宋体" w:cs="宋体"/>
                <w:color w:val="auto"/>
                <w:kern w:val="0"/>
                <w:szCs w:val="21"/>
                <w:lang w:eastAsia="zh-CN"/>
              </w:rPr>
              <w:t>办公面积</w:t>
            </w:r>
            <w:r>
              <w:rPr>
                <w:rFonts w:hint="eastAsia" w:ascii="宋体" w:hAnsi="宋体" w:cs="宋体"/>
                <w:color w:val="auto"/>
                <w:kern w:val="0"/>
                <w:szCs w:val="21"/>
              </w:rPr>
              <w:t>（m</w:t>
            </w:r>
            <w:r>
              <w:rPr>
                <w:rFonts w:hint="eastAsia" w:ascii="宋体" w:hAnsi="宋体" w:cs="宋体"/>
                <w:color w:val="auto"/>
                <w:kern w:val="0"/>
                <w:szCs w:val="21"/>
                <w:vertAlign w:val="superscript"/>
              </w:rPr>
              <w:t>2</w:t>
            </w:r>
            <w:r>
              <w:rPr>
                <w:rFonts w:hint="eastAsia" w:ascii="宋体" w:hAnsi="宋体" w:cs="宋体"/>
                <w:color w:val="auto"/>
                <w:kern w:val="0"/>
                <w:szCs w:val="21"/>
              </w:rPr>
              <w:t>）</w:t>
            </w:r>
          </w:p>
        </w:tc>
        <w:tc>
          <w:tcPr>
            <w:tcW w:w="231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r>
      <w:tr>
        <w:tblPrEx>
          <w:tblLayout w:type="fixed"/>
          <w:tblCellMar>
            <w:top w:w="0" w:type="dxa"/>
            <w:left w:w="108" w:type="dxa"/>
            <w:bottom w:w="0" w:type="dxa"/>
            <w:right w:w="108" w:type="dxa"/>
          </w:tblCellMar>
        </w:tblPrEx>
        <w:trPr>
          <w:trHeight w:val="495" w:hRule="atLeast"/>
        </w:trPr>
        <w:tc>
          <w:tcPr>
            <w:tcW w:w="2235"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eastAsia="zh-CN"/>
              </w:rPr>
              <w:t>已入驻企业数（家）</w:t>
            </w:r>
          </w:p>
        </w:tc>
        <w:tc>
          <w:tcPr>
            <w:tcW w:w="219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19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入驻</w:t>
            </w:r>
            <w:r>
              <w:rPr>
                <w:rFonts w:hint="eastAsia" w:ascii="宋体" w:hAnsi="宋体" w:cs="宋体"/>
                <w:color w:val="auto"/>
                <w:kern w:val="0"/>
                <w:szCs w:val="21"/>
                <w:lang w:eastAsia="zh-CN"/>
              </w:rPr>
              <w:t>金融企业</w:t>
            </w:r>
            <w:r>
              <w:rPr>
                <w:rFonts w:hint="eastAsia" w:ascii="宋体" w:hAnsi="宋体" w:cs="宋体"/>
                <w:color w:val="auto"/>
                <w:kern w:val="0"/>
                <w:szCs w:val="21"/>
              </w:rPr>
              <w:t>上年度</w:t>
            </w:r>
            <w:r>
              <w:rPr>
                <w:rFonts w:hint="eastAsia" w:ascii="宋体" w:hAnsi="宋体" w:cs="宋体"/>
                <w:color w:val="auto"/>
                <w:kern w:val="0"/>
                <w:szCs w:val="21"/>
                <w:lang w:eastAsia="zh-CN"/>
              </w:rPr>
              <w:t>形成地方财力</w:t>
            </w:r>
            <w:r>
              <w:rPr>
                <w:rFonts w:hint="eastAsia" w:ascii="宋体" w:hAnsi="宋体" w:cs="宋体"/>
                <w:color w:val="auto"/>
                <w:kern w:val="0"/>
                <w:szCs w:val="21"/>
              </w:rPr>
              <w:t>总额（万元）</w:t>
            </w:r>
          </w:p>
        </w:tc>
        <w:tc>
          <w:tcPr>
            <w:tcW w:w="231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r>
      <w:tr>
        <w:tblPrEx>
          <w:tblLayout w:type="fixed"/>
          <w:tblCellMar>
            <w:top w:w="0" w:type="dxa"/>
            <w:left w:w="108" w:type="dxa"/>
            <w:bottom w:w="0" w:type="dxa"/>
            <w:right w:w="108" w:type="dxa"/>
          </w:tblCellMar>
        </w:tblPrEx>
        <w:trPr>
          <w:trHeight w:val="2438" w:hRule="atLeast"/>
        </w:trPr>
        <w:tc>
          <w:tcPr>
            <w:tcW w:w="2235"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为入驻</w:t>
            </w:r>
            <w:r>
              <w:rPr>
                <w:rFonts w:hint="eastAsia" w:ascii="宋体" w:hAnsi="宋体" w:cs="宋体"/>
                <w:color w:val="auto"/>
                <w:kern w:val="0"/>
                <w:szCs w:val="21"/>
                <w:lang w:eastAsia="zh-CN"/>
              </w:rPr>
              <w:t>金融类企业机构</w:t>
            </w:r>
            <w:r>
              <w:rPr>
                <w:rFonts w:hint="eastAsia" w:ascii="宋体" w:hAnsi="宋体" w:cs="宋体"/>
                <w:color w:val="auto"/>
                <w:kern w:val="0"/>
                <w:szCs w:val="21"/>
              </w:rPr>
              <w:t>提供服务情况</w:t>
            </w:r>
          </w:p>
        </w:tc>
        <w:tc>
          <w:tcPr>
            <w:tcW w:w="6711" w:type="dxa"/>
            <w:gridSpan w:val="5"/>
            <w:tcBorders>
              <w:top w:val="single" w:color="auto" w:sz="4" w:space="0"/>
              <w:left w:val="nil"/>
              <w:bottom w:val="single" w:color="auto" w:sz="4" w:space="0"/>
              <w:right w:val="single" w:color="auto" w:sz="4" w:space="0"/>
            </w:tcBorders>
            <w:vAlign w:val="center"/>
          </w:tcPr>
          <w:p>
            <w:pPr>
              <w:widowControl/>
              <w:jc w:val="both"/>
              <w:rPr>
                <w:rFonts w:hint="eastAsia" w:ascii="宋体" w:hAnsi="宋体" w:cs="宋体"/>
                <w:color w:val="auto"/>
                <w:kern w:val="0"/>
                <w:szCs w:val="21"/>
              </w:rPr>
            </w:pPr>
            <w:r>
              <w:rPr>
                <w:rFonts w:hint="eastAsia" w:ascii="宋体" w:hAnsi="宋体" w:cs="宋体"/>
                <w:color w:val="auto"/>
                <w:kern w:val="0"/>
                <w:szCs w:val="21"/>
              </w:rPr>
              <w:t>　</w:t>
            </w:r>
          </w:p>
          <w:p>
            <w:pPr>
              <w:widowControl/>
              <w:jc w:val="both"/>
              <w:rPr>
                <w:rFonts w:hint="eastAsia" w:ascii="宋体" w:hAnsi="宋体" w:cs="宋体"/>
                <w:color w:val="auto"/>
                <w:kern w:val="0"/>
                <w:szCs w:val="21"/>
              </w:rPr>
            </w:pPr>
          </w:p>
          <w:p>
            <w:pPr>
              <w:widowControl/>
              <w:jc w:val="both"/>
              <w:rPr>
                <w:rFonts w:hint="eastAsia" w:ascii="宋体" w:hAnsi="宋体" w:cs="宋体"/>
                <w:color w:val="auto"/>
                <w:kern w:val="0"/>
                <w:szCs w:val="21"/>
              </w:rPr>
            </w:pPr>
          </w:p>
          <w:p>
            <w:pPr>
              <w:widowControl/>
              <w:jc w:val="both"/>
              <w:rPr>
                <w:rFonts w:hint="eastAsia" w:ascii="宋体" w:hAnsi="宋体" w:cs="宋体"/>
                <w:color w:val="auto"/>
                <w:kern w:val="0"/>
                <w:szCs w:val="21"/>
              </w:rPr>
            </w:pPr>
          </w:p>
          <w:p>
            <w:pPr>
              <w:widowControl/>
              <w:jc w:val="both"/>
              <w:rPr>
                <w:rFonts w:hint="eastAsia" w:ascii="宋体" w:hAnsi="宋体" w:cs="宋体"/>
                <w:color w:val="auto"/>
                <w:kern w:val="0"/>
                <w:szCs w:val="21"/>
              </w:rPr>
            </w:pPr>
          </w:p>
          <w:p>
            <w:pPr>
              <w:widowControl/>
              <w:jc w:val="both"/>
              <w:rPr>
                <w:rFonts w:hint="eastAsia" w:ascii="宋体" w:hAnsi="宋体" w:cs="宋体"/>
                <w:color w:val="auto"/>
                <w:kern w:val="0"/>
                <w:szCs w:val="21"/>
              </w:rPr>
            </w:pPr>
          </w:p>
          <w:p>
            <w:pPr>
              <w:widowControl/>
              <w:jc w:val="both"/>
              <w:rPr>
                <w:rFonts w:hint="eastAsia" w:ascii="宋体" w:hAnsi="宋体" w:cs="宋体"/>
                <w:color w:val="auto"/>
                <w:kern w:val="0"/>
                <w:szCs w:val="21"/>
              </w:rPr>
            </w:pPr>
          </w:p>
          <w:p>
            <w:pPr>
              <w:widowControl/>
              <w:jc w:val="both"/>
              <w:rPr>
                <w:rFonts w:hint="eastAsia" w:ascii="宋体" w:hAnsi="宋体" w:cs="宋体"/>
                <w:color w:val="auto"/>
                <w:kern w:val="0"/>
                <w:szCs w:val="21"/>
              </w:rPr>
            </w:pPr>
          </w:p>
          <w:p>
            <w:pPr>
              <w:widowControl/>
              <w:jc w:val="both"/>
              <w:rPr>
                <w:rFonts w:hint="eastAsia" w:ascii="宋体" w:hAnsi="宋体" w:cs="宋体"/>
                <w:color w:val="auto"/>
                <w:kern w:val="0"/>
                <w:szCs w:val="21"/>
              </w:rPr>
            </w:pPr>
          </w:p>
          <w:p>
            <w:pPr>
              <w:widowControl/>
              <w:jc w:val="both"/>
              <w:rPr>
                <w:rFonts w:hint="eastAsia" w:ascii="宋体" w:hAnsi="宋体" w:cs="宋体"/>
                <w:color w:val="auto"/>
                <w:kern w:val="0"/>
                <w:szCs w:val="21"/>
              </w:rPr>
            </w:pPr>
          </w:p>
          <w:p>
            <w:pPr>
              <w:widowControl/>
              <w:jc w:val="both"/>
              <w:rPr>
                <w:rFonts w:hint="eastAsia" w:ascii="宋体" w:hAnsi="宋体" w:cs="宋体"/>
                <w:color w:val="auto"/>
                <w:kern w:val="0"/>
                <w:szCs w:val="21"/>
              </w:rPr>
            </w:pPr>
          </w:p>
          <w:p>
            <w:pPr>
              <w:widowControl/>
              <w:jc w:val="both"/>
              <w:rPr>
                <w:rFonts w:hint="eastAsia" w:ascii="宋体" w:hAnsi="宋体" w:cs="宋体"/>
                <w:color w:val="auto"/>
                <w:kern w:val="0"/>
                <w:szCs w:val="21"/>
              </w:rPr>
            </w:pPr>
            <w:r>
              <w:rPr>
                <w:rFonts w:hint="eastAsia" w:ascii="宋体" w:hAnsi="宋体" w:cs="宋体"/>
                <w:color w:val="auto"/>
                <w:kern w:val="0"/>
                <w:szCs w:val="21"/>
                <w:lang w:eastAsia="zh-CN"/>
              </w:rPr>
              <w:t>申请单位</w:t>
            </w:r>
            <w:r>
              <w:rPr>
                <w:rFonts w:hint="eastAsia" w:ascii="宋体" w:hAnsi="宋体" w:cs="宋体"/>
                <w:color w:val="auto"/>
                <w:kern w:val="0"/>
                <w:szCs w:val="21"/>
              </w:rPr>
              <w:t>主要负责人（盖公章）：                    年    月    日</w:t>
            </w:r>
          </w:p>
        </w:tc>
      </w:tr>
      <w:tr>
        <w:tblPrEx>
          <w:tblLayout w:type="fixed"/>
          <w:tblCellMar>
            <w:top w:w="0" w:type="dxa"/>
            <w:left w:w="108" w:type="dxa"/>
            <w:bottom w:w="0" w:type="dxa"/>
            <w:right w:w="108" w:type="dxa"/>
          </w:tblCellMar>
        </w:tblPrEx>
        <w:trPr>
          <w:trHeight w:val="2541" w:hRule="atLeast"/>
        </w:trPr>
        <w:tc>
          <w:tcPr>
            <w:tcW w:w="2235"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eastAsia="zh-CN"/>
              </w:rPr>
              <w:t>基地（楼宇）</w:t>
            </w:r>
            <w:r>
              <w:rPr>
                <w:rFonts w:hint="eastAsia" w:ascii="宋体" w:hAnsi="宋体" w:cs="宋体"/>
                <w:color w:val="auto"/>
                <w:kern w:val="0"/>
                <w:szCs w:val="21"/>
              </w:rPr>
              <w:t>所在</w:t>
            </w:r>
            <w:r>
              <w:rPr>
                <w:rFonts w:hint="eastAsia" w:ascii="宋体" w:hAnsi="宋体" w:cs="宋体"/>
                <w:color w:val="auto"/>
                <w:kern w:val="0"/>
                <w:szCs w:val="21"/>
                <w:lang w:eastAsia="zh-CN"/>
              </w:rPr>
              <w:t>区金融主管部门</w:t>
            </w:r>
            <w:r>
              <w:rPr>
                <w:rFonts w:hint="eastAsia" w:ascii="宋体" w:hAnsi="宋体" w:cs="宋体"/>
                <w:color w:val="auto"/>
                <w:kern w:val="0"/>
                <w:szCs w:val="21"/>
              </w:rPr>
              <w:t>推荐意见</w:t>
            </w:r>
          </w:p>
        </w:tc>
        <w:tc>
          <w:tcPr>
            <w:tcW w:w="6711" w:type="dxa"/>
            <w:gridSpan w:val="5"/>
            <w:tcBorders>
              <w:top w:val="single" w:color="auto" w:sz="4" w:space="0"/>
              <w:left w:val="nil"/>
              <w:bottom w:val="single" w:color="auto" w:sz="4" w:space="0"/>
              <w:right w:val="single" w:color="auto" w:sz="4" w:space="0"/>
            </w:tcBorders>
            <w:vAlign w:val="bottom"/>
          </w:tcPr>
          <w:p>
            <w:pPr>
              <w:widowControl/>
              <w:rPr>
                <w:rFonts w:hint="eastAsia" w:ascii="宋体" w:hAnsi="宋体" w:cs="宋体"/>
                <w:color w:val="auto"/>
                <w:kern w:val="0"/>
                <w:szCs w:val="21"/>
              </w:rPr>
            </w:pPr>
          </w:p>
          <w:p>
            <w:pPr>
              <w:widowControl/>
              <w:rPr>
                <w:rFonts w:hint="eastAsia" w:ascii="宋体" w:hAnsi="宋体" w:cs="宋体"/>
                <w:color w:val="auto"/>
                <w:kern w:val="0"/>
                <w:szCs w:val="21"/>
              </w:rPr>
            </w:pPr>
          </w:p>
          <w:p>
            <w:pPr>
              <w:widowControl/>
              <w:rPr>
                <w:rFonts w:hint="eastAsia" w:ascii="宋体" w:hAnsi="宋体" w:cs="宋体"/>
                <w:color w:val="auto"/>
                <w:kern w:val="0"/>
                <w:szCs w:val="21"/>
              </w:rPr>
            </w:pPr>
            <w:r>
              <w:rPr>
                <w:rFonts w:hint="eastAsia" w:ascii="宋体" w:hAnsi="宋体" w:cs="宋体"/>
                <w:color w:val="auto"/>
                <w:kern w:val="0"/>
                <w:szCs w:val="21"/>
              </w:rPr>
              <w:t xml:space="preserve">主要负责人（盖公章）：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年    月    日</w:t>
            </w:r>
          </w:p>
        </w:tc>
      </w:tr>
    </w:tbl>
    <w:p>
      <w:pPr>
        <w:pStyle w:val="10"/>
        <w:widowControl w:val="0"/>
        <w:autoSpaceDE w:val="0"/>
        <w:autoSpaceDN w:val="0"/>
        <w:spacing w:line="360" w:lineRule="auto"/>
        <w:rPr>
          <w:rFonts w:hint="eastAsia" w:ascii="仿宋_GB2312" w:hAnsi="仿宋_GB2312" w:eastAsia="仿宋_GB2312" w:cs="仿宋_GB2312"/>
          <w:b w:val="0"/>
          <w:bCs/>
          <w:color w:val="auto"/>
          <w:sz w:val="32"/>
          <w:szCs w:val="32"/>
        </w:rPr>
        <w:sectPr>
          <w:pgSz w:w="11906" w:h="16838"/>
          <w:pgMar w:top="1440" w:right="1800" w:bottom="1440" w:left="1800" w:header="851" w:footer="992" w:gutter="0"/>
          <w:pgNumType w:fmt="decimal"/>
          <w:cols w:space="425" w:num="1"/>
          <w:docGrid w:type="lines" w:linePitch="312" w:charSpace="0"/>
        </w:sectPr>
      </w:pPr>
    </w:p>
    <w:p>
      <w:pPr>
        <w:pStyle w:val="10"/>
        <w:widowControl w:val="0"/>
        <w:autoSpaceDE w:val="0"/>
        <w:autoSpaceDN w:val="0"/>
        <w:spacing w:line="360" w:lineRule="auto"/>
        <w:rPr>
          <w:rFonts w:hint="eastAsia" w:ascii="黑体" w:hAnsi="仿宋" w:eastAsia="黑体"/>
          <w:bCs/>
          <w:color w:val="auto"/>
          <w:sz w:val="32"/>
          <w:szCs w:val="32"/>
        </w:rPr>
      </w:pPr>
      <w:r>
        <w:rPr>
          <w:rFonts w:hint="eastAsia" w:ascii="仿宋_GB2312" w:hAnsi="仿宋_GB2312" w:eastAsia="仿宋_GB2312" w:cs="仿宋_GB2312"/>
          <w:b w:val="0"/>
          <w:bCs/>
          <w:color w:val="auto"/>
          <w:sz w:val="32"/>
          <w:szCs w:val="32"/>
        </w:rPr>
        <w:t>附件2：</w:t>
      </w:r>
    </w:p>
    <w:p>
      <w:pPr>
        <w:pStyle w:val="11"/>
        <w:spacing w:line="360" w:lineRule="auto"/>
        <w:ind w:left="0" w:leftChars="0" w:right="-334" w:rightChars="-159" w:firstLine="0" w:firstLineChars="0"/>
        <w:jc w:val="center"/>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en-US" w:eastAsia="zh-CN"/>
        </w:rPr>
        <w:t>XXX基地（或XXX楼宇）</w:t>
      </w:r>
      <w:r>
        <w:rPr>
          <w:rFonts w:hint="eastAsia" w:ascii="宋体" w:hAnsi="宋体" w:eastAsia="宋体" w:cs="宋体"/>
          <w:b/>
          <w:bCs/>
          <w:color w:val="auto"/>
          <w:kern w:val="0"/>
          <w:sz w:val="36"/>
          <w:szCs w:val="36"/>
          <w:lang w:eastAsia="zh-CN"/>
        </w:rPr>
        <w:t>入驻金融</w:t>
      </w:r>
      <w:r>
        <w:rPr>
          <w:rFonts w:hint="eastAsia" w:ascii="宋体" w:hAnsi="宋体" w:eastAsia="宋体" w:cs="宋体"/>
          <w:b/>
          <w:bCs/>
          <w:color w:val="auto"/>
          <w:kern w:val="0"/>
          <w:sz w:val="36"/>
          <w:szCs w:val="36"/>
        </w:rPr>
        <w:t>企业信息表</w:t>
      </w:r>
    </w:p>
    <w:p>
      <w:pPr>
        <w:pStyle w:val="11"/>
        <w:spacing w:line="360" w:lineRule="auto"/>
        <w:ind w:left="0" w:leftChars="0" w:right="-334" w:rightChars="-159" w:firstLine="0" w:firstLineChars="0"/>
        <w:jc w:val="both"/>
        <w:rPr>
          <w:rFonts w:hint="eastAsia" w:ascii="宋体" w:hAnsi="宋体" w:cs="宋体" w:eastAsiaTheme="minorEastAsia"/>
          <w:b/>
          <w:bCs/>
          <w:color w:val="auto"/>
          <w:kern w:val="0"/>
          <w:sz w:val="36"/>
          <w:szCs w:val="36"/>
          <w:lang w:val="en-US" w:eastAsia="zh-CN"/>
        </w:rPr>
      </w:pPr>
      <w:r>
        <w:rPr>
          <w:rFonts w:hint="eastAsia"/>
          <w:color w:val="auto"/>
        </w:rPr>
        <w:t>申</w:t>
      </w:r>
      <w:r>
        <w:rPr>
          <w:rFonts w:hint="eastAsia"/>
          <w:color w:val="auto"/>
          <w:lang w:eastAsia="zh-CN"/>
        </w:rPr>
        <w:t>请</w:t>
      </w:r>
      <w:r>
        <w:rPr>
          <w:rFonts w:hint="eastAsia"/>
          <w:color w:val="auto"/>
        </w:rPr>
        <w:t>单位（公章）：</w:t>
      </w:r>
      <w:r>
        <w:rPr>
          <w:rFonts w:hint="eastAsia"/>
          <w:color w:val="auto"/>
          <w:u w:val="single"/>
        </w:rPr>
        <w:t xml:space="preserve">                </w:t>
      </w:r>
      <w:r>
        <w:rPr>
          <w:rFonts w:hint="eastAsia"/>
          <w:color w:val="auto"/>
        </w:rPr>
        <w:t xml:space="preserve"> </w:t>
      </w:r>
      <w:r>
        <w:rPr>
          <w:rFonts w:hint="eastAsia"/>
          <w:color w:val="auto"/>
          <w:lang w:val="en-US" w:eastAsia="zh-CN"/>
        </w:rPr>
        <w:t xml:space="preserve">                                                                   填报</w:t>
      </w:r>
      <w:r>
        <w:rPr>
          <w:rFonts w:hint="eastAsia"/>
          <w:color w:val="auto"/>
        </w:rPr>
        <w:t>时间：</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tbl>
      <w:tblPr>
        <w:tblStyle w:val="9"/>
        <w:tblW w:w="14238" w:type="dxa"/>
        <w:tblInd w:w="0" w:type="dxa"/>
        <w:tblLayout w:type="fixed"/>
        <w:tblCellMar>
          <w:top w:w="0" w:type="dxa"/>
          <w:left w:w="108" w:type="dxa"/>
          <w:bottom w:w="0" w:type="dxa"/>
          <w:right w:w="108" w:type="dxa"/>
        </w:tblCellMar>
      </w:tblPr>
      <w:tblGrid>
        <w:gridCol w:w="673"/>
        <w:gridCol w:w="1063"/>
        <w:gridCol w:w="802"/>
        <w:gridCol w:w="1885"/>
        <w:gridCol w:w="1063"/>
        <w:gridCol w:w="962"/>
        <w:gridCol w:w="1174"/>
        <w:gridCol w:w="1189"/>
        <w:gridCol w:w="925"/>
        <w:gridCol w:w="2087"/>
        <w:gridCol w:w="2415"/>
      </w:tblGrid>
      <w:tr>
        <w:tblPrEx>
          <w:tblLayout w:type="fixed"/>
          <w:tblCellMar>
            <w:top w:w="0" w:type="dxa"/>
            <w:left w:w="108" w:type="dxa"/>
            <w:bottom w:w="0" w:type="dxa"/>
            <w:right w:w="108" w:type="dxa"/>
          </w:tblCellMar>
        </w:tblPrEx>
        <w:trPr>
          <w:trHeight w:val="1088" w:hRule="atLeast"/>
        </w:trPr>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序号</w:t>
            </w:r>
          </w:p>
        </w:tc>
        <w:tc>
          <w:tcPr>
            <w:tcW w:w="106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auto"/>
                <w:kern w:val="0"/>
                <w:sz w:val="18"/>
                <w:szCs w:val="18"/>
                <w:lang w:eastAsia="zh-CN"/>
              </w:rPr>
            </w:pPr>
            <w:r>
              <w:rPr>
                <w:rFonts w:hint="eastAsia" w:ascii="宋体" w:hAnsi="宋体" w:cs="宋体"/>
                <w:b/>
                <w:bCs/>
                <w:color w:val="auto"/>
                <w:kern w:val="0"/>
                <w:sz w:val="18"/>
                <w:szCs w:val="18"/>
                <w:lang w:eastAsia="zh-CN"/>
              </w:rPr>
              <w:t>楼宇</w:t>
            </w:r>
          </w:p>
          <w:p>
            <w:pPr>
              <w:widowControl/>
              <w:jc w:val="center"/>
              <w:rPr>
                <w:rFonts w:hint="eastAsia" w:ascii="宋体" w:hAnsi="宋体" w:cs="宋体" w:eastAsiaTheme="minorEastAsia"/>
                <w:b/>
                <w:bCs/>
                <w:color w:val="auto"/>
                <w:kern w:val="0"/>
                <w:sz w:val="18"/>
                <w:szCs w:val="18"/>
                <w:lang w:eastAsia="zh-CN"/>
              </w:rPr>
            </w:pPr>
            <w:r>
              <w:rPr>
                <w:rFonts w:hint="eastAsia" w:ascii="宋体" w:hAnsi="宋体" w:cs="宋体"/>
                <w:b/>
                <w:bCs/>
                <w:color w:val="auto"/>
                <w:kern w:val="0"/>
                <w:sz w:val="18"/>
                <w:szCs w:val="18"/>
                <w:lang w:eastAsia="zh-CN"/>
              </w:rPr>
              <w:t>名称</w:t>
            </w:r>
          </w:p>
        </w:tc>
        <w:tc>
          <w:tcPr>
            <w:tcW w:w="8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lang w:eastAsia="zh-CN"/>
              </w:rPr>
              <w:t>金融</w:t>
            </w:r>
            <w:r>
              <w:rPr>
                <w:rFonts w:hint="eastAsia" w:ascii="宋体" w:hAnsi="宋体" w:cs="宋体"/>
                <w:b/>
                <w:bCs/>
                <w:color w:val="auto"/>
                <w:kern w:val="0"/>
                <w:sz w:val="18"/>
                <w:szCs w:val="18"/>
              </w:rPr>
              <w:t>企业名称</w:t>
            </w:r>
          </w:p>
        </w:tc>
        <w:tc>
          <w:tcPr>
            <w:tcW w:w="18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lang w:eastAsia="zh-CN"/>
              </w:rPr>
              <w:t>属于金融企业总部（一级分支机构、营业部、营业网点等）</w:t>
            </w:r>
          </w:p>
        </w:tc>
        <w:tc>
          <w:tcPr>
            <w:tcW w:w="10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lang w:eastAsia="zh-CN"/>
              </w:rPr>
              <w:t>使用</w:t>
            </w:r>
            <w:r>
              <w:rPr>
                <w:rFonts w:hint="eastAsia" w:ascii="宋体" w:hAnsi="宋体" w:cs="宋体"/>
                <w:b/>
                <w:bCs/>
                <w:color w:val="auto"/>
                <w:kern w:val="0"/>
                <w:sz w:val="18"/>
                <w:szCs w:val="18"/>
              </w:rPr>
              <w:t>办公面积（m</w:t>
            </w:r>
            <w:r>
              <w:rPr>
                <w:rFonts w:hint="eastAsia" w:ascii="宋体" w:hAnsi="宋体" w:cs="宋体"/>
                <w:b/>
                <w:bCs/>
                <w:color w:val="auto"/>
                <w:kern w:val="0"/>
                <w:sz w:val="18"/>
                <w:szCs w:val="18"/>
                <w:vertAlign w:val="superscript"/>
              </w:rPr>
              <w:t>2</w:t>
            </w:r>
            <w:r>
              <w:rPr>
                <w:rFonts w:hint="eastAsia" w:ascii="宋体" w:hAnsi="宋体" w:cs="宋体"/>
                <w:b/>
                <w:bCs/>
                <w:color w:val="auto"/>
                <w:kern w:val="0"/>
                <w:sz w:val="18"/>
                <w:szCs w:val="18"/>
              </w:rPr>
              <w:t>）</w:t>
            </w:r>
          </w:p>
        </w:tc>
        <w:tc>
          <w:tcPr>
            <w:tcW w:w="96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auto"/>
                <w:kern w:val="0"/>
                <w:sz w:val="18"/>
                <w:szCs w:val="18"/>
                <w:lang w:eastAsia="zh-CN"/>
              </w:rPr>
            </w:pPr>
            <w:r>
              <w:rPr>
                <w:rFonts w:hint="eastAsia" w:ascii="宋体" w:hAnsi="宋体" w:cs="宋体"/>
                <w:b/>
                <w:bCs/>
                <w:color w:val="auto"/>
                <w:kern w:val="0"/>
                <w:sz w:val="18"/>
                <w:szCs w:val="18"/>
                <w:lang w:eastAsia="zh-CN"/>
              </w:rPr>
              <w:t>使用</w:t>
            </w:r>
          </w:p>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lang w:eastAsia="zh-CN"/>
              </w:rPr>
              <w:t>楼层</w:t>
            </w:r>
          </w:p>
        </w:tc>
        <w:tc>
          <w:tcPr>
            <w:tcW w:w="11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lang w:eastAsia="zh-CN"/>
              </w:rPr>
              <w:t>上年度形成地方财力（万元）</w:t>
            </w:r>
          </w:p>
        </w:tc>
        <w:tc>
          <w:tcPr>
            <w:tcW w:w="118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现有从业人员数（人）</w:t>
            </w:r>
          </w:p>
        </w:tc>
        <w:tc>
          <w:tcPr>
            <w:tcW w:w="9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进驻</w:t>
            </w:r>
          </w:p>
          <w:p>
            <w:pPr>
              <w:widowControl/>
              <w:jc w:val="center"/>
              <w:rPr>
                <w:rFonts w:hint="eastAsia" w:ascii="宋体" w:hAnsi="宋体" w:cs="宋体" w:eastAsiaTheme="minorEastAsia"/>
                <w:b/>
                <w:bCs/>
                <w:color w:val="auto"/>
                <w:kern w:val="0"/>
                <w:sz w:val="18"/>
                <w:szCs w:val="18"/>
                <w:lang w:eastAsia="zh-CN"/>
              </w:rPr>
            </w:pPr>
            <w:r>
              <w:rPr>
                <w:rFonts w:hint="eastAsia" w:ascii="宋体" w:hAnsi="宋体" w:cs="宋体"/>
                <w:b/>
                <w:bCs/>
                <w:color w:val="auto"/>
                <w:kern w:val="0"/>
                <w:sz w:val="18"/>
                <w:szCs w:val="18"/>
              </w:rPr>
              <w:t>时间</w:t>
            </w:r>
          </w:p>
        </w:tc>
        <w:tc>
          <w:tcPr>
            <w:tcW w:w="208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auto"/>
                <w:kern w:val="0"/>
                <w:sz w:val="18"/>
                <w:szCs w:val="18"/>
                <w:lang w:eastAsia="zh-CN"/>
              </w:rPr>
            </w:pPr>
            <w:r>
              <w:rPr>
                <w:rFonts w:hint="eastAsia" w:ascii="宋体" w:hAnsi="宋体" w:cs="宋体"/>
                <w:b/>
                <w:bCs/>
                <w:color w:val="auto"/>
                <w:kern w:val="0"/>
                <w:sz w:val="18"/>
                <w:szCs w:val="18"/>
                <w:lang w:eastAsia="zh-CN"/>
              </w:rPr>
              <w:t>实际注册地址</w:t>
            </w:r>
          </w:p>
        </w:tc>
        <w:tc>
          <w:tcPr>
            <w:tcW w:w="24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auto"/>
                <w:kern w:val="0"/>
                <w:sz w:val="18"/>
                <w:szCs w:val="18"/>
                <w:lang w:eastAsia="zh-CN"/>
              </w:rPr>
            </w:pPr>
            <w:r>
              <w:rPr>
                <w:rFonts w:hint="eastAsia" w:ascii="宋体" w:hAnsi="宋体" w:cs="宋体"/>
                <w:b/>
                <w:bCs/>
                <w:color w:val="auto"/>
                <w:kern w:val="0"/>
                <w:sz w:val="18"/>
                <w:szCs w:val="18"/>
                <w:lang w:eastAsia="zh-CN"/>
              </w:rPr>
              <w:t>统一社会信用代码</w:t>
            </w:r>
          </w:p>
        </w:tc>
      </w:tr>
      <w:tr>
        <w:tblPrEx>
          <w:tblLayout w:type="fixed"/>
          <w:tblCellMar>
            <w:top w:w="0" w:type="dxa"/>
            <w:left w:w="108" w:type="dxa"/>
            <w:bottom w:w="0" w:type="dxa"/>
            <w:right w:w="108" w:type="dxa"/>
          </w:tblCellMar>
        </w:tblPrEx>
        <w:trPr>
          <w:trHeight w:val="482" w:hRule="atLeast"/>
        </w:trPr>
        <w:tc>
          <w:tcPr>
            <w:tcW w:w="67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w:t>
            </w:r>
          </w:p>
        </w:tc>
        <w:tc>
          <w:tcPr>
            <w:tcW w:w="1063"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XX大厦</w:t>
            </w:r>
          </w:p>
        </w:tc>
        <w:tc>
          <w:tcPr>
            <w:tcW w:w="80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8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9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1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1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9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08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41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82" w:hRule="atLeast"/>
        </w:trPr>
        <w:tc>
          <w:tcPr>
            <w:tcW w:w="67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w:t>
            </w:r>
          </w:p>
        </w:tc>
        <w:tc>
          <w:tcPr>
            <w:tcW w:w="1063"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XX大厦</w:t>
            </w:r>
          </w:p>
        </w:tc>
        <w:tc>
          <w:tcPr>
            <w:tcW w:w="80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8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9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1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1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9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08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41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82" w:hRule="atLeast"/>
        </w:trPr>
        <w:tc>
          <w:tcPr>
            <w:tcW w:w="67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eastAsia="zh-CN"/>
              </w:rPr>
              <w:t>…</w:t>
            </w:r>
          </w:p>
        </w:tc>
        <w:tc>
          <w:tcPr>
            <w:tcW w:w="80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8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9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1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1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9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08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41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82" w:hRule="atLeast"/>
        </w:trPr>
        <w:tc>
          <w:tcPr>
            <w:tcW w:w="67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80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8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9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1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1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9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08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41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82" w:hRule="atLeast"/>
        </w:trPr>
        <w:tc>
          <w:tcPr>
            <w:tcW w:w="67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80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8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9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1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1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9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08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41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82" w:hRule="atLeast"/>
        </w:trPr>
        <w:tc>
          <w:tcPr>
            <w:tcW w:w="67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80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8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9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1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1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9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08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41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82" w:hRule="atLeast"/>
        </w:trPr>
        <w:tc>
          <w:tcPr>
            <w:tcW w:w="67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80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8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9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1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118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9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08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c>
          <w:tcPr>
            <w:tcW w:w="241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91" w:hRule="atLeast"/>
        </w:trPr>
        <w:tc>
          <w:tcPr>
            <w:tcW w:w="2538"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18"/>
                <w:szCs w:val="18"/>
              </w:rPr>
            </w:pPr>
            <w:r>
              <w:rPr>
                <w:rFonts w:hint="eastAsia" w:ascii="宋体" w:hAnsi="宋体" w:cs="宋体"/>
                <w:b/>
                <w:color w:val="auto"/>
                <w:kern w:val="0"/>
                <w:sz w:val="18"/>
                <w:szCs w:val="18"/>
              </w:rPr>
              <w:t>合计</w:t>
            </w:r>
          </w:p>
        </w:tc>
        <w:tc>
          <w:tcPr>
            <w:tcW w:w="1885" w:type="dxa"/>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18"/>
                <w:szCs w:val="18"/>
              </w:rPr>
            </w:pPr>
            <w:r>
              <w:rPr>
                <w:rFonts w:hint="eastAsia" w:ascii="宋体" w:hAnsi="宋体" w:cs="宋体"/>
                <w:b/>
                <w:color w:val="auto"/>
                <w:kern w:val="0"/>
                <w:sz w:val="18"/>
                <w:szCs w:val="18"/>
              </w:rPr>
              <w:t>/</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18"/>
                <w:szCs w:val="18"/>
              </w:rPr>
            </w:pPr>
          </w:p>
        </w:tc>
        <w:tc>
          <w:tcPr>
            <w:tcW w:w="96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 w:val="18"/>
                <w:szCs w:val="18"/>
              </w:rPr>
            </w:pPr>
            <w:r>
              <w:rPr>
                <w:rFonts w:hint="eastAsia" w:ascii="宋体" w:hAnsi="宋体" w:cs="宋体"/>
                <w:b/>
                <w:color w:val="auto"/>
                <w:kern w:val="0"/>
                <w:sz w:val="18"/>
                <w:szCs w:val="18"/>
              </w:rPr>
              <w:t>/</w:t>
            </w:r>
          </w:p>
        </w:tc>
        <w:tc>
          <w:tcPr>
            <w:tcW w:w="1174" w:type="dxa"/>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18"/>
                <w:szCs w:val="18"/>
              </w:rPr>
            </w:pPr>
          </w:p>
        </w:tc>
        <w:tc>
          <w:tcPr>
            <w:tcW w:w="1189"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auto"/>
                <w:kern w:val="0"/>
                <w:sz w:val="18"/>
                <w:szCs w:val="18"/>
              </w:rPr>
            </w:pPr>
          </w:p>
        </w:tc>
        <w:tc>
          <w:tcPr>
            <w:tcW w:w="92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auto"/>
                <w:kern w:val="0"/>
                <w:sz w:val="18"/>
                <w:szCs w:val="18"/>
              </w:rPr>
            </w:pPr>
            <w:r>
              <w:rPr>
                <w:rFonts w:hint="eastAsia" w:ascii="宋体" w:hAnsi="宋体" w:cs="宋体"/>
                <w:b/>
                <w:color w:val="auto"/>
                <w:kern w:val="0"/>
                <w:sz w:val="18"/>
                <w:szCs w:val="18"/>
              </w:rPr>
              <w:t>/</w:t>
            </w:r>
          </w:p>
        </w:tc>
        <w:tc>
          <w:tcPr>
            <w:tcW w:w="2087"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auto"/>
                <w:kern w:val="0"/>
                <w:sz w:val="18"/>
                <w:szCs w:val="18"/>
              </w:rPr>
            </w:pPr>
            <w:r>
              <w:rPr>
                <w:rFonts w:hint="eastAsia" w:ascii="宋体" w:hAnsi="宋体" w:cs="宋体"/>
                <w:b/>
                <w:color w:val="auto"/>
                <w:kern w:val="0"/>
                <w:sz w:val="18"/>
                <w:szCs w:val="18"/>
              </w:rPr>
              <w:t>/</w:t>
            </w:r>
          </w:p>
        </w:tc>
        <w:tc>
          <w:tcPr>
            <w:tcW w:w="241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auto"/>
                <w:kern w:val="0"/>
                <w:sz w:val="18"/>
                <w:szCs w:val="18"/>
              </w:rPr>
            </w:pPr>
          </w:p>
        </w:tc>
      </w:tr>
    </w:tbl>
    <w:p>
      <w:pPr>
        <w:rPr>
          <w:rFonts w:hint="eastAsia" w:ascii="宋体" w:hAnsi="宋体" w:eastAsia="宋体" w:cs="宋体"/>
          <w:color w:val="auto"/>
          <w:sz w:val="21"/>
          <w:szCs w:val="21"/>
        </w:rPr>
      </w:pPr>
      <w:r>
        <w:rPr>
          <w:rFonts w:hint="eastAsia"/>
          <w:color w:val="auto"/>
        </w:rPr>
        <w:t xml:space="preserve"> </w:t>
      </w:r>
      <w:r>
        <w:rPr>
          <w:rFonts w:hint="eastAsia" w:ascii="宋体" w:hAnsi="宋体" w:eastAsia="宋体" w:cs="宋体"/>
          <w:color w:val="auto"/>
          <w:sz w:val="21"/>
          <w:szCs w:val="21"/>
        </w:rPr>
        <w:t xml:space="preserve"> </w:t>
      </w:r>
    </w:p>
    <w:p>
      <w:pPr>
        <w:spacing w:line="600" w:lineRule="exact"/>
        <w:rPr>
          <w:rFonts w:hint="eastAsia" w:ascii="仿宋_GB2312"/>
          <w:color w:val="auto"/>
          <w:szCs w:val="32"/>
        </w:rPr>
      </w:pPr>
    </w:p>
    <w:p>
      <w:pPr>
        <w:jc w:val="both"/>
        <w:rPr>
          <w:rFonts w:ascii="仿宋_GB2312" w:hAnsi="Calibri" w:eastAsia="仿宋_GB2312" w:cs="Times New Roman"/>
          <w:color w:val="auto"/>
          <w:kern w:val="0"/>
          <w:sz w:val="32"/>
          <w:szCs w:val="24"/>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ÀŒ">
    <w:altName w:val="微软雅黑"/>
    <w:panose1 w:val="00000000000000000000"/>
    <w:charset w:val="00"/>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050759"/>
    <w:multiLevelType w:val="singleLevel"/>
    <w:tmpl w:val="AD050759"/>
    <w:lvl w:ilvl="0" w:tentative="0">
      <w:start w:val="6"/>
      <w:numFmt w:val="chineseCounting"/>
      <w:suff w:val="space"/>
      <w:lvlText w:val="第%1章"/>
      <w:lvlJc w:val="left"/>
      <w:rPr>
        <w:rFonts w:hint="eastAsia"/>
      </w:rPr>
    </w:lvl>
  </w:abstractNum>
  <w:abstractNum w:abstractNumId="1">
    <w:nsid w:val="005DA9D5"/>
    <w:multiLevelType w:val="singleLevel"/>
    <w:tmpl w:val="005DA9D5"/>
    <w:lvl w:ilvl="0" w:tentative="0">
      <w:start w:val="4"/>
      <w:numFmt w:val="chineseCounting"/>
      <w:suff w:val="nothing"/>
      <w:lvlText w:val="（%1）"/>
      <w:lvlJc w:val="left"/>
      <w:rPr>
        <w:rFonts w:hint="eastAsia"/>
      </w:rPr>
    </w:lvl>
  </w:abstractNum>
  <w:abstractNum w:abstractNumId="2">
    <w:nsid w:val="6F873F02"/>
    <w:multiLevelType w:val="singleLevel"/>
    <w:tmpl w:val="6F873F02"/>
    <w:lvl w:ilvl="0" w:tentative="0">
      <w:start w:val="3"/>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0878"/>
    <w:rsid w:val="0010321D"/>
    <w:rsid w:val="00142F30"/>
    <w:rsid w:val="001D61D4"/>
    <w:rsid w:val="005713F4"/>
    <w:rsid w:val="0060262F"/>
    <w:rsid w:val="006A45B5"/>
    <w:rsid w:val="006C597C"/>
    <w:rsid w:val="008C6B2D"/>
    <w:rsid w:val="009940C2"/>
    <w:rsid w:val="00AC7A0C"/>
    <w:rsid w:val="00E40D6E"/>
    <w:rsid w:val="00F50878"/>
    <w:rsid w:val="014F5827"/>
    <w:rsid w:val="02505887"/>
    <w:rsid w:val="02573E79"/>
    <w:rsid w:val="027C7351"/>
    <w:rsid w:val="02E230D1"/>
    <w:rsid w:val="02E3414C"/>
    <w:rsid w:val="02E44162"/>
    <w:rsid w:val="02F6033E"/>
    <w:rsid w:val="03513319"/>
    <w:rsid w:val="03530EC7"/>
    <w:rsid w:val="059B3730"/>
    <w:rsid w:val="05B951D4"/>
    <w:rsid w:val="05F45EEC"/>
    <w:rsid w:val="064A42BF"/>
    <w:rsid w:val="06D666A1"/>
    <w:rsid w:val="06E20A36"/>
    <w:rsid w:val="07C4375B"/>
    <w:rsid w:val="07CC6AC8"/>
    <w:rsid w:val="08D82478"/>
    <w:rsid w:val="09655093"/>
    <w:rsid w:val="0A3802D1"/>
    <w:rsid w:val="0AC549FA"/>
    <w:rsid w:val="0B1F72FE"/>
    <w:rsid w:val="0C343570"/>
    <w:rsid w:val="0DAC15EA"/>
    <w:rsid w:val="0ECE116C"/>
    <w:rsid w:val="0F5F579D"/>
    <w:rsid w:val="10636023"/>
    <w:rsid w:val="121976F0"/>
    <w:rsid w:val="130239A7"/>
    <w:rsid w:val="131B144C"/>
    <w:rsid w:val="136C49D4"/>
    <w:rsid w:val="13A93BCE"/>
    <w:rsid w:val="14F4688F"/>
    <w:rsid w:val="176C085A"/>
    <w:rsid w:val="18CB515E"/>
    <w:rsid w:val="190014F8"/>
    <w:rsid w:val="19244884"/>
    <w:rsid w:val="19E74544"/>
    <w:rsid w:val="19F76316"/>
    <w:rsid w:val="1A177382"/>
    <w:rsid w:val="1A9B742A"/>
    <w:rsid w:val="1AC506D6"/>
    <w:rsid w:val="1AD424CC"/>
    <w:rsid w:val="1BA903E5"/>
    <w:rsid w:val="1C223711"/>
    <w:rsid w:val="1C673F82"/>
    <w:rsid w:val="1C91399B"/>
    <w:rsid w:val="1CE03BCC"/>
    <w:rsid w:val="1D6738DC"/>
    <w:rsid w:val="1DF96779"/>
    <w:rsid w:val="1EE53ACF"/>
    <w:rsid w:val="1F3A7D04"/>
    <w:rsid w:val="1F5828C8"/>
    <w:rsid w:val="1F674DB8"/>
    <w:rsid w:val="1FD562D1"/>
    <w:rsid w:val="200A12A8"/>
    <w:rsid w:val="20443C7D"/>
    <w:rsid w:val="206E3E0D"/>
    <w:rsid w:val="20895E87"/>
    <w:rsid w:val="20F3762E"/>
    <w:rsid w:val="210C26B8"/>
    <w:rsid w:val="21EA789E"/>
    <w:rsid w:val="227168B2"/>
    <w:rsid w:val="229E7DB7"/>
    <w:rsid w:val="23195AF9"/>
    <w:rsid w:val="231B12B2"/>
    <w:rsid w:val="245C17B3"/>
    <w:rsid w:val="246422C4"/>
    <w:rsid w:val="25CC795F"/>
    <w:rsid w:val="25CE0F6D"/>
    <w:rsid w:val="26990204"/>
    <w:rsid w:val="27180376"/>
    <w:rsid w:val="27E02A38"/>
    <w:rsid w:val="28327E8E"/>
    <w:rsid w:val="28463BB1"/>
    <w:rsid w:val="29606E8F"/>
    <w:rsid w:val="2C663021"/>
    <w:rsid w:val="2CC564D2"/>
    <w:rsid w:val="2CEC778B"/>
    <w:rsid w:val="2DB95B6C"/>
    <w:rsid w:val="2DD9011B"/>
    <w:rsid w:val="2E4B7EBA"/>
    <w:rsid w:val="2E897FA1"/>
    <w:rsid w:val="2F9E0147"/>
    <w:rsid w:val="2FE467F3"/>
    <w:rsid w:val="2FFD794D"/>
    <w:rsid w:val="30016438"/>
    <w:rsid w:val="30B70F92"/>
    <w:rsid w:val="30D46E5A"/>
    <w:rsid w:val="30FD1589"/>
    <w:rsid w:val="310A61B8"/>
    <w:rsid w:val="316F4BE8"/>
    <w:rsid w:val="31CA072B"/>
    <w:rsid w:val="32642DFF"/>
    <w:rsid w:val="329B7540"/>
    <w:rsid w:val="32A6760B"/>
    <w:rsid w:val="33E24A37"/>
    <w:rsid w:val="340068C3"/>
    <w:rsid w:val="341B0458"/>
    <w:rsid w:val="34292AF4"/>
    <w:rsid w:val="35025B31"/>
    <w:rsid w:val="355A72DA"/>
    <w:rsid w:val="35A63712"/>
    <w:rsid w:val="35DE24B8"/>
    <w:rsid w:val="367F4F19"/>
    <w:rsid w:val="36B01CA4"/>
    <w:rsid w:val="36DA299C"/>
    <w:rsid w:val="37855601"/>
    <w:rsid w:val="37FD47E4"/>
    <w:rsid w:val="396F61AE"/>
    <w:rsid w:val="39E65774"/>
    <w:rsid w:val="3A393E55"/>
    <w:rsid w:val="3A743B20"/>
    <w:rsid w:val="3B6950E7"/>
    <w:rsid w:val="3B9C010A"/>
    <w:rsid w:val="3B9F31A1"/>
    <w:rsid w:val="3C7C27D3"/>
    <w:rsid w:val="3D7E7474"/>
    <w:rsid w:val="3DF21A25"/>
    <w:rsid w:val="3DF33345"/>
    <w:rsid w:val="3E51222F"/>
    <w:rsid w:val="3E5F57EF"/>
    <w:rsid w:val="3E7D4913"/>
    <w:rsid w:val="3EBA2254"/>
    <w:rsid w:val="3F723C8A"/>
    <w:rsid w:val="3FBE3569"/>
    <w:rsid w:val="3FC81E96"/>
    <w:rsid w:val="3FEA0BD8"/>
    <w:rsid w:val="40E10179"/>
    <w:rsid w:val="417E3DFF"/>
    <w:rsid w:val="41BE22AC"/>
    <w:rsid w:val="41C743DD"/>
    <w:rsid w:val="42BD368E"/>
    <w:rsid w:val="433E68D0"/>
    <w:rsid w:val="435F61C2"/>
    <w:rsid w:val="437A14F8"/>
    <w:rsid w:val="444B0690"/>
    <w:rsid w:val="44F209B8"/>
    <w:rsid w:val="45207FFC"/>
    <w:rsid w:val="45217E8D"/>
    <w:rsid w:val="4557329E"/>
    <w:rsid w:val="457C10F4"/>
    <w:rsid w:val="46CA30B2"/>
    <w:rsid w:val="47EC3C16"/>
    <w:rsid w:val="488C2FF3"/>
    <w:rsid w:val="492748AB"/>
    <w:rsid w:val="4A071FD0"/>
    <w:rsid w:val="4A141F1A"/>
    <w:rsid w:val="4AF44EF5"/>
    <w:rsid w:val="4B0B2C4F"/>
    <w:rsid w:val="4B47669F"/>
    <w:rsid w:val="4C155E2B"/>
    <w:rsid w:val="4C3B1D6E"/>
    <w:rsid w:val="4C8A312A"/>
    <w:rsid w:val="4CAC0F72"/>
    <w:rsid w:val="4D0451D0"/>
    <w:rsid w:val="4D9A3FC8"/>
    <w:rsid w:val="4E554ADE"/>
    <w:rsid w:val="4E5C68D8"/>
    <w:rsid w:val="4E65732D"/>
    <w:rsid w:val="4E751137"/>
    <w:rsid w:val="4EDA3519"/>
    <w:rsid w:val="503C7364"/>
    <w:rsid w:val="517F3217"/>
    <w:rsid w:val="51F42D8A"/>
    <w:rsid w:val="51FD6AAC"/>
    <w:rsid w:val="526D3476"/>
    <w:rsid w:val="52943D6A"/>
    <w:rsid w:val="53316EFD"/>
    <w:rsid w:val="53990063"/>
    <w:rsid w:val="54691E77"/>
    <w:rsid w:val="549B3B09"/>
    <w:rsid w:val="54AA0B51"/>
    <w:rsid w:val="554962D1"/>
    <w:rsid w:val="55D20C69"/>
    <w:rsid w:val="55DA527E"/>
    <w:rsid w:val="569835EE"/>
    <w:rsid w:val="56A17E56"/>
    <w:rsid w:val="57A513B6"/>
    <w:rsid w:val="58E443CC"/>
    <w:rsid w:val="59CC70D5"/>
    <w:rsid w:val="5A0A4E5B"/>
    <w:rsid w:val="5B222819"/>
    <w:rsid w:val="5B5219B0"/>
    <w:rsid w:val="5B660AC4"/>
    <w:rsid w:val="5C327E1B"/>
    <w:rsid w:val="5C8A45D9"/>
    <w:rsid w:val="5DBD453C"/>
    <w:rsid w:val="5E1A626F"/>
    <w:rsid w:val="5E4950AB"/>
    <w:rsid w:val="5FBA0405"/>
    <w:rsid w:val="602D1DB9"/>
    <w:rsid w:val="61207025"/>
    <w:rsid w:val="62DA4DA6"/>
    <w:rsid w:val="6316232B"/>
    <w:rsid w:val="633D6945"/>
    <w:rsid w:val="65EA6FDD"/>
    <w:rsid w:val="66135BAB"/>
    <w:rsid w:val="664A6B07"/>
    <w:rsid w:val="66E46928"/>
    <w:rsid w:val="67262483"/>
    <w:rsid w:val="679828DF"/>
    <w:rsid w:val="67D955BD"/>
    <w:rsid w:val="68853F0A"/>
    <w:rsid w:val="69014CCA"/>
    <w:rsid w:val="69296719"/>
    <w:rsid w:val="69721AAD"/>
    <w:rsid w:val="69AA1233"/>
    <w:rsid w:val="69B726EF"/>
    <w:rsid w:val="6A6E3A4D"/>
    <w:rsid w:val="6B091B49"/>
    <w:rsid w:val="6B2530C9"/>
    <w:rsid w:val="6B464F88"/>
    <w:rsid w:val="6BD82827"/>
    <w:rsid w:val="6C3817D5"/>
    <w:rsid w:val="6CF66C82"/>
    <w:rsid w:val="6D5E706E"/>
    <w:rsid w:val="6E275FD0"/>
    <w:rsid w:val="6F5F45D7"/>
    <w:rsid w:val="6F8F1024"/>
    <w:rsid w:val="6FD40961"/>
    <w:rsid w:val="710E65C5"/>
    <w:rsid w:val="72201BC2"/>
    <w:rsid w:val="7226789C"/>
    <w:rsid w:val="72474199"/>
    <w:rsid w:val="73407129"/>
    <w:rsid w:val="738D6F0C"/>
    <w:rsid w:val="73AB72DE"/>
    <w:rsid w:val="75813B7F"/>
    <w:rsid w:val="76BE3058"/>
    <w:rsid w:val="77017BC4"/>
    <w:rsid w:val="7709111C"/>
    <w:rsid w:val="771E0B6D"/>
    <w:rsid w:val="77674287"/>
    <w:rsid w:val="77FC7583"/>
    <w:rsid w:val="78D405D5"/>
    <w:rsid w:val="793C103F"/>
    <w:rsid w:val="79581AE0"/>
    <w:rsid w:val="795D7195"/>
    <w:rsid w:val="796F3065"/>
    <w:rsid w:val="79784AA9"/>
    <w:rsid w:val="799D4192"/>
    <w:rsid w:val="79C70B38"/>
    <w:rsid w:val="7A961C2E"/>
    <w:rsid w:val="7AEF729E"/>
    <w:rsid w:val="7B0513E4"/>
    <w:rsid w:val="7B5F2146"/>
    <w:rsid w:val="7B6B7D1C"/>
    <w:rsid w:val="7B751581"/>
    <w:rsid w:val="7C073B61"/>
    <w:rsid w:val="7CB8714C"/>
    <w:rsid w:val="7CC63289"/>
    <w:rsid w:val="7EA9333C"/>
    <w:rsid w:val="7EFA001A"/>
    <w:rsid w:val="7FEE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semiHidden/>
    <w:unhideWhenUsed/>
    <w:qFormat/>
    <w:uiPriority w:val="99"/>
  </w:style>
  <w:style w:type="paragraph" w:styleId="3">
    <w:name w:val="footer"/>
    <w:basedOn w:val="1"/>
    <w:semiHidden/>
    <w:unhideWhenUsed/>
    <w:qFormat/>
    <w:uiPriority w:val="99"/>
    <w:pPr>
      <w:tabs>
        <w:tab w:val="center" w:pos="4153"/>
        <w:tab w:val="right" w:pos="8306"/>
      </w:tabs>
      <w:snapToGrid w:val="0"/>
      <w:jc w:val="left"/>
    </w:pPr>
    <w:rPr>
      <w:rFonts w:eastAsia="仿宋_GB2312"/>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page number"/>
    <w:basedOn w:val="6"/>
    <w:semiHidden/>
    <w:unhideWhenUsed/>
    <w:qFormat/>
    <w:uiPriority w:val="99"/>
    <w:rPr>
      <w:rFonts w:eastAsia="宋体"/>
      <w:sz w:val="28"/>
    </w:rPr>
  </w:style>
  <w:style w:type="paragraph" w:customStyle="1" w:styleId="10">
    <w:name w:val="Normal"/>
    <w:qFormat/>
    <w:uiPriority w:val="0"/>
    <w:pPr>
      <w:jc w:val="both"/>
    </w:pPr>
    <w:rPr>
      <w:rFonts w:asciiTheme="minorHAnsi" w:hAnsiTheme="minorHAnsi" w:eastAsiaTheme="minorEastAsia" w:cstheme="minorBidi"/>
      <w:kern w:val="2"/>
      <w:sz w:val="21"/>
      <w:szCs w:val="22"/>
      <w:lang w:val="en-US" w:eastAsia="zh-CN" w:bidi="ar-SA"/>
    </w:rPr>
  </w:style>
  <w:style w:type="paragraph" w:customStyle="1" w:styleId="11">
    <w:name w:val="正文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4174</Words>
  <Characters>4225</Characters>
  <Lines>5</Lines>
  <Paragraphs>1</Paragraphs>
  <TotalTime>29</TotalTime>
  <ScaleCrop>false</ScaleCrop>
  <LinksUpToDate>false</LinksUpToDate>
  <CharactersWithSpaces>4478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2017-10-17T09:08:00Z</dcterms:created>
  <dc:creator>Admin</dc:creator>
  <cp:lastModifiedBy>karahuang</cp:lastModifiedBy>
  <cp:lastPrinted>2018-08-06T07:18:00Z</cp:lastPrinted>
  <dcterms:modified xsi:type="dcterms:W3CDTF">2018-08-07T01:36:44Z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