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240" w:lineRule="auto"/>
        <w:ind w:firstLine="0" w:firstLineChars="0"/>
        <w:rPr>
          <w:rFonts w:ascii="黑体" w:hAnsi="黑体" w:eastAsia="黑体"/>
          <w:szCs w:val="32"/>
          <w:shd w:val="clear" w:color="auto" w:fill="FFFFFF"/>
        </w:rPr>
      </w:pPr>
      <w:r>
        <w:rPr>
          <w:rFonts w:hint="eastAsia" w:ascii="黑体" w:hAnsi="黑体" w:eastAsia="黑体"/>
          <w:szCs w:val="32"/>
          <w:shd w:val="clear" w:color="auto" w:fill="FFFFFF"/>
        </w:rPr>
        <w:t>附件</w:t>
      </w:r>
    </w:p>
    <w:p>
      <w:pPr>
        <w:autoSpaceDE w:val="0"/>
        <w:spacing w:line="560" w:lineRule="exact"/>
        <w:ind w:firstLine="0" w:firstLineChars="0"/>
        <w:jc w:val="center"/>
        <w:rPr>
          <w:rFonts w:ascii="方正小标宋简体" w:hAnsi="Calibri" w:eastAsia="方正小标宋简体"/>
          <w:sz w:val="44"/>
          <w:szCs w:val="44"/>
          <w:shd w:val="clear" w:color="auto" w:fill="FFFFFF"/>
        </w:rPr>
      </w:pPr>
      <w:r>
        <w:rPr>
          <w:rFonts w:hint="eastAsia" w:ascii="方正小标宋简体" w:hAnsi="Calibri" w:eastAsia="方正小标宋简体"/>
          <w:sz w:val="44"/>
          <w:szCs w:val="44"/>
          <w:shd w:val="clear" w:color="auto" w:fill="FFFFFF"/>
        </w:rPr>
        <w:t>社会公众意见采纳情况表</w:t>
      </w:r>
    </w:p>
    <w:p>
      <w:pPr>
        <w:autoSpaceDE w:val="0"/>
        <w:spacing w:line="240" w:lineRule="auto"/>
        <w:ind w:firstLine="0" w:firstLineChars="0"/>
        <w:jc w:val="center"/>
        <w:rPr>
          <w:rFonts w:ascii="仿宋_GB2312" w:hAnsi="Calibri" w:eastAsia="宋体"/>
          <w:sz w:val="21"/>
          <w:szCs w:val="32"/>
          <w:shd w:val="clear" w:color="auto" w:fill="FFFFFF"/>
        </w:rPr>
      </w:pPr>
    </w:p>
    <w:tbl>
      <w:tblPr>
        <w:tblStyle w:val="2"/>
        <w:tblW w:w="1387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6612"/>
        <w:gridCol w:w="6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黑体" w:hAnsi="宋体" w:eastAsia="黑体"/>
                <w:color w:val="000000"/>
                <w:sz w:val="30"/>
                <w:szCs w:val="30"/>
              </w:rPr>
            </w:pPr>
            <w:r>
              <w:rPr>
                <w:rFonts w:hint="eastAsia" w:ascii="黑体" w:hAnsi="宋体" w:eastAsia="黑体"/>
                <w:color w:val="000000"/>
                <w:kern w:val="0"/>
                <w:sz w:val="30"/>
                <w:szCs w:val="30"/>
              </w:rPr>
              <w:t>序号</w:t>
            </w:r>
          </w:p>
        </w:tc>
        <w:tc>
          <w:tcPr>
            <w:tcW w:w="661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黑体" w:hAnsi="宋体" w:eastAsia="黑体"/>
                <w:color w:val="000000"/>
                <w:sz w:val="30"/>
                <w:szCs w:val="30"/>
              </w:rPr>
            </w:pPr>
            <w:r>
              <w:rPr>
                <w:rFonts w:hint="eastAsia" w:ascii="黑体" w:hAnsi="宋体" w:eastAsia="黑体"/>
                <w:color w:val="000000"/>
                <w:kern w:val="0"/>
                <w:sz w:val="30"/>
                <w:szCs w:val="30"/>
              </w:rPr>
              <w:t>反馈意见</w:t>
            </w:r>
          </w:p>
        </w:tc>
        <w:tc>
          <w:tcPr>
            <w:tcW w:w="65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黑体" w:hAnsi="宋体" w:eastAsia="黑体"/>
                <w:color w:val="000000"/>
                <w:sz w:val="30"/>
                <w:szCs w:val="30"/>
              </w:rPr>
            </w:pPr>
            <w:r>
              <w:rPr>
                <w:rFonts w:hint="eastAsia" w:ascii="黑体" w:hAnsi="宋体" w:eastAsia="黑体"/>
                <w:color w:val="000000"/>
                <w:kern w:val="0"/>
                <w:sz w:val="30"/>
                <w:szCs w:val="30"/>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sz w:val="24"/>
                <w:szCs w:val="22"/>
              </w:rPr>
            </w:pPr>
            <w:r>
              <w:rPr>
                <w:rFonts w:hint="eastAsia" w:ascii="仿宋_GB2312" w:hAnsi="仿宋_GB2312" w:cs="仿宋_GB2312"/>
                <w:color w:val="000000"/>
                <w:sz w:val="24"/>
                <w:szCs w:val="22"/>
              </w:rPr>
              <w:t>1</w:t>
            </w:r>
          </w:p>
        </w:tc>
        <w:tc>
          <w:tcPr>
            <w:tcW w:w="6612" w:type="dxa"/>
            <w:noWrap w:val="0"/>
            <w:tcMar>
              <w:top w:w="15" w:type="dxa"/>
              <w:left w:w="15" w:type="dxa"/>
              <w:bottom w:w="0" w:type="dxa"/>
              <w:right w:w="15" w:type="dxa"/>
            </w:tcMar>
            <w:vAlign w:val="center"/>
          </w:tcPr>
          <w:p>
            <w:pPr>
              <w:widowControl/>
              <w:spacing w:line="240" w:lineRule="auto"/>
              <w:ind w:firstLine="0" w:firstLineChars="0"/>
              <w:jc w:val="left"/>
              <w:textAlignment w:val="center"/>
              <w:rPr>
                <w:rFonts w:ascii="仿宋_GB2312" w:hAnsi="仿宋_GB2312" w:cs="仿宋_GB2312"/>
                <w:color w:val="000000"/>
                <w:kern w:val="0"/>
                <w:sz w:val="24"/>
                <w:szCs w:val="22"/>
              </w:rPr>
            </w:pPr>
            <w:r>
              <w:rPr>
                <w:rFonts w:hint="eastAsia" w:ascii="仿宋_GB2312" w:hAnsi="仿宋_GB2312" w:cs="仿宋_GB2312"/>
                <w:color w:val="000000"/>
                <w:sz w:val="24"/>
                <w:szCs w:val="22"/>
              </w:rPr>
              <w:t>关于《深圳市民营领军骨干企业认定办法（征求意见稿）》单项认定条件“（二）拥有经认定并通过年度考核的国家级企业技术中心或者国家级工程技术研究中心”，国家三部委于2017年发文《“十三五”国家科技创新基地与条件保障能力建设专项规划》，明确指出“发展改革委不再批复新建国家工程实验室，科技部不再批复新建国家工程技术研究中心”。因此，该单项认定条件中的“国家级工程技术研究中心”是否多余？或者应是其他国家级创新载体。</w:t>
            </w:r>
          </w:p>
        </w:tc>
        <w:tc>
          <w:tcPr>
            <w:tcW w:w="6532" w:type="dxa"/>
            <w:noWrap w:val="0"/>
            <w:tcMar>
              <w:top w:w="15" w:type="dxa"/>
              <w:left w:w="15" w:type="dxa"/>
              <w:bottom w:w="0" w:type="dxa"/>
              <w:right w:w="15" w:type="dxa"/>
            </w:tcMar>
            <w:vAlign w:val="center"/>
          </w:tcPr>
          <w:p>
            <w:pPr>
              <w:widowControl/>
              <w:spacing w:line="240" w:lineRule="auto"/>
              <w:ind w:firstLine="0" w:firstLineChars="0"/>
              <w:jc w:val="left"/>
              <w:textAlignment w:val="center"/>
              <w:rPr>
                <w:rFonts w:ascii="仿宋_GB2312" w:hAnsi="仿宋_GB2312" w:cs="仿宋_GB2312"/>
                <w:color w:val="000000"/>
                <w:kern w:val="0"/>
                <w:sz w:val="24"/>
                <w:szCs w:val="22"/>
              </w:rPr>
            </w:pPr>
            <w:r>
              <w:rPr>
                <w:rFonts w:hint="eastAsia" w:ascii="仿宋_GB2312" w:hAnsi="仿宋_GB2312" w:cs="仿宋_GB2312"/>
                <w:color w:val="000000"/>
                <w:sz w:val="24"/>
                <w:szCs w:val="22"/>
              </w:rPr>
              <w:t>采纳。在单项条件认定方式中，删除“国家级工程技术研究中心”。正在向有关部门征集其他国家级创新载体的奖项或称号。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sz w:val="24"/>
                <w:szCs w:val="22"/>
              </w:rPr>
            </w:pPr>
            <w:r>
              <w:rPr>
                <w:rFonts w:hint="eastAsia" w:ascii="仿宋_GB2312" w:hAnsi="仿宋_GB2312" w:cs="仿宋_GB2312"/>
                <w:color w:val="000000"/>
                <w:sz w:val="24"/>
                <w:szCs w:val="22"/>
              </w:rPr>
              <w:t>2</w:t>
            </w:r>
          </w:p>
        </w:tc>
        <w:tc>
          <w:tcPr>
            <w:tcW w:w="6612" w:type="dxa"/>
            <w:noWrap w:val="0"/>
            <w:tcMar>
              <w:top w:w="15" w:type="dxa"/>
              <w:left w:w="15" w:type="dxa"/>
              <w:bottom w:w="0" w:type="dxa"/>
              <w:right w:w="15" w:type="dxa"/>
            </w:tcMar>
            <w:vAlign w:val="center"/>
          </w:tcPr>
          <w:p>
            <w:pPr>
              <w:widowControl/>
              <w:spacing w:line="240" w:lineRule="auto"/>
              <w:ind w:firstLine="0" w:firstLineChars="0"/>
              <w:jc w:val="left"/>
              <w:textAlignment w:val="center"/>
              <w:rPr>
                <w:rFonts w:ascii="仿宋_GB2312" w:hAnsi="仿宋_GB2312" w:cs="仿宋_GB2312"/>
                <w:color w:val="000000"/>
                <w:sz w:val="24"/>
                <w:szCs w:val="22"/>
              </w:rPr>
            </w:pPr>
            <w:r>
              <w:rPr>
                <w:rFonts w:hint="eastAsia" w:ascii="仿宋_GB2312" w:hAnsi="仿宋_GB2312" w:cs="仿宋_GB2312"/>
                <w:color w:val="000000"/>
                <w:sz w:val="24"/>
                <w:szCs w:val="22"/>
              </w:rPr>
              <w:t>以集团总部为主</w:t>
            </w:r>
            <w:r>
              <w:rPr>
                <w:rFonts w:hint="eastAsia" w:ascii="仿宋_GB2312" w:hAnsi="仿宋_GB2312" w:eastAsia="宋体" w:cs="仿宋_GB2312"/>
                <w:color w:val="000000"/>
                <w:sz w:val="24"/>
                <w:szCs w:val="22"/>
              </w:rPr>
              <w:t>体</w:t>
            </w:r>
            <w:r>
              <w:rPr>
                <w:rFonts w:hint="eastAsia" w:ascii="仿宋_GB2312" w:hAnsi="仿宋_GB2312" w:cs="仿宋_GB2312"/>
                <w:color w:val="000000"/>
                <w:sz w:val="24"/>
                <w:szCs w:val="22"/>
              </w:rPr>
              <w:t>认定申报（纳税贡献及统计数据采用合并报表数据)</w:t>
            </w:r>
            <w:r>
              <w:rPr>
                <w:rFonts w:hint="eastAsia" w:ascii="仿宋_GB2312" w:hAnsi="仿宋_GB2312" w:eastAsia="宋体" w:cs="仿宋_GB2312"/>
                <w:color w:val="000000"/>
                <w:sz w:val="24"/>
                <w:szCs w:val="22"/>
              </w:rPr>
              <w:t>。</w:t>
            </w:r>
            <w:r>
              <w:rPr>
                <w:rFonts w:hint="eastAsia" w:ascii="宋体" w:hAnsi="宋体" w:eastAsia="宋体" w:cs="宋体"/>
                <w:color w:val="000000"/>
                <w:sz w:val="24"/>
                <w:szCs w:val="22"/>
              </w:rPr>
              <w:t> </w:t>
            </w:r>
          </w:p>
        </w:tc>
        <w:tc>
          <w:tcPr>
            <w:tcW w:w="6532" w:type="dxa"/>
            <w:noWrap w:val="0"/>
            <w:tcMar>
              <w:top w:w="15" w:type="dxa"/>
              <w:left w:w="15" w:type="dxa"/>
              <w:bottom w:w="0" w:type="dxa"/>
              <w:right w:w="15" w:type="dxa"/>
            </w:tcMar>
            <w:vAlign w:val="center"/>
          </w:tcPr>
          <w:p>
            <w:pPr>
              <w:widowControl/>
              <w:spacing w:line="240" w:lineRule="auto"/>
              <w:ind w:firstLine="0" w:firstLineChars="0"/>
              <w:jc w:val="left"/>
              <w:textAlignment w:val="center"/>
              <w:rPr>
                <w:rFonts w:ascii="仿宋_GB2312" w:hAnsi="仿宋_GB2312" w:cs="仿宋_GB2312"/>
                <w:color w:val="000000"/>
                <w:sz w:val="24"/>
                <w:szCs w:val="22"/>
              </w:rPr>
            </w:pPr>
            <w:r>
              <w:rPr>
                <w:rFonts w:hint="eastAsia" w:ascii="仿宋_GB2312" w:hAnsi="仿宋_GB2312" w:cs="仿宋_GB2312"/>
                <w:color w:val="000000"/>
                <w:sz w:val="24"/>
                <w:szCs w:val="22"/>
              </w:rPr>
              <w:t>不采纳。理由：为客观反映我市民营企业的发展情况，认定工作以统计部门数据为依据开展，不设置企业申报环节。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sz w:val="24"/>
                <w:szCs w:val="22"/>
              </w:rPr>
            </w:pPr>
            <w:r>
              <w:rPr>
                <w:rFonts w:hint="eastAsia" w:ascii="仿宋_GB2312" w:hAnsi="仿宋_GB2312" w:eastAsia="宋体" w:cs="仿宋_GB2312"/>
                <w:color w:val="000000"/>
                <w:sz w:val="24"/>
                <w:szCs w:val="22"/>
              </w:rPr>
              <w:t>3</w:t>
            </w:r>
          </w:p>
        </w:tc>
        <w:tc>
          <w:tcPr>
            <w:tcW w:w="6612" w:type="dxa"/>
            <w:noWrap w:val="0"/>
            <w:tcMar>
              <w:top w:w="15" w:type="dxa"/>
              <w:left w:w="15" w:type="dxa"/>
              <w:bottom w:w="0" w:type="dxa"/>
              <w:right w:w="15" w:type="dxa"/>
            </w:tcMar>
            <w:vAlign w:val="center"/>
          </w:tcPr>
          <w:p>
            <w:pPr>
              <w:widowControl/>
              <w:spacing w:line="240" w:lineRule="auto"/>
              <w:ind w:firstLine="0" w:firstLineChars="0"/>
              <w:jc w:val="left"/>
              <w:textAlignment w:val="center"/>
              <w:rPr>
                <w:rFonts w:ascii="仿宋_GB2312" w:hAnsi="仿宋_GB2312" w:cs="仿宋_GB2312"/>
                <w:color w:val="000000"/>
                <w:sz w:val="24"/>
                <w:szCs w:val="22"/>
              </w:rPr>
            </w:pPr>
            <w:r>
              <w:rPr>
                <w:rFonts w:hint="eastAsia" w:ascii="仿宋_GB2312" w:hAnsi="仿宋_GB2312" w:cs="仿宋_GB2312"/>
                <w:color w:val="000000"/>
                <w:sz w:val="24"/>
                <w:szCs w:val="22"/>
              </w:rPr>
              <w:t>建议单项认定同等于营业收入、完税等财务经济指标</w:t>
            </w:r>
            <w:r>
              <w:rPr>
                <w:rFonts w:hint="eastAsia" w:ascii="仿宋_GB2312" w:hAnsi="仿宋_GB2312" w:eastAsia="宋体" w:cs="仿宋_GB2312"/>
                <w:color w:val="000000"/>
                <w:sz w:val="24"/>
                <w:szCs w:val="22"/>
              </w:rPr>
              <w:t>。</w:t>
            </w:r>
          </w:p>
        </w:tc>
        <w:tc>
          <w:tcPr>
            <w:tcW w:w="6532" w:type="dxa"/>
            <w:noWrap w:val="0"/>
            <w:tcMar>
              <w:top w:w="15" w:type="dxa"/>
              <w:left w:w="15" w:type="dxa"/>
              <w:bottom w:w="0" w:type="dxa"/>
              <w:right w:w="15" w:type="dxa"/>
            </w:tcMar>
            <w:vAlign w:val="center"/>
          </w:tcPr>
          <w:p>
            <w:pPr>
              <w:widowControl/>
              <w:spacing w:line="240" w:lineRule="auto"/>
              <w:ind w:firstLine="0" w:firstLineChars="0"/>
              <w:jc w:val="left"/>
              <w:textAlignment w:val="center"/>
              <w:rPr>
                <w:rFonts w:ascii="仿宋_GB2312" w:hAnsi="仿宋_GB2312" w:cs="仿宋_GB2312"/>
                <w:color w:val="000000"/>
                <w:sz w:val="24"/>
                <w:szCs w:val="22"/>
              </w:rPr>
            </w:pPr>
            <w:r>
              <w:rPr>
                <w:rFonts w:hint="eastAsia" w:ascii="仿宋_GB2312" w:hAnsi="仿宋_GB2312" w:cs="仿宋_GB2312"/>
                <w:color w:val="000000"/>
                <w:sz w:val="24"/>
                <w:szCs w:val="22"/>
              </w:rPr>
              <w:t>部分采纳。理由：1.单项条件认定方式，是为了遴选出具有突出单项优势的企业，优先于营业收入排名认定方式；2.获得认定办法第十一条所列称号或奖项的企业，还需满足“营业收入排名居所在行业前20位”的条件，同时兼顾衡量营业收入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仿宋_GB2312" w:eastAsia="宋体" w:cs="仿宋_GB2312"/>
                <w:color w:val="000000"/>
                <w:sz w:val="21"/>
                <w:szCs w:val="21"/>
              </w:rPr>
            </w:pPr>
            <w:r>
              <w:rPr>
                <w:rFonts w:hint="eastAsia" w:ascii="仿宋_GB2312" w:hAnsi="仿宋_GB2312" w:eastAsia="宋体" w:cs="仿宋_GB2312"/>
                <w:color w:val="000000"/>
                <w:sz w:val="21"/>
                <w:szCs w:val="21"/>
              </w:rPr>
              <w:t>4</w:t>
            </w:r>
          </w:p>
        </w:tc>
        <w:tc>
          <w:tcPr>
            <w:tcW w:w="6612" w:type="dxa"/>
            <w:noWrap w:val="0"/>
            <w:tcMar>
              <w:top w:w="15" w:type="dxa"/>
              <w:left w:w="15" w:type="dxa"/>
              <w:bottom w:w="0" w:type="dxa"/>
              <w:right w:w="15" w:type="dxa"/>
            </w:tcMar>
            <w:vAlign w:val="center"/>
          </w:tcPr>
          <w:p>
            <w:pPr>
              <w:widowControl/>
              <w:tabs>
                <w:tab w:val="left" w:pos="922"/>
              </w:tabs>
              <w:spacing w:line="240" w:lineRule="auto"/>
              <w:ind w:firstLine="0" w:firstLineChars="0"/>
              <w:jc w:val="left"/>
              <w:textAlignment w:val="center"/>
              <w:rPr>
                <w:rFonts w:ascii="仿宋_GB2312" w:hAnsi="仿宋_GB2312" w:eastAsia="宋体" w:cs="仿宋_GB2312"/>
                <w:color w:val="000000"/>
                <w:sz w:val="24"/>
                <w:szCs w:val="22"/>
              </w:rPr>
            </w:pPr>
            <w:r>
              <w:rPr>
                <w:rFonts w:hint="eastAsia" w:ascii="仿宋_GB2312" w:hAnsi="仿宋_GB2312" w:cs="仿宋_GB2312"/>
                <w:color w:val="000000"/>
                <w:sz w:val="24"/>
                <w:szCs w:val="22"/>
              </w:rPr>
              <w:t>单项条件认定方式里，应该将</w:t>
            </w:r>
            <w:r>
              <w:rPr>
                <w:rFonts w:ascii="仿宋_GB2312" w:hAnsi="仿宋_GB2312" w:cs="仿宋_GB2312"/>
                <w:color w:val="000000"/>
                <w:sz w:val="24"/>
                <w:szCs w:val="22"/>
              </w:rPr>
              <w:t>“</w:t>
            </w:r>
            <w:r>
              <w:rPr>
                <w:rFonts w:hint="eastAsia" w:ascii="仿宋_GB2312" w:hAnsi="仿宋_GB2312" w:cs="仿宋_GB2312"/>
                <w:color w:val="000000"/>
                <w:sz w:val="24"/>
                <w:szCs w:val="22"/>
              </w:rPr>
              <w:t>（六）深圳市市长质量奖大奖或者特别贡献奖”，改成“（六）深圳市市长质量奖”，去掉“大奖或者特别贡献奖”，因为能评上深圳市市长质量奖都是市里领军骨干企业。</w:t>
            </w:r>
          </w:p>
        </w:tc>
        <w:tc>
          <w:tcPr>
            <w:tcW w:w="6532" w:type="dxa"/>
            <w:noWrap w:val="0"/>
            <w:tcMar>
              <w:top w:w="15" w:type="dxa"/>
              <w:left w:w="15" w:type="dxa"/>
              <w:bottom w:w="0" w:type="dxa"/>
              <w:right w:w="15" w:type="dxa"/>
            </w:tcMar>
            <w:vAlign w:val="center"/>
          </w:tcPr>
          <w:p>
            <w:pPr>
              <w:widowControl/>
              <w:tabs>
                <w:tab w:val="left" w:pos="922"/>
              </w:tabs>
              <w:spacing w:line="240" w:lineRule="auto"/>
              <w:ind w:firstLine="0" w:firstLineChars="0"/>
              <w:jc w:val="left"/>
              <w:textAlignment w:val="center"/>
              <w:rPr>
                <w:rFonts w:ascii="仿宋_GB2312" w:hAnsi="仿宋_GB2312" w:eastAsia="宋体" w:cs="仿宋_GB2312"/>
                <w:color w:val="000000"/>
                <w:sz w:val="24"/>
                <w:szCs w:val="22"/>
              </w:rPr>
            </w:pPr>
            <w:r>
              <w:rPr>
                <w:rFonts w:hint="eastAsia" w:ascii="仿宋_GB2312" w:hAnsi="仿宋_GB2312" w:cs="仿宋_GB2312"/>
                <w:color w:val="000000"/>
                <w:sz w:val="24"/>
                <w:szCs w:val="22"/>
              </w:rPr>
              <w:t>不采纳。理由：民营领军骨干企业认定名额共100名，单项条件认定的指标体现权威性和含金量，市长质量奖提名奖、鼓励奖暂不纳入单项条件认定指标。</w:t>
            </w:r>
          </w:p>
        </w:tc>
      </w:tr>
    </w:tbl>
    <w:p>
      <w:pPr>
        <w:ind w:left="0" w:leftChars="0" w:firstLine="0" w:firstLineChars="0"/>
      </w:pPr>
      <w:bookmarkStart w:id="0" w:name="_GoBack"/>
      <w:bookmarkEnd w:id="0"/>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101BB"/>
    <w:rsid w:val="65D1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2019-04-19T03:55:00Z</dcterms:created>
  <dc:creator>好饭友</dc:creator>
  <cp:lastModifiedBy>好饭友</cp:lastModifiedBy>
  <dcterms:modified xsi:type="dcterms:W3CDTF">2019-04-19T03:56:26Z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