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8F" w:rsidRDefault="00FB4441">
      <w:pPr>
        <w:pStyle w:val="a3"/>
        <w:jc w:val="center"/>
        <w:rPr>
          <w:rFonts w:ascii="黑体" w:eastAsia="黑体" w:hAnsi="黑体"/>
          <w:b/>
          <w:color w:val="000000" w:themeColor="text1"/>
          <w:sz w:val="44"/>
          <w:szCs w:val="44"/>
        </w:rPr>
      </w:pPr>
      <w:r>
        <w:rPr>
          <w:rFonts w:ascii="黑体" w:eastAsia="黑体" w:hAnsi="黑体" w:hint="eastAsia"/>
          <w:b/>
          <w:color w:val="000000" w:themeColor="text1"/>
          <w:sz w:val="44"/>
          <w:szCs w:val="44"/>
        </w:rPr>
        <w:t>深圳市建设项目用地用林用海审批</w:t>
      </w:r>
    </w:p>
    <w:p w:rsidR="00FD578F" w:rsidRDefault="00FB4441">
      <w:pPr>
        <w:pStyle w:val="a3"/>
        <w:jc w:val="center"/>
        <w:rPr>
          <w:rFonts w:ascii="黑体" w:eastAsia="黑体" w:hAnsi="黑体"/>
          <w:b/>
          <w:color w:val="000000" w:themeColor="text1"/>
          <w:sz w:val="44"/>
          <w:szCs w:val="44"/>
        </w:rPr>
      </w:pPr>
      <w:r>
        <w:rPr>
          <w:rFonts w:ascii="黑体" w:eastAsia="黑体" w:hAnsi="黑体" w:hint="eastAsia"/>
          <w:b/>
          <w:color w:val="000000" w:themeColor="text1"/>
          <w:sz w:val="44"/>
          <w:szCs w:val="44"/>
        </w:rPr>
        <w:t>管理办法（征求意见稿）起草说明</w:t>
      </w:r>
    </w:p>
    <w:p w:rsidR="00FD578F" w:rsidRDefault="00FD578F">
      <w:pPr>
        <w:spacing w:line="360" w:lineRule="auto"/>
        <w:ind w:firstLineChars="200" w:firstLine="643"/>
        <w:jc w:val="center"/>
        <w:rPr>
          <w:rFonts w:ascii="仿宋" w:eastAsia="仿宋" w:hAnsi="仿宋"/>
          <w:b/>
          <w:color w:val="000000" w:themeColor="text1"/>
          <w:sz w:val="32"/>
          <w:szCs w:val="32"/>
        </w:rPr>
      </w:pPr>
    </w:p>
    <w:p w:rsidR="00FD578F" w:rsidRDefault="00FB4441">
      <w:pPr>
        <w:pStyle w:val="a3"/>
        <w:ind w:firstLineChars="200" w:firstLine="640"/>
        <w:rPr>
          <w:rFonts w:ascii="仿宋" w:eastAsia="仿宋" w:hAnsi="仿宋" w:cstheme="minorBidi"/>
          <w:sz w:val="32"/>
          <w:szCs w:val="32"/>
        </w:rPr>
      </w:pPr>
      <w:r>
        <w:rPr>
          <w:rFonts w:ascii="仿宋" w:eastAsia="仿宋" w:hAnsi="仿宋" w:cstheme="minorBidi" w:hint="eastAsia"/>
          <w:sz w:val="32"/>
          <w:szCs w:val="32"/>
        </w:rPr>
        <w:t>为贯彻落实《中共中央、国务院关于支持深圳建设中国特色社会主义先行示范区的意见》，深化自然资源管理制度改革，</w:t>
      </w:r>
      <w:r>
        <w:rPr>
          <w:rFonts w:ascii="仿宋" w:eastAsia="仿宋" w:hAnsi="仿宋" w:hint="eastAsia"/>
          <w:sz w:val="32"/>
          <w:szCs w:val="32"/>
        </w:rPr>
        <w:t>统一行使国土空间用途管制职责，</w:t>
      </w:r>
      <w:r>
        <w:rPr>
          <w:rFonts w:ascii="仿宋" w:eastAsia="仿宋" w:hAnsi="仿宋" w:cstheme="minorBidi" w:hint="eastAsia"/>
          <w:sz w:val="32"/>
          <w:szCs w:val="32"/>
        </w:rPr>
        <w:t>开展建设项目用地用林用海审批制度改革，根据中共中央办公厅国务院办公厅印发的《深圳建设中国特色社会主义先行示范区综合改革试点实施方案</w:t>
      </w:r>
      <w:r>
        <w:rPr>
          <w:rFonts w:ascii="仿宋" w:eastAsia="仿宋" w:hAnsi="仿宋" w:cstheme="minorBidi" w:hint="eastAsia"/>
          <w:sz w:val="32"/>
          <w:szCs w:val="32"/>
        </w:rPr>
        <w:t>(2020-2025</w:t>
      </w:r>
      <w:r>
        <w:rPr>
          <w:rFonts w:ascii="仿宋" w:eastAsia="仿宋" w:hAnsi="仿宋" w:cstheme="minorBidi" w:hint="eastAsia"/>
          <w:sz w:val="32"/>
          <w:szCs w:val="32"/>
        </w:rPr>
        <w:t>年</w:t>
      </w:r>
      <w:r>
        <w:rPr>
          <w:rFonts w:ascii="仿宋" w:eastAsia="仿宋" w:hAnsi="仿宋" w:cstheme="minorBidi" w:hint="eastAsia"/>
          <w:sz w:val="32"/>
          <w:szCs w:val="32"/>
        </w:rPr>
        <w:t>)</w:t>
      </w:r>
      <w:r>
        <w:rPr>
          <w:rFonts w:ascii="仿宋" w:eastAsia="仿宋" w:hAnsi="仿宋" w:cstheme="minorBidi" w:hint="eastAsia"/>
          <w:sz w:val="32"/>
          <w:szCs w:val="32"/>
        </w:rPr>
        <w:t>》、《深圳建设中国特色社会主义先行示范区综合改革试点首批授权事项清单》</w:t>
      </w:r>
      <w:r>
        <w:rPr>
          <w:rFonts w:ascii="仿宋" w:eastAsia="仿宋" w:hAnsi="仿宋" w:cstheme="minorBidi" w:hint="eastAsia"/>
          <w:sz w:val="32"/>
          <w:szCs w:val="32"/>
        </w:rPr>
        <w:t>，</w:t>
      </w:r>
      <w:r>
        <w:rPr>
          <w:rFonts w:ascii="仿宋_GB2312" w:eastAsia="仿宋_GB2312" w:hAnsi="仿宋_GB2312" w:cs="仿宋_GB2312" w:hint="eastAsia"/>
          <w:kern w:val="0"/>
          <w:sz w:val="32"/>
          <w:szCs w:val="32"/>
        </w:rPr>
        <w:t>市规划和自然资源局组织起草了《深圳市建设项目用地用林用海审批管理办法（征求意见稿）》（以下简称《办法》）。现将有关情况说明如下：</w:t>
      </w:r>
    </w:p>
    <w:p w:rsidR="00FD578F" w:rsidRDefault="00FB4441">
      <w:pPr>
        <w:spacing w:line="360" w:lineRule="auto"/>
        <w:ind w:firstLineChars="200" w:firstLine="640"/>
        <w:rPr>
          <w:rFonts w:ascii="黑体" w:eastAsia="黑体" w:hAnsi="黑体"/>
          <w:sz w:val="32"/>
          <w:szCs w:val="32"/>
        </w:rPr>
      </w:pPr>
      <w:r>
        <w:rPr>
          <w:rFonts w:ascii="黑体" w:eastAsia="黑体" w:hAnsi="黑体" w:hint="eastAsia"/>
          <w:sz w:val="32"/>
          <w:szCs w:val="32"/>
        </w:rPr>
        <w:t>一、相关背景</w:t>
      </w:r>
    </w:p>
    <w:p w:rsidR="00FD578F" w:rsidRDefault="00FB4441">
      <w:pPr>
        <w:ind w:firstLineChars="200" w:firstLine="643"/>
        <w:rPr>
          <w:rFonts w:ascii="仿宋" w:eastAsia="仿宋" w:hAnsi="仿宋"/>
          <w:b/>
          <w:sz w:val="32"/>
          <w:szCs w:val="32"/>
        </w:rPr>
      </w:pPr>
      <w:r>
        <w:rPr>
          <w:rFonts w:ascii="仿宋" w:eastAsia="仿宋" w:hAnsi="仿宋" w:hint="eastAsia"/>
          <w:b/>
          <w:sz w:val="32"/>
          <w:szCs w:val="32"/>
        </w:rPr>
        <w:t>（一）起草背景</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年，党的十九届三中全会审议通过《深化党和国家机构改革方案》，明确自然资源部“统一行使全民所有自然资源资产所有者职责，统一行使所有国土空间用途管制和生态保护修复职责”。</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月，党中央、国务院出台《关于支持深圳建设中国特色社会主义先行示范区的意见》，明确要求深圳“深化自然资源管理制度改革</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，支持深圳实施综合授权改革试点，在城市空间统筹利用等重点领域深化改</w:t>
      </w:r>
      <w:r>
        <w:rPr>
          <w:rFonts w:ascii="仿宋_GB2312" w:eastAsia="仿宋_GB2312" w:hAnsi="仿宋_GB2312" w:cs="仿宋_GB2312" w:hint="eastAsia"/>
          <w:kern w:val="0"/>
          <w:sz w:val="32"/>
          <w:szCs w:val="32"/>
        </w:rPr>
        <w:lastRenderedPageBreak/>
        <w:t>革、先行先试。</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月，自然资源部印发《关于以“多规合一”为基础推进规划用地“多审合一、多证合一”改革的通知》（自然资</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号），进一步深化自然资源管理领域审批制度改革，积极推进规划用地“多审合一、多证合一、多测合一、多验合一”。</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月，中共中央办公厅国务院办公厅印发了《深圳市建设中国特色社会主义先行示范区综合改革试点实施方案（</w:t>
      </w:r>
      <w:r>
        <w:rPr>
          <w:rFonts w:ascii="仿宋_GB2312" w:eastAsia="仿宋_GB2312" w:hAnsi="仿宋_GB2312" w:cs="仿宋_GB2312" w:hint="eastAsia"/>
          <w:kern w:val="0"/>
          <w:sz w:val="32"/>
          <w:szCs w:val="32"/>
        </w:rPr>
        <w:t>2020-2025</w:t>
      </w:r>
      <w:r>
        <w:rPr>
          <w:rFonts w:ascii="仿宋_GB2312" w:eastAsia="仿宋_GB2312" w:hAnsi="仿宋_GB2312" w:cs="仿宋_GB2312" w:hint="eastAsia"/>
          <w:kern w:val="0"/>
          <w:sz w:val="32"/>
          <w:szCs w:val="32"/>
        </w:rPr>
        <w:t>年）》，</w:t>
      </w:r>
      <w:r w:rsidR="00EA4A5C">
        <w:rPr>
          <w:rFonts w:ascii="仿宋_GB2312" w:eastAsia="仿宋_GB2312" w:hAnsi="仿宋_GB2312" w:cs="仿宋_GB2312" w:hint="eastAsia"/>
          <w:kern w:val="0"/>
          <w:sz w:val="32"/>
          <w:szCs w:val="32"/>
        </w:rPr>
        <w:t>提出</w:t>
      </w:r>
      <w:r>
        <w:rPr>
          <w:rFonts w:ascii="仿宋_GB2312" w:eastAsia="仿宋_GB2312" w:hAnsi="仿宋_GB2312" w:cs="仿宋_GB2312" w:hint="eastAsia"/>
          <w:kern w:val="0"/>
          <w:sz w:val="32"/>
          <w:szCs w:val="32"/>
        </w:rPr>
        <w:t>“</w:t>
      </w:r>
      <w:r>
        <w:rPr>
          <w:rFonts w:ascii="仿宋_GB2312" w:eastAsia="仿宋_GB2312" w:hint="eastAsia"/>
          <w:sz w:val="32"/>
          <w:szCs w:val="32"/>
        </w:rPr>
        <w:t>探索优化用地用林用海‘统一收文、统一办理、统一发文’审批机</w:t>
      </w:r>
      <w:r>
        <w:rPr>
          <w:rFonts w:ascii="仿宋_GB2312" w:eastAsia="仿宋_GB2312" w:hint="eastAsia"/>
          <w:sz w:val="32"/>
          <w:szCs w:val="32"/>
        </w:rPr>
        <w:t>制，推动自然资源使用审批全链条融合”。</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（二）必要性</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当前，建设项目用地用林用海审批涉及农用地转用审批、</w:t>
      </w:r>
      <w:r>
        <w:rPr>
          <w:rFonts w:ascii="仿宋" w:eastAsia="仿宋" w:hAnsi="仿宋" w:hint="eastAsia"/>
          <w:sz w:val="32"/>
          <w:szCs w:val="32"/>
        </w:rPr>
        <w:t>永久占用林地审批、海域使用权审批、国有建设用地使用权审批</w:t>
      </w:r>
      <w:r>
        <w:rPr>
          <w:rFonts w:ascii="仿宋_GB2312" w:eastAsia="仿宋_GB2312" w:hAnsi="仿宋_GB2312" w:cs="仿宋_GB2312" w:hint="eastAsia"/>
          <w:kern w:val="0"/>
          <w:sz w:val="32"/>
          <w:szCs w:val="32"/>
        </w:rPr>
        <w:t>四个审批事项，审批主体、流程、结果各不相同，项目单位需准备多套材料、多次申请、多次跑动、多次缴费，审批效率不高，也不利于统一行使自然资源管理职能，不利于自然资源全要素统一管理。主要体现在：</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一是审批主体不同。用地和用海审批主体为县级以上人民政府，用林审批主体为行业主管部门。建设项目如同时涉及到用地用林用海的，需要按照不同的审批事项提出申请、由不同的部</w:t>
      </w:r>
      <w:r>
        <w:rPr>
          <w:rFonts w:ascii="仿宋_GB2312" w:eastAsia="仿宋_GB2312" w:hAnsi="仿宋_GB2312" w:cs="仿宋_GB2312" w:hint="eastAsia"/>
          <w:kern w:val="0"/>
          <w:sz w:val="32"/>
          <w:szCs w:val="32"/>
        </w:rPr>
        <w:t>门办理、报不同的主体审批。</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二是审批流程不同。用地和用海审批为主管部门按层级分别报市、区政府审批。用林审批为辖区林业主管部门编制</w:t>
      </w:r>
      <w:r>
        <w:rPr>
          <w:rFonts w:ascii="仿宋_GB2312" w:eastAsia="仿宋_GB2312" w:hAnsi="仿宋_GB2312" w:cs="仿宋_GB2312" w:hint="eastAsia"/>
          <w:kern w:val="0"/>
          <w:sz w:val="32"/>
          <w:szCs w:val="32"/>
        </w:rPr>
        <w:lastRenderedPageBreak/>
        <w:t>使用方案，报市林业主管部门审批。</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三是审批结果不同。</w:t>
      </w:r>
      <w:r>
        <w:rPr>
          <w:rFonts w:ascii="仿宋_GB2312" w:eastAsia="仿宋_GB2312" w:hAnsi="仿宋_GB2312" w:cs="仿宋_GB2312"/>
          <w:kern w:val="0"/>
          <w:sz w:val="32"/>
          <w:szCs w:val="32"/>
        </w:rPr>
        <w:t>建设项目用地审批结果为</w:t>
      </w:r>
      <w:r>
        <w:rPr>
          <w:rFonts w:ascii="仿宋_GB2312" w:eastAsia="仿宋_GB2312" w:hAnsi="仿宋_GB2312" w:cs="仿宋_GB2312" w:hint="eastAsia"/>
          <w:kern w:val="0"/>
          <w:sz w:val="32"/>
          <w:szCs w:val="32"/>
        </w:rPr>
        <w:t>农用地</w:t>
      </w:r>
      <w:r w:rsidR="002E6C3E">
        <w:rPr>
          <w:rFonts w:ascii="仿宋_GB2312" w:eastAsia="仿宋_GB2312" w:hAnsi="仿宋_GB2312" w:cs="仿宋_GB2312" w:hint="eastAsia"/>
          <w:kern w:val="0"/>
          <w:sz w:val="32"/>
          <w:szCs w:val="32"/>
        </w:rPr>
        <w:t>转用</w:t>
      </w:r>
      <w:r>
        <w:rPr>
          <w:rFonts w:ascii="仿宋_GB2312" w:eastAsia="仿宋_GB2312" w:hAnsi="仿宋_GB2312" w:cs="仿宋_GB2312"/>
          <w:kern w:val="0"/>
          <w:sz w:val="32"/>
          <w:szCs w:val="32"/>
        </w:rPr>
        <w:t>批复</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划拨决定书或土地使用权出让合同</w:t>
      </w:r>
      <w:r>
        <w:rPr>
          <w:rFonts w:ascii="仿宋_GB2312" w:eastAsia="仿宋_GB2312" w:hAnsi="仿宋_GB2312" w:cs="仿宋_GB2312" w:hint="eastAsia"/>
          <w:kern w:val="0"/>
          <w:sz w:val="32"/>
          <w:szCs w:val="32"/>
        </w:rPr>
        <w:t>，建设项目用林审批结果为使用林地审核同意书，建设项目用海审批结果为用海批复、海域使用权证书。</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因此，有必要对建设项目用地、用林、用海现有的审批机制进行梳理优化，建立统一、高效的审批新机制。</w:t>
      </w:r>
    </w:p>
    <w:p w:rsidR="00FD578F" w:rsidRDefault="00FB4441">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二、主要内容说明</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《办法》共</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条，分为总则、申请和受理、审批和监管、附则四个</w:t>
      </w:r>
      <w:r>
        <w:rPr>
          <w:rFonts w:ascii="仿宋_GB2312" w:eastAsia="仿宋_GB2312" w:hAnsi="仿宋_GB2312" w:cs="仿宋_GB2312" w:hint="eastAsia"/>
          <w:kern w:val="0"/>
          <w:sz w:val="32"/>
          <w:szCs w:val="32"/>
        </w:rPr>
        <w:t>章节，共二十条。</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（一）关于《办法》适用范围</w:t>
      </w:r>
    </w:p>
    <w:p w:rsidR="00FD578F" w:rsidRDefault="00FB4441">
      <w:pPr>
        <w:pStyle w:val="a3"/>
        <w:ind w:firstLineChars="200" w:firstLine="640"/>
        <w:jc w:val="both"/>
        <w:rPr>
          <w:rFonts w:ascii="仿宋" w:eastAsia="仿宋" w:hAnsi="仿宋"/>
          <w:sz w:val="32"/>
          <w:szCs w:val="32"/>
        </w:rPr>
      </w:pPr>
      <w:r>
        <w:rPr>
          <w:rFonts w:ascii="仿宋" w:eastAsia="仿宋" w:hAnsi="仿宋" w:hint="eastAsia"/>
          <w:sz w:val="32"/>
          <w:szCs w:val="32"/>
        </w:rPr>
        <w:t>《办法》适用于农用地转用审批、永久占用林地审批、海域使用权审批、国有建设用地使用权审批这四类审批事项的审批权均在我市的建设项目。</w:t>
      </w:r>
    </w:p>
    <w:p w:rsidR="00FD578F" w:rsidRDefault="00FB4441">
      <w:pPr>
        <w:widowControl/>
        <w:ind w:firstLineChars="200" w:firstLine="640"/>
        <w:rPr>
          <w:rFonts w:ascii="仿宋" w:eastAsia="仿宋" w:hAnsi="仿宋"/>
          <w:sz w:val="32"/>
          <w:szCs w:val="32"/>
        </w:rPr>
      </w:pPr>
      <w:r>
        <w:rPr>
          <w:rFonts w:ascii="仿宋" w:eastAsia="仿宋" w:hAnsi="仿宋" w:hint="eastAsia"/>
          <w:sz w:val="32"/>
          <w:szCs w:val="32"/>
        </w:rPr>
        <w:t>对于按规定需报国家或省级审批的，在我市范围内一个事项统一收文、统一办理，并按规定分别上报。按规定需报国家或省有关部门审批的，主要包括以下三种情形：</w:t>
      </w:r>
    </w:p>
    <w:p w:rsidR="00FD578F" w:rsidRDefault="00FB4441">
      <w:pPr>
        <w:widowControl/>
        <w:ind w:firstLineChars="150" w:firstLine="48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、农用地转用审批：占用永久基本农田的，由国务院批准。</w:t>
      </w:r>
    </w:p>
    <w:p w:rsidR="00FD578F" w:rsidRDefault="00FB4441">
      <w:pPr>
        <w:widowControl/>
        <w:ind w:firstLineChars="150" w:firstLine="48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、永久占用林地审批：涉及防护林或特种用途林林地面积</w:t>
      </w:r>
      <w:r>
        <w:rPr>
          <w:rFonts w:ascii="仿宋" w:eastAsia="仿宋" w:hAnsi="仿宋" w:hint="eastAsia"/>
          <w:sz w:val="32"/>
          <w:szCs w:val="32"/>
        </w:rPr>
        <w:t>10</w:t>
      </w:r>
      <w:r>
        <w:rPr>
          <w:rFonts w:ascii="仿宋" w:eastAsia="仿宋" w:hAnsi="仿宋" w:hint="eastAsia"/>
          <w:sz w:val="32"/>
          <w:szCs w:val="32"/>
        </w:rPr>
        <w:t>公顷以上，用材林、经济林、薪炭林林地及其采伐迹</w:t>
      </w:r>
      <w:r>
        <w:rPr>
          <w:rFonts w:ascii="仿宋" w:eastAsia="仿宋" w:hAnsi="仿宋" w:hint="eastAsia"/>
          <w:sz w:val="32"/>
          <w:szCs w:val="32"/>
        </w:rPr>
        <w:lastRenderedPageBreak/>
        <w:t>地面积</w:t>
      </w:r>
      <w:r>
        <w:rPr>
          <w:rFonts w:ascii="仿宋" w:eastAsia="仿宋" w:hAnsi="仿宋" w:hint="eastAsia"/>
          <w:sz w:val="32"/>
          <w:szCs w:val="32"/>
        </w:rPr>
        <w:t>35</w:t>
      </w:r>
      <w:r>
        <w:rPr>
          <w:rFonts w:ascii="仿宋" w:eastAsia="仿宋" w:hAnsi="仿宋" w:hint="eastAsia"/>
          <w:sz w:val="32"/>
          <w:szCs w:val="32"/>
        </w:rPr>
        <w:t>公顷以上的，其他林地面积</w:t>
      </w:r>
      <w:r>
        <w:rPr>
          <w:rFonts w:ascii="仿宋" w:eastAsia="仿宋" w:hAnsi="仿宋" w:hint="eastAsia"/>
          <w:sz w:val="32"/>
          <w:szCs w:val="32"/>
        </w:rPr>
        <w:t>70</w:t>
      </w:r>
      <w:r>
        <w:rPr>
          <w:rFonts w:ascii="仿宋" w:eastAsia="仿宋" w:hAnsi="仿宋" w:hint="eastAsia"/>
          <w:sz w:val="32"/>
          <w:szCs w:val="32"/>
        </w:rPr>
        <w:t>公顷以上的，重点林区林地的，由国家林草局批准。</w:t>
      </w:r>
    </w:p>
    <w:p w:rsidR="00FD578F" w:rsidRDefault="00FB4441">
      <w:pPr>
        <w:widowControl/>
        <w:ind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、海域使用权审批：涉及国务院或国务院投资主管部门审批、核准的建设项目，省、自治区、直辖市管理海域以外或跨省、自治区、直辖市管理海域的项目，国防建设项目，</w:t>
      </w:r>
    </w:p>
    <w:p w:rsidR="00FD578F" w:rsidRDefault="00FB4441">
      <w:pPr>
        <w:widowControl/>
        <w:rPr>
          <w:rFonts w:ascii="仿宋" w:eastAsia="仿宋" w:hAnsi="仿宋"/>
          <w:sz w:val="32"/>
          <w:szCs w:val="32"/>
        </w:rPr>
      </w:pPr>
      <w:r>
        <w:rPr>
          <w:rFonts w:ascii="仿宋" w:eastAsia="仿宋" w:hAnsi="仿宋" w:hint="eastAsia"/>
          <w:sz w:val="32"/>
          <w:szCs w:val="32"/>
        </w:rPr>
        <w:t>油气及其他海洋矿产资源勘查开采项目，国家直接管理的海底电缆管道项目，国家级保护区内的开发项目及核心区用海，</w:t>
      </w:r>
    </w:p>
    <w:p w:rsidR="00FD578F" w:rsidRDefault="00FB4441">
      <w:pPr>
        <w:widowControl/>
        <w:rPr>
          <w:rFonts w:ascii="仿宋" w:eastAsia="仿宋" w:hAnsi="仿宋"/>
          <w:sz w:val="32"/>
          <w:szCs w:val="32"/>
        </w:rPr>
      </w:pPr>
      <w:r>
        <w:rPr>
          <w:rFonts w:ascii="仿宋" w:eastAsia="仿宋" w:hAnsi="仿宋" w:hint="eastAsia"/>
          <w:sz w:val="32"/>
          <w:szCs w:val="32"/>
        </w:rPr>
        <w:t>围海项目、填海项目，</w:t>
      </w:r>
      <w:r>
        <w:rPr>
          <w:rFonts w:ascii="仿宋" w:eastAsia="仿宋" w:hAnsi="仿宋"/>
          <w:sz w:val="32"/>
          <w:szCs w:val="32"/>
        </w:rPr>
        <w:t xml:space="preserve">700 </w:t>
      </w:r>
      <w:proofErr w:type="gramStart"/>
      <w:r>
        <w:rPr>
          <w:rFonts w:ascii="仿宋" w:eastAsia="仿宋" w:hAnsi="仿宋" w:hint="eastAsia"/>
          <w:sz w:val="32"/>
          <w:szCs w:val="32"/>
        </w:rPr>
        <w:t>公顷以上</w:t>
      </w:r>
      <w:proofErr w:type="gramEnd"/>
      <w:r>
        <w:rPr>
          <w:rFonts w:ascii="仿宋" w:eastAsia="仿宋" w:hAnsi="仿宋" w:hint="eastAsia"/>
          <w:sz w:val="32"/>
          <w:szCs w:val="32"/>
        </w:rPr>
        <w:t>的开放式用海，由国务院批准。</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（二）关于前期论证</w:t>
      </w:r>
    </w:p>
    <w:p w:rsidR="00FD578F" w:rsidRDefault="00FB4441">
      <w:pPr>
        <w:ind w:firstLineChars="200" w:firstLine="640"/>
        <w:rPr>
          <w:rFonts w:ascii="仿宋" w:eastAsia="仿宋" w:hAnsi="仿宋"/>
          <w:sz w:val="32"/>
          <w:szCs w:val="32"/>
        </w:rPr>
      </w:pPr>
      <w:r>
        <w:rPr>
          <w:rFonts w:ascii="仿宋" w:eastAsia="仿宋" w:hAnsi="仿宋" w:hint="eastAsia"/>
          <w:sz w:val="32"/>
          <w:szCs w:val="32"/>
        </w:rPr>
        <w:t>政府投资和社会投资的项目均需通过“多规合一”信息平台进行论证，</w:t>
      </w:r>
      <w:r>
        <w:rPr>
          <w:rFonts w:ascii="仿宋" w:eastAsia="仿宋" w:hAnsi="仿宋" w:hint="eastAsia"/>
          <w:sz w:val="32"/>
          <w:szCs w:val="32"/>
        </w:rPr>
        <w:t>针对本事项需开展的工作提出论证意见</w:t>
      </w:r>
      <w:r w:rsidR="002E6C3E">
        <w:rPr>
          <w:rFonts w:ascii="仿宋" w:eastAsia="仿宋" w:hAnsi="仿宋" w:hint="eastAsia"/>
          <w:sz w:val="32"/>
          <w:szCs w:val="32"/>
        </w:rPr>
        <w:t>和</w:t>
      </w:r>
      <w:r>
        <w:rPr>
          <w:rFonts w:ascii="仿宋" w:eastAsia="仿宋" w:hAnsi="仿宋" w:hint="eastAsia"/>
          <w:sz w:val="32"/>
          <w:szCs w:val="32"/>
        </w:rPr>
        <w:t>要求，并告知建设项目单位。建设项目单位在完成论证</w:t>
      </w:r>
      <w:r w:rsidR="002E6C3E">
        <w:rPr>
          <w:rFonts w:ascii="仿宋" w:eastAsia="仿宋" w:hAnsi="仿宋" w:hint="eastAsia"/>
          <w:sz w:val="32"/>
          <w:szCs w:val="32"/>
        </w:rPr>
        <w:t>并落实论证</w:t>
      </w:r>
      <w:r>
        <w:rPr>
          <w:rFonts w:ascii="仿宋" w:eastAsia="仿宋" w:hAnsi="仿宋" w:hint="eastAsia"/>
          <w:sz w:val="32"/>
          <w:szCs w:val="32"/>
        </w:rPr>
        <w:t>意见</w:t>
      </w:r>
      <w:r w:rsidR="002E6C3E">
        <w:rPr>
          <w:rFonts w:ascii="仿宋" w:eastAsia="仿宋" w:hAnsi="仿宋" w:hint="eastAsia"/>
          <w:sz w:val="32"/>
          <w:szCs w:val="32"/>
        </w:rPr>
        <w:t>和</w:t>
      </w:r>
      <w:r>
        <w:rPr>
          <w:rFonts w:ascii="仿宋" w:eastAsia="仿宋" w:hAnsi="仿宋" w:hint="eastAsia"/>
          <w:sz w:val="32"/>
          <w:szCs w:val="32"/>
        </w:rPr>
        <w:t>要求</w:t>
      </w:r>
      <w:r>
        <w:rPr>
          <w:rFonts w:ascii="仿宋" w:eastAsia="仿宋" w:hAnsi="仿宋" w:hint="eastAsia"/>
          <w:sz w:val="32"/>
          <w:szCs w:val="32"/>
        </w:rPr>
        <w:t>后，方可提交申请。</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（三）关于审批权限</w:t>
      </w:r>
    </w:p>
    <w:p w:rsidR="00FD578F" w:rsidRDefault="00FB4441">
      <w:pPr>
        <w:pStyle w:val="a3"/>
        <w:ind w:left="142" w:firstLineChars="200" w:firstLine="640"/>
        <w:rPr>
          <w:rFonts w:ascii="仿宋" w:eastAsia="仿宋" w:hAnsi="仿宋"/>
          <w:sz w:val="32"/>
          <w:szCs w:val="32"/>
        </w:rPr>
      </w:pPr>
      <w:r>
        <w:rPr>
          <w:rFonts w:ascii="仿宋" w:eastAsia="仿宋" w:hAnsi="仿宋" w:hint="eastAsia"/>
          <w:sz w:val="32"/>
          <w:szCs w:val="32"/>
        </w:rPr>
        <w:t>《办法》中提到的按规定应报市政府审批的，主要为用</w:t>
      </w:r>
      <w:proofErr w:type="gramStart"/>
      <w:r>
        <w:rPr>
          <w:rFonts w:ascii="仿宋" w:eastAsia="仿宋" w:hAnsi="仿宋" w:hint="eastAsia"/>
          <w:sz w:val="32"/>
          <w:szCs w:val="32"/>
        </w:rPr>
        <w:t>海项目</w:t>
      </w:r>
      <w:proofErr w:type="gramEnd"/>
      <w:r>
        <w:rPr>
          <w:rFonts w:ascii="仿宋" w:eastAsia="仿宋" w:hAnsi="仿宋" w:hint="eastAsia"/>
          <w:sz w:val="32"/>
          <w:szCs w:val="32"/>
        </w:rPr>
        <w:t>及《深圳市人民政府关于规划和自然资源行政职权调整的决定》（市政府</w:t>
      </w:r>
      <w:r>
        <w:rPr>
          <w:rFonts w:ascii="仿宋" w:eastAsia="仿宋" w:hAnsi="仿宋" w:hint="eastAsia"/>
          <w:sz w:val="32"/>
          <w:szCs w:val="32"/>
        </w:rPr>
        <w:t>327</w:t>
      </w:r>
      <w:r>
        <w:rPr>
          <w:rFonts w:ascii="仿宋" w:eastAsia="仿宋" w:hAnsi="仿宋" w:hint="eastAsia"/>
          <w:sz w:val="32"/>
          <w:szCs w:val="32"/>
        </w:rPr>
        <w:t>号令）提到的以下情形：</w:t>
      </w:r>
      <w:r>
        <w:rPr>
          <w:rFonts w:ascii="仿宋" w:eastAsia="仿宋" w:hAnsi="仿宋" w:hint="eastAsia"/>
          <w:sz w:val="32"/>
          <w:szCs w:val="32"/>
        </w:rPr>
        <w:t>1</w:t>
      </w:r>
      <w:r>
        <w:rPr>
          <w:rFonts w:ascii="仿宋" w:eastAsia="仿宋" w:hAnsi="仿宋" w:hint="eastAsia"/>
          <w:sz w:val="32"/>
          <w:szCs w:val="32"/>
        </w:rPr>
        <w:t>、居住用地（不含通过城市更新、棚户区改造方式出让的居住用地）；</w:t>
      </w:r>
      <w:r>
        <w:rPr>
          <w:rFonts w:ascii="仿宋" w:eastAsia="仿宋" w:hAnsi="仿宋" w:hint="eastAsia"/>
          <w:sz w:val="32"/>
          <w:szCs w:val="32"/>
        </w:rPr>
        <w:t>2</w:t>
      </w:r>
      <w:r>
        <w:rPr>
          <w:rFonts w:ascii="仿宋" w:eastAsia="仿宋" w:hAnsi="仿宋" w:hint="eastAsia"/>
          <w:sz w:val="32"/>
          <w:szCs w:val="32"/>
        </w:rPr>
        <w:t>、作价出资用地；</w:t>
      </w:r>
      <w:r>
        <w:rPr>
          <w:rFonts w:ascii="仿宋" w:eastAsia="仿宋" w:hAnsi="仿宋" w:hint="eastAsia"/>
          <w:sz w:val="32"/>
          <w:szCs w:val="32"/>
        </w:rPr>
        <w:t>3</w:t>
      </w:r>
      <w:r>
        <w:rPr>
          <w:rFonts w:ascii="仿宋" w:eastAsia="仿宋" w:hAnsi="仿宋" w:hint="eastAsia"/>
          <w:sz w:val="32"/>
          <w:szCs w:val="32"/>
        </w:rPr>
        <w:t>、</w:t>
      </w:r>
      <w:proofErr w:type="gramStart"/>
      <w:r>
        <w:rPr>
          <w:rFonts w:ascii="仿宋" w:eastAsia="仿宋" w:hAnsi="仿宋" w:hint="eastAsia"/>
          <w:sz w:val="32"/>
          <w:szCs w:val="32"/>
        </w:rPr>
        <w:t>市投市建</w:t>
      </w:r>
      <w:proofErr w:type="gramEnd"/>
      <w:r>
        <w:rPr>
          <w:rFonts w:ascii="仿宋" w:eastAsia="仿宋" w:hAnsi="仿宋" w:hint="eastAsia"/>
          <w:sz w:val="32"/>
          <w:szCs w:val="32"/>
        </w:rPr>
        <w:t>项目用地；</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以划拨或者协议方式供应的只租不售的创新型产业用房和科研项目用地；</w:t>
      </w:r>
      <w:r>
        <w:rPr>
          <w:rFonts w:ascii="仿宋" w:eastAsia="仿宋" w:hAnsi="仿宋" w:hint="eastAsia"/>
          <w:sz w:val="32"/>
          <w:szCs w:val="32"/>
        </w:rPr>
        <w:t>5</w:t>
      </w:r>
      <w:r>
        <w:rPr>
          <w:rFonts w:ascii="仿宋" w:eastAsia="仿宋" w:hAnsi="仿宋" w:hint="eastAsia"/>
          <w:sz w:val="32"/>
          <w:szCs w:val="32"/>
        </w:rPr>
        <w:t>、未完善征（转）地补偿手续用地流转方案；</w:t>
      </w:r>
      <w:r>
        <w:rPr>
          <w:rFonts w:ascii="仿宋" w:eastAsia="仿宋" w:hAnsi="仿宋" w:hint="eastAsia"/>
          <w:sz w:val="32"/>
          <w:szCs w:val="32"/>
        </w:rPr>
        <w:t>6</w:t>
      </w:r>
      <w:r>
        <w:rPr>
          <w:rFonts w:ascii="仿宋" w:eastAsia="仿宋" w:hAnsi="仿宋" w:hint="eastAsia"/>
          <w:sz w:val="32"/>
          <w:szCs w:val="32"/>
        </w:rPr>
        <w:t>、置换</w:t>
      </w:r>
      <w:r>
        <w:rPr>
          <w:rFonts w:ascii="仿宋" w:eastAsia="仿宋" w:hAnsi="仿宋" w:hint="eastAsia"/>
          <w:sz w:val="32"/>
          <w:szCs w:val="32"/>
        </w:rPr>
        <w:lastRenderedPageBreak/>
        <w:t>用地；</w:t>
      </w:r>
      <w:r>
        <w:rPr>
          <w:rFonts w:ascii="仿宋" w:eastAsia="仿宋" w:hAnsi="仿宋" w:hint="eastAsia"/>
          <w:sz w:val="32"/>
          <w:szCs w:val="32"/>
        </w:rPr>
        <w:t>7</w:t>
      </w:r>
      <w:r>
        <w:rPr>
          <w:rFonts w:ascii="仿宋" w:eastAsia="仿宋" w:hAnsi="仿宋" w:hint="eastAsia"/>
          <w:sz w:val="32"/>
          <w:szCs w:val="32"/>
        </w:rPr>
        <w:t>、占用国有储备土地总面积</w:t>
      </w:r>
      <w:r>
        <w:rPr>
          <w:rFonts w:ascii="仿宋" w:eastAsia="仿宋" w:hAnsi="仿宋" w:hint="eastAsia"/>
          <w:sz w:val="32"/>
          <w:szCs w:val="32"/>
        </w:rPr>
        <w:t>3000</w:t>
      </w:r>
      <w:r>
        <w:rPr>
          <w:rFonts w:ascii="仿宋" w:eastAsia="仿宋" w:hAnsi="仿宋" w:hint="eastAsia"/>
          <w:sz w:val="32"/>
          <w:szCs w:val="32"/>
        </w:rPr>
        <w:t>平方米及以上的留用土地、征地返还用地、安置房用地。</w:t>
      </w:r>
    </w:p>
    <w:p w:rsidR="00FD578F" w:rsidRDefault="00FB4441">
      <w:pPr>
        <w:pStyle w:val="a3"/>
        <w:ind w:left="142" w:firstLineChars="200" w:firstLine="640"/>
        <w:rPr>
          <w:rFonts w:ascii="仿宋" w:eastAsia="仿宋" w:hAnsi="仿宋"/>
          <w:sz w:val="32"/>
          <w:szCs w:val="32"/>
        </w:rPr>
      </w:pPr>
      <w:r>
        <w:rPr>
          <w:rFonts w:ascii="仿宋" w:eastAsia="仿宋" w:hAnsi="仿宋" w:hint="eastAsia"/>
          <w:sz w:val="32"/>
          <w:szCs w:val="32"/>
        </w:rPr>
        <w:t>除上述所列情形外的，为《办法》中按规定应报区政府审批的情形。</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（四）关于统一收文</w:t>
      </w:r>
    </w:p>
    <w:p w:rsidR="00FD578F" w:rsidRDefault="00FB4441">
      <w:pPr>
        <w:ind w:firstLineChars="200" w:firstLine="640"/>
        <w:rPr>
          <w:rFonts w:ascii="仿宋_GB2312" w:eastAsia="仿宋_GB2312" w:hAnsi="仿宋_GB2312" w:cs="仿宋_GB2312"/>
          <w:sz w:val="32"/>
          <w:szCs w:val="32"/>
        </w:rPr>
      </w:pPr>
      <w:r>
        <w:rPr>
          <w:rFonts w:ascii="仿宋" w:eastAsia="仿宋" w:hAnsi="仿宋" w:hint="eastAsia"/>
          <w:sz w:val="32"/>
          <w:szCs w:val="32"/>
        </w:rPr>
        <w:t>将农用地转用审批、永久占用林地审批、海域使用权审批、国有建设用地使用权审批整合为一个事项，涉及原四个审批事项中的一个或者多个的，均通过本事项办理。</w:t>
      </w:r>
      <w:r>
        <w:rPr>
          <w:rFonts w:ascii="仿宋_GB2312" w:eastAsia="仿宋_GB2312" w:hAnsi="仿宋_GB2312" w:cs="仿宋_GB2312" w:hint="eastAsia"/>
          <w:sz w:val="32"/>
          <w:szCs w:val="32"/>
        </w:rPr>
        <w:t>同时整合申报材料，实现建设项目用地用林用海审批“一个申报主体”、“一张申请表单</w:t>
      </w:r>
      <w:r>
        <w:rPr>
          <w:rFonts w:ascii="仿宋_GB2312" w:eastAsia="仿宋_GB2312" w:hAnsi="仿宋_GB2312" w:cs="仿宋_GB2312" w:hint="eastAsia"/>
          <w:sz w:val="32"/>
          <w:szCs w:val="32"/>
        </w:rPr>
        <w:t>”、“一套申报材料”和“一份办事指南”。</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（五）关于统一办理</w:t>
      </w:r>
    </w:p>
    <w:p w:rsidR="00FD578F" w:rsidRDefault="00FB4441">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将现行的农用地转用审批、国有建设用地使用权审批、永久占用林地审批、海域使用权审批由不同</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整合为一个</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办理；优化业务办理机制，重塑审批工作规则，真正实现一个审批部门、一套审批流程、一个审批机制，推进基层审批体制机制创新。</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（六）关于统一出文</w:t>
      </w:r>
    </w:p>
    <w:p w:rsidR="00FD578F" w:rsidRDefault="00FB444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w:t>
      </w:r>
      <w:proofErr w:type="gramStart"/>
      <w:r>
        <w:rPr>
          <w:rFonts w:ascii="仿宋_GB2312" w:eastAsia="仿宋_GB2312" w:hAnsi="仿宋_GB2312" w:cs="仿宋_GB2312" w:hint="eastAsia"/>
          <w:sz w:val="32"/>
          <w:szCs w:val="32"/>
        </w:rPr>
        <w:t>原同意</w:t>
      </w:r>
      <w:proofErr w:type="gramEnd"/>
      <w:r>
        <w:rPr>
          <w:rFonts w:ascii="仿宋_GB2312" w:eastAsia="仿宋_GB2312" w:hAnsi="仿宋_GB2312" w:cs="仿宋_GB2312" w:hint="eastAsia"/>
          <w:sz w:val="32"/>
          <w:szCs w:val="32"/>
        </w:rPr>
        <w:t>农用地转用、同意使用林地、同意海域使用、同意供地方案四个审批结果统一整合为一个审批结果：《建设项目使用自然资源批准书》。</w:t>
      </w:r>
    </w:p>
    <w:p w:rsidR="00FD578F" w:rsidRDefault="00FB4441">
      <w:pPr>
        <w:ind w:firstLineChars="200" w:firstLine="640"/>
        <w:rPr>
          <w:rFonts w:ascii="仿宋" w:eastAsia="仿宋" w:hAnsi="仿宋"/>
          <w:sz w:val="32"/>
          <w:szCs w:val="32"/>
        </w:rPr>
      </w:pPr>
      <w:r>
        <w:rPr>
          <w:rFonts w:ascii="仿宋" w:eastAsia="仿宋" w:hAnsi="仿宋" w:hint="eastAsia"/>
          <w:sz w:val="32"/>
          <w:szCs w:val="32"/>
        </w:rPr>
        <w:t>开展建设项目用地用林用海审批制度改革的最终目的是实现自然资源管理全链条的融合</w:t>
      </w:r>
      <w:r>
        <w:rPr>
          <w:rFonts w:ascii="仿宋" w:eastAsia="仿宋" w:hAnsi="仿宋" w:hint="eastAsia"/>
          <w:sz w:val="32"/>
          <w:szCs w:val="32"/>
        </w:rPr>
        <w:t>，实现以一个信息平台为依托，一套基础数据、一个规划计划、一个收文事项、一个</w:t>
      </w:r>
      <w:r>
        <w:rPr>
          <w:rFonts w:ascii="仿宋" w:eastAsia="仿宋" w:hAnsi="仿宋" w:hint="eastAsia"/>
          <w:sz w:val="32"/>
          <w:szCs w:val="32"/>
        </w:rPr>
        <w:lastRenderedPageBreak/>
        <w:t>办理部门、一个审批结果、一个缴费通知、一个合同文本、一个登记证照的自然资源全流程统一管理。</w:t>
      </w:r>
    </w:p>
    <w:p w:rsidR="00FD578F" w:rsidRDefault="00FB4441">
      <w:pPr>
        <w:pStyle w:val="a3"/>
        <w:ind w:left="640"/>
        <w:rPr>
          <w:rFonts w:ascii="黑体" w:eastAsia="黑体" w:hAnsi="黑体"/>
          <w:sz w:val="32"/>
          <w:szCs w:val="32"/>
        </w:rPr>
      </w:pPr>
      <w:r>
        <w:rPr>
          <w:rFonts w:ascii="黑体" w:eastAsia="黑体" w:hAnsi="黑体" w:hint="eastAsia"/>
          <w:sz w:val="32"/>
          <w:szCs w:val="32"/>
        </w:rPr>
        <w:t>三、主要制度创新</w:t>
      </w:r>
    </w:p>
    <w:p w:rsidR="00FD578F" w:rsidRDefault="00FB4441">
      <w:pPr>
        <w:pStyle w:val="a3"/>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（一）用地用林用海的多审合一</w:t>
      </w:r>
    </w:p>
    <w:p w:rsidR="00FD578F" w:rsidRDefault="00FB4441">
      <w:pPr>
        <w:ind w:firstLineChars="200" w:firstLine="640"/>
        <w:rPr>
          <w:rFonts w:ascii="仿宋_GB2312" w:eastAsia="仿宋_GB2312" w:hAnsi="仿宋_GB2312" w:cs="仿宋_GB2312"/>
          <w:kern w:val="0"/>
          <w:sz w:val="32"/>
          <w:szCs w:val="32"/>
        </w:rPr>
      </w:pPr>
      <w:r>
        <w:rPr>
          <w:rFonts w:ascii="仿宋" w:eastAsia="仿宋" w:hAnsi="仿宋" w:hint="eastAsia"/>
          <w:sz w:val="32"/>
          <w:szCs w:val="32"/>
        </w:rPr>
        <w:t>在全面梳理用地、用林、用海现有审批机制、审批流程的基础上，对用地用林用海审批事项进行整合再造，</w:t>
      </w:r>
      <w:r>
        <w:rPr>
          <w:rFonts w:ascii="仿宋_GB2312" w:eastAsia="仿宋_GB2312" w:hAnsi="仿宋_GB2312" w:cs="仿宋_GB2312" w:hint="eastAsia"/>
          <w:kern w:val="0"/>
          <w:sz w:val="32"/>
          <w:szCs w:val="32"/>
        </w:rPr>
        <w:t>实现建设项目用地用林用海审批由“三分”审批（分别收文、分别办理、分别出文）优化为“三统”审批（统一收文、统一办理、统一出文）。</w:t>
      </w:r>
    </w:p>
    <w:p w:rsidR="00FD578F" w:rsidRDefault="00FB4441">
      <w:pPr>
        <w:ind w:firstLineChars="200" w:firstLine="643"/>
        <w:rPr>
          <w:rFonts w:ascii="仿宋_GB2312" w:eastAsia="仿宋_GB2312" w:hAnsi="仿宋_GB2312" w:cs="仿宋_GB2312"/>
          <w:b/>
          <w:kern w:val="0"/>
          <w:sz w:val="32"/>
          <w:szCs w:val="32"/>
        </w:rPr>
      </w:pPr>
      <w:r>
        <w:rPr>
          <w:rFonts w:ascii="仿宋" w:eastAsia="仿宋" w:hAnsi="仿宋" w:hint="eastAsia"/>
          <w:b/>
          <w:sz w:val="32"/>
          <w:szCs w:val="32"/>
        </w:rPr>
        <w:t>（</w:t>
      </w:r>
      <w:r>
        <w:rPr>
          <w:rFonts w:ascii="仿宋_GB2312" w:eastAsia="仿宋_GB2312" w:hAnsi="仿宋_GB2312" w:cs="仿宋_GB2312" w:hint="eastAsia"/>
          <w:b/>
          <w:kern w:val="0"/>
          <w:sz w:val="32"/>
          <w:szCs w:val="32"/>
        </w:rPr>
        <w:t>二）用地用林审批的全面融合</w:t>
      </w:r>
    </w:p>
    <w:p w:rsidR="00FD578F" w:rsidRDefault="00FB4441">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将永久占用林地审批融入到农用地转用审批中，参照占用耕地的审批方式，按照农用地转用的审批程序由政府审批；同时将永久占用林地的审批材料、审查要点、审批流程、缴费等完全整合至农用地转用审批中。</w:t>
      </w:r>
    </w:p>
    <w:p w:rsidR="00FD578F" w:rsidRDefault="00FB4441">
      <w:pPr>
        <w:ind w:firstLineChars="200" w:firstLine="643"/>
        <w:rPr>
          <w:rFonts w:ascii="仿宋" w:eastAsia="仿宋" w:hAnsi="仿宋"/>
          <w:b/>
          <w:sz w:val="32"/>
          <w:szCs w:val="32"/>
        </w:rPr>
      </w:pPr>
      <w:r>
        <w:rPr>
          <w:rFonts w:ascii="仿宋" w:eastAsia="仿宋" w:hAnsi="仿宋" w:hint="eastAsia"/>
          <w:b/>
          <w:sz w:val="32"/>
          <w:szCs w:val="32"/>
        </w:rPr>
        <w:t>（三）费用缴交方式的路径统一</w:t>
      </w:r>
    </w:p>
    <w:p w:rsidR="00FD578F" w:rsidRDefault="00FB4441">
      <w:pPr>
        <w:ind w:firstLineChars="200" w:firstLine="640"/>
        <w:rPr>
          <w:rFonts w:ascii="仿宋" w:eastAsia="仿宋" w:hAnsi="仿宋"/>
          <w:sz w:val="32"/>
          <w:szCs w:val="32"/>
        </w:rPr>
      </w:pPr>
      <w:r>
        <w:rPr>
          <w:rFonts w:ascii="仿宋" w:eastAsia="仿宋" w:hAnsi="仿宋" w:hint="eastAsia"/>
          <w:sz w:val="32"/>
          <w:szCs w:val="32"/>
        </w:rPr>
        <w:t>将新增建设用地土地有偿使用费和森林植被恢复费整合，统一出具缴费通知单，由市财政部门缴纳。将土地使用权出让金和海域使用金整合，统一核发缴款通知书，由建设项目单位缴纳。</w:t>
      </w:r>
    </w:p>
    <w:p w:rsidR="00FD578F" w:rsidRDefault="00FB4441">
      <w:pPr>
        <w:ind w:firstLineChars="200" w:firstLine="643"/>
        <w:rPr>
          <w:rFonts w:ascii="仿宋" w:eastAsia="仿宋" w:hAnsi="仿宋"/>
          <w:b/>
          <w:sz w:val="32"/>
          <w:szCs w:val="32"/>
        </w:rPr>
      </w:pPr>
      <w:r>
        <w:rPr>
          <w:rFonts w:ascii="仿宋" w:eastAsia="仿宋" w:hAnsi="仿宋" w:hint="eastAsia"/>
          <w:b/>
          <w:sz w:val="32"/>
          <w:szCs w:val="32"/>
        </w:rPr>
        <w:t>（四）使用年限的设定统一</w:t>
      </w:r>
    </w:p>
    <w:p w:rsidR="00FD578F" w:rsidRDefault="00FB4441">
      <w:pPr>
        <w:ind w:firstLineChars="200" w:firstLine="640"/>
        <w:rPr>
          <w:rFonts w:ascii="仿宋" w:eastAsia="仿宋" w:hAnsi="仿宋"/>
          <w:sz w:val="32"/>
          <w:szCs w:val="32"/>
        </w:rPr>
      </w:pPr>
      <w:r>
        <w:rPr>
          <w:rFonts w:ascii="仿宋" w:eastAsia="仿宋" w:hAnsi="仿宋" w:hint="eastAsia"/>
          <w:sz w:val="32"/>
          <w:szCs w:val="32"/>
        </w:rPr>
        <w:t>用地用海以划拨方式供应的，</w:t>
      </w:r>
      <w:proofErr w:type="gramStart"/>
      <w:r>
        <w:rPr>
          <w:rFonts w:ascii="仿宋" w:eastAsia="仿宋" w:hAnsi="仿宋" w:hint="eastAsia"/>
          <w:sz w:val="32"/>
          <w:szCs w:val="32"/>
        </w:rPr>
        <w:t>不</w:t>
      </w:r>
      <w:proofErr w:type="gramEnd"/>
      <w:r>
        <w:rPr>
          <w:rFonts w:ascii="仿宋" w:eastAsia="仿宋" w:hAnsi="仿宋" w:hint="eastAsia"/>
          <w:sz w:val="32"/>
          <w:szCs w:val="32"/>
        </w:rPr>
        <w:t>设定使用年限；用地用海以出让方式供应的，</w:t>
      </w:r>
      <w:r w:rsidR="006776CD">
        <w:rPr>
          <w:rFonts w:ascii="仿宋" w:eastAsia="仿宋" w:hAnsi="仿宋" w:hint="eastAsia"/>
          <w:sz w:val="32"/>
          <w:szCs w:val="32"/>
        </w:rPr>
        <w:t>统一按照土地使用年限</w:t>
      </w:r>
      <w:r>
        <w:rPr>
          <w:rFonts w:ascii="仿宋" w:eastAsia="仿宋" w:hAnsi="仿宋" w:hint="eastAsia"/>
          <w:sz w:val="32"/>
          <w:szCs w:val="32"/>
        </w:rPr>
        <w:t>设定；单独用</w:t>
      </w:r>
      <w:r>
        <w:rPr>
          <w:rFonts w:ascii="仿宋" w:eastAsia="仿宋" w:hAnsi="仿宋" w:hint="eastAsia"/>
          <w:sz w:val="32"/>
          <w:szCs w:val="32"/>
        </w:rPr>
        <w:lastRenderedPageBreak/>
        <w:t>海的按照海域使</w:t>
      </w:r>
      <w:bookmarkStart w:id="0" w:name="_GoBack"/>
      <w:bookmarkEnd w:id="0"/>
      <w:r>
        <w:rPr>
          <w:rFonts w:ascii="仿宋" w:eastAsia="仿宋" w:hAnsi="仿宋" w:hint="eastAsia"/>
          <w:sz w:val="32"/>
          <w:szCs w:val="32"/>
        </w:rPr>
        <w:t>用管理规定设定。</w:t>
      </w:r>
    </w:p>
    <w:p w:rsidR="00FD578F" w:rsidRDefault="00FB4441">
      <w:pPr>
        <w:pStyle w:val="a3"/>
        <w:ind w:left="640"/>
        <w:rPr>
          <w:rFonts w:ascii="黑体" w:eastAsia="黑体" w:hAnsi="黑体"/>
          <w:sz w:val="32"/>
          <w:szCs w:val="32"/>
        </w:rPr>
      </w:pPr>
      <w:r>
        <w:rPr>
          <w:rFonts w:ascii="黑体" w:eastAsia="黑体" w:hAnsi="黑体" w:hint="eastAsia"/>
          <w:sz w:val="32"/>
          <w:szCs w:val="32"/>
        </w:rPr>
        <w:t>四、《办法》出台的意义</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开展建设项目用地用林用海审批制度改革主要有以下意义：</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有利于纵横融合，实现自然资源全链条全要素统一管理。通过建设项目用地用林用海改革，一方面横向拓展，在实现地、林、海管理全面融合的基础上，进一步拓展研究建立自然资源统一落实用途管制制度的路径，实现自然资源全链条、全要素统一管理。另一方面纵向链接，在探索用地用林用海“多费”、“多金”统一管理的基础上，为国家</w:t>
      </w:r>
      <w:r>
        <w:rPr>
          <w:rFonts w:ascii="仿宋_GB2312" w:eastAsia="仿宋_GB2312" w:hAnsi="仿宋_GB2312" w:cs="仿宋_GB2312" w:hint="eastAsia"/>
          <w:kern w:val="0"/>
          <w:sz w:val="32"/>
          <w:szCs w:val="32"/>
        </w:rPr>
        <w:t>、省层面开展相关费、税改革提供实践经验。同时，以用地用林用海“多审合一”“多证合一”为抓手，促进加快开展多</w:t>
      </w:r>
      <w:proofErr w:type="gramStart"/>
      <w:r>
        <w:rPr>
          <w:rFonts w:ascii="仿宋_GB2312" w:eastAsia="仿宋_GB2312" w:hAnsi="仿宋_GB2312" w:cs="仿宋_GB2312" w:hint="eastAsia"/>
          <w:kern w:val="0"/>
          <w:sz w:val="32"/>
          <w:szCs w:val="32"/>
        </w:rPr>
        <w:t>调合</w:t>
      </w:r>
      <w:proofErr w:type="gramEnd"/>
      <w:r>
        <w:rPr>
          <w:rFonts w:ascii="仿宋_GB2312" w:eastAsia="仿宋_GB2312" w:hAnsi="仿宋_GB2312" w:cs="仿宋_GB2312" w:hint="eastAsia"/>
          <w:kern w:val="0"/>
          <w:sz w:val="32"/>
          <w:szCs w:val="32"/>
        </w:rPr>
        <w:t>一、多测合一、多验合一等基础性工作。</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是有利于深化“放管服”，构建良好营商环境。通过建设项目用地用林用海改革，构建用地用林用海审批的“一张申请表单”、“一套申报材料”、“一份办事指南”，真正实现项目单位“只跑一次腿”、“一次就办好”，为全国自然资源领域“放管服”改革向纵深发力，进一步改善营商环境提供可推广、可复制的实践经验。</w:t>
      </w:r>
    </w:p>
    <w:p w:rsidR="00FD578F" w:rsidRDefault="00FB4441">
      <w:pPr>
        <w:pStyle w:val="a3"/>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三是有利于提高效率，推进基层审批体制机制创新。开展建设项目用地用林用海审</w:t>
      </w:r>
      <w:r>
        <w:rPr>
          <w:rFonts w:ascii="仿宋_GB2312" w:eastAsia="仿宋_GB2312" w:hAnsi="仿宋_GB2312" w:cs="仿宋_GB2312" w:hint="eastAsia"/>
          <w:kern w:val="0"/>
          <w:sz w:val="32"/>
          <w:szCs w:val="32"/>
        </w:rPr>
        <w:t>批制度改革，有利于打破部门壁垒、业务壁垒，促进基层进一步优化业务办理机制、重塑审</w:t>
      </w:r>
      <w:r>
        <w:rPr>
          <w:rFonts w:ascii="仿宋_GB2312" w:eastAsia="仿宋_GB2312" w:hAnsi="仿宋_GB2312" w:cs="仿宋_GB2312" w:hint="eastAsia"/>
          <w:kern w:val="0"/>
          <w:sz w:val="32"/>
          <w:szCs w:val="32"/>
        </w:rPr>
        <w:lastRenderedPageBreak/>
        <w:t>批规则、优化部门职能，真正实现一个审批主体、一个审批部门、一个审批结果，大幅提高建设项目审批效率。</w:t>
      </w:r>
    </w:p>
    <w:p w:rsidR="00FD578F" w:rsidRDefault="00FB4441">
      <w:pPr>
        <w:ind w:firstLineChars="200" w:firstLine="640"/>
        <w:rPr>
          <w:rFonts w:ascii="仿宋" w:eastAsia="仿宋" w:hAnsi="仿宋" w:cs="Times New Roman"/>
          <w:sz w:val="32"/>
          <w:szCs w:val="32"/>
        </w:rPr>
      </w:pPr>
      <w:r>
        <w:rPr>
          <w:rFonts w:ascii="仿宋" w:eastAsia="仿宋" w:hAnsi="仿宋" w:hint="eastAsia"/>
          <w:sz w:val="32"/>
          <w:szCs w:val="32"/>
        </w:rPr>
        <w:t xml:space="preserve">  </w:t>
      </w:r>
      <w:r>
        <w:rPr>
          <w:rFonts w:ascii="仿宋" w:eastAsia="仿宋" w:hAnsi="仿宋" w:cs="Times New Roman" w:hint="eastAsia"/>
          <w:sz w:val="32"/>
          <w:szCs w:val="32"/>
        </w:rPr>
        <w:t>特此说明。</w:t>
      </w:r>
    </w:p>
    <w:p w:rsidR="00FD578F" w:rsidRDefault="00FD578F">
      <w:pPr>
        <w:rPr>
          <w:rFonts w:ascii="仿宋" w:eastAsia="仿宋" w:hAnsi="仿宋" w:cs="Times New Roman"/>
          <w:sz w:val="32"/>
          <w:szCs w:val="32"/>
        </w:rPr>
      </w:pPr>
    </w:p>
    <w:p w:rsidR="00FD578F" w:rsidRDefault="00FB4441">
      <w:pPr>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hint="eastAsia"/>
          <w:sz w:val="32"/>
          <w:szCs w:val="32"/>
        </w:rPr>
        <w:t>市规划和自然资源局</w:t>
      </w:r>
    </w:p>
    <w:p w:rsidR="00FD578F" w:rsidRDefault="00FB4441">
      <w:pPr>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2020</w:t>
      </w:r>
      <w:r>
        <w:rPr>
          <w:rFonts w:ascii="仿宋" w:eastAsia="仿宋" w:hAnsi="仿宋" w:cs="Times New Roman" w:hint="eastAsia"/>
          <w:sz w:val="32"/>
          <w:szCs w:val="32"/>
        </w:rPr>
        <w:t>年</w:t>
      </w:r>
      <w:r>
        <w:rPr>
          <w:rFonts w:ascii="仿宋" w:eastAsia="仿宋" w:hAnsi="仿宋" w:cs="Times New Roman" w:hint="eastAsia"/>
          <w:sz w:val="32"/>
          <w:szCs w:val="32"/>
        </w:rPr>
        <w:t>12</w:t>
      </w:r>
      <w:r>
        <w:rPr>
          <w:rFonts w:ascii="仿宋" w:eastAsia="仿宋" w:hAnsi="仿宋" w:cs="Times New Roman" w:hint="eastAsia"/>
          <w:sz w:val="32"/>
          <w:szCs w:val="32"/>
        </w:rPr>
        <w:t>月</w:t>
      </w:r>
      <w:r>
        <w:rPr>
          <w:rFonts w:ascii="仿宋" w:eastAsia="仿宋" w:hAnsi="仿宋" w:cs="Times New Roman" w:hint="eastAsia"/>
          <w:sz w:val="32"/>
          <w:szCs w:val="32"/>
        </w:rPr>
        <w:t>2</w:t>
      </w:r>
      <w:r>
        <w:rPr>
          <w:rFonts w:ascii="仿宋" w:eastAsia="仿宋" w:hAnsi="仿宋" w:cs="Times New Roman" w:hint="eastAsia"/>
          <w:sz w:val="32"/>
          <w:szCs w:val="32"/>
        </w:rPr>
        <w:t>日</w:t>
      </w:r>
    </w:p>
    <w:p w:rsidR="00FD578F" w:rsidRDefault="00FB4441">
      <w:pPr>
        <w:pStyle w:val="a3"/>
        <w:ind w:firstLineChars="200" w:firstLine="640"/>
        <w:rPr>
          <w:rFonts w:ascii="仿宋_GB2312" w:eastAsia="仿宋_GB2312" w:hAnsi="仿宋_GB2312" w:cs="仿宋_GB2312"/>
          <w:kern w:val="0"/>
          <w:sz w:val="32"/>
          <w:szCs w:val="32"/>
        </w:rPr>
      </w:pPr>
      <w:r>
        <w:rPr>
          <w:rFonts w:ascii="仿宋" w:eastAsia="仿宋" w:hAnsi="仿宋" w:hint="eastAsia"/>
          <w:sz w:val="32"/>
          <w:szCs w:val="32"/>
        </w:rPr>
        <w:t xml:space="preserve">                                                                      </w:t>
      </w:r>
    </w:p>
    <w:sectPr w:rsidR="00FD5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C8"/>
    <w:rsid w:val="00010CE6"/>
    <w:rsid w:val="00010E99"/>
    <w:rsid w:val="00011739"/>
    <w:rsid w:val="00024184"/>
    <w:rsid w:val="00044FAB"/>
    <w:rsid w:val="00047F61"/>
    <w:rsid w:val="00055940"/>
    <w:rsid w:val="0005713B"/>
    <w:rsid w:val="00057645"/>
    <w:rsid w:val="000629DB"/>
    <w:rsid w:val="00077240"/>
    <w:rsid w:val="000901D8"/>
    <w:rsid w:val="000A2FD3"/>
    <w:rsid w:val="000A3F21"/>
    <w:rsid w:val="000A41AA"/>
    <w:rsid w:val="000A6CFD"/>
    <w:rsid w:val="000B1E82"/>
    <w:rsid w:val="000C7AC8"/>
    <w:rsid w:val="000D352C"/>
    <w:rsid w:val="000D47FB"/>
    <w:rsid w:val="000D5FA5"/>
    <w:rsid w:val="000E38E9"/>
    <w:rsid w:val="000E4C0B"/>
    <w:rsid w:val="000F1F11"/>
    <w:rsid w:val="00105D32"/>
    <w:rsid w:val="00121833"/>
    <w:rsid w:val="00123DD6"/>
    <w:rsid w:val="00124A99"/>
    <w:rsid w:val="0014279E"/>
    <w:rsid w:val="00147E26"/>
    <w:rsid w:val="001514EF"/>
    <w:rsid w:val="001527B0"/>
    <w:rsid w:val="001709C5"/>
    <w:rsid w:val="0019501E"/>
    <w:rsid w:val="001B0CCB"/>
    <w:rsid w:val="001B1269"/>
    <w:rsid w:val="001B6055"/>
    <w:rsid w:val="001C6132"/>
    <w:rsid w:val="001E2054"/>
    <w:rsid w:val="002000B2"/>
    <w:rsid w:val="002067C9"/>
    <w:rsid w:val="00217F17"/>
    <w:rsid w:val="00223A74"/>
    <w:rsid w:val="00232E70"/>
    <w:rsid w:val="00235B8F"/>
    <w:rsid w:val="00236E65"/>
    <w:rsid w:val="00260CF7"/>
    <w:rsid w:val="0026684A"/>
    <w:rsid w:val="00274053"/>
    <w:rsid w:val="00284DB9"/>
    <w:rsid w:val="0029549B"/>
    <w:rsid w:val="002B510C"/>
    <w:rsid w:val="002D04BC"/>
    <w:rsid w:val="002E6C3E"/>
    <w:rsid w:val="00301902"/>
    <w:rsid w:val="0031005F"/>
    <w:rsid w:val="0031120D"/>
    <w:rsid w:val="00314927"/>
    <w:rsid w:val="0031615D"/>
    <w:rsid w:val="0033732A"/>
    <w:rsid w:val="003407F7"/>
    <w:rsid w:val="00354C45"/>
    <w:rsid w:val="00363612"/>
    <w:rsid w:val="00380184"/>
    <w:rsid w:val="00386639"/>
    <w:rsid w:val="00394225"/>
    <w:rsid w:val="003E499A"/>
    <w:rsid w:val="003F02FC"/>
    <w:rsid w:val="003F3AA3"/>
    <w:rsid w:val="00400387"/>
    <w:rsid w:val="00410FD4"/>
    <w:rsid w:val="00412A14"/>
    <w:rsid w:val="0043695E"/>
    <w:rsid w:val="00482F71"/>
    <w:rsid w:val="00483212"/>
    <w:rsid w:val="00493981"/>
    <w:rsid w:val="00497F78"/>
    <w:rsid w:val="004B5DC0"/>
    <w:rsid w:val="004D3D5A"/>
    <w:rsid w:val="004E56DC"/>
    <w:rsid w:val="004F5EB9"/>
    <w:rsid w:val="00501D24"/>
    <w:rsid w:val="0050238A"/>
    <w:rsid w:val="0050577F"/>
    <w:rsid w:val="005419D7"/>
    <w:rsid w:val="0054251E"/>
    <w:rsid w:val="0055164D"/>
    <w:rsid w:val="00551DAD"/>
    <w:rsid w:val="00552A8E"/>
    <w:rsid w:val="00557442"/>
    <w:rsid w:val="00564C0B"/>
    <w:rsid w:val="00577533"/>
    <w:rsid w:val="005842A0"/>
    <w:rsid w:val="005B1169"/>
    <w:rsid w:val="005B1D91"/>
    <w:rsid w:val="005B2967"/>
    <w:rsid w:val="005C0E28"/>
    <w:rsid w:val="005D2D2E"/>
    <w:rsid w:val="005E0340"/>
    <w:rsid w:val="005E1352"/>
    <w:rsid w:val="005E5EF1"/>
    <w:rsid w:val="005F17CB"/>
    <w:rsid w:val="00603187"/>
    <w:rsid w:val="0060634A"/>
    <w:rsid w:val="00627940"/>
    <w:rsid w:val="00642A9A"/>
    <w:rsid w:val="00653C10"/>
    <w:rsid w:val="00657F54"/>
    <w:rsid w:val="006662B3"/>
    <w:rsid w:val="00676CB5"/>
    <w:rsid w:val="006776CD"/>
    <w:rsid w:val="00692CA7"/>
    <w:rsid w:val="0069444B"/>
    <w:rsid w:val="00696179"/>
    <w:rsid w:val="00696805"/>
    <w:rsid w:val="006A62BC"/>
    <w:rsid w:val="006B1E0E"/>
    <w:rsid w:val="006B3360"/>
    <w:rsid w:val="006C05BC"/>
    <w:rsid w:val="006E626A"/>
    <w:rsid w:val="006F0D47"/>
    <w:rsid w:val="006F549B"/>
    <w:rsid w:val="006F7BF9"/>
    <w:rsid w:val="00743F4A"/>
    <w:rsid w:val="00751A4C"/>
    <w:rsid w:val="0077037E"/>
    <w:rsid w:val="0077244B"/>
    <w:rsid w:val="007A462C"/>
    <w:rsid w:val="007A6AC1"/>
    <w:rsid w:val="007B13C1"/>
    <w:rsid w:val="007B5724"/>
    <w:rsid w:val="007B5B0B"/>
    <w:rsid w:val="00802E88"/>
    <w:rsid w:val="00816FCF"/>
    <w:rsid w:val="00822459"/>
    <w:rsid w:val="00830F69"/>
    <w:rsid w:val="0084374C"/>
    <w:rsid w:val="008653DB"/>
    <w:rsid w:val="00874A0A"/>
    <w:rsid w:val="00874E1E"/>
    <w:rsid w:val="008759FA"/>
    <w:rsid w:val="008A636B"/>
    <w:rsid w:val="008B6E2B"/>
    <w:rsid w:val="008C24FA"/>
    <w:rsid w:val="008C489F"/>
    <w:rsid w:val="008D357D"/>
    <w:rsid w:val="009122EA"/>
    <w:rsid w:val="009264CD"/>
    <w:rsid w:val="00932BBE"/>
    <w:rsid w:val="00946BEA"/>
    <w:rsid w:val="00962534"/>
    <w:rsid w:val="0097231C"/>
    <w:rsid w:val="00972C7A"/>
    <w:rsid w:val="0098453A"/>
    <w:rsid w:val="00992FB9"/>
    <w:rsid w:val="00997990"/>
    <w:rsid w:val="009A0672"/>
    <w:rsid w:val="009A2FC1"/>
    <w:rsid w:val="009E0451"/>
    <w:rsid w:val="009F3E12"/>
    <w:rsid w:val="009F55E4"/>
    <w:rsid w:val="00A20B1A"/>
    <w:rsid w:val="00A2595E"/>
    <w:rsid w:val="00A263A2"/>
    <w:rsid w:val="00A37228"/>
    <w:rsid w:val="00A713E2"/>
    <w:rsid w:val="00A7799F"/>
    <w:rsid w:val="00A97549"/>
    <w:rsid w:val="00AA3DF7"/>
    <w:rsid w:val="00AF7A63"/>
    <w:rsid w:val="00B02DA7"/>
    <w:rsid w:val="00B0757B"/>
    <w:rsid w:val="00B1127E"/>
    <w:rsid w:val="00B165BB"/>
    <w:rsid w:val="00B300FF"/>
    <w:rsid w:val="00B30B4C"/>
    <w:rsid w:val="00B365D0"/>
    <w:rsid w:val="00B56B30"/>
    <w:rsid w:val="00B654FF"/>
    <w:rsid w:val="00B76575"/>
    <w:rsid w:val="00B80829"/>
    <w:rsid w:val="00B80BAB"/>
    <w:rsid w:val="00B91D29"/>
    <w:rsid w:val="00BC1FF3"/>
    <w:rsid w:val="00BD06F0"/>
    <w:rsid w:val="00BD1E0E"/>
    <w:rsid w:val="00BD3A84"/>
    <w:rsid w:val="00C02FD9"/>
    <w:rsid w:val="00C15E7F"/>
    <w:rsid w:val="00C171F2"/>
    <w:rsid w:val="00C2786C"/>
    <w:rsid w:val="00C46FFA"/>
    <w:rsid w:val="00C538F5"/>
    <w:rsid w:val="00C73FC2"/>
    <w:rsid w:val="00C75566"/>
    <w:rsid w:val="00C85745"/>
    <w:rsid w:val="00C8666D"/>
    <w:rsid w:val="00C86B91"/>
    <w:rsid w:val="00CA2019"/>
    <w:rsid w:val="00CB05A1"/>
    <w:rsid w:val="00CB53F2"/>
    <w:rsid w:val="00CB5AD6"/>
    <w:rsid w:val="00CB5E98"/>
    <w:rsid w:val="00CE52A3"/>
    <w:rsid w:val="00CE7F67"/>
    <w:rsid w:val="00CF3773"/>
    <w:rsid w:val="00D067CB"/>
    <w:rsid w:val="00D35AEC"/>
    <w:rsid w:val="00D42BA2"/>
    <w:rsid w:val="00D464FE"/>
    <w:rsid w:val="00D50C92"/>
    <w:rsid w:val="00D60AAE"/>
    <w:rsid w:val="00D631E9"/>
    <w:rsid w:val="00D7397E"/>
    <w:rsid w:val="00D82ABB"/>
    <w:rsid w:val="00D82D2B"/>
    <w:rsid w:val="00D82FCE"/>
    <w:rsid w:val="00D93651"/>
    <w:rsid w:val="00DA27D2"/>
    <w:rsid w:val="00DC1635"/>
    <w:rsid w:val="00DC230A"/>
    <w:rsid w:val="00DD0E6B"/>
    <w:rsid w:val="00DE0797"/>
    <w:rsid w:val="00DE6FA8"/>
    <w:rsid w:val="00DE7789"/>
    <w:rsid w:val="00DF6186"/>
    <w:rsid w:val="00E0206F"/>
    <w:rsid w:val="00E12E4C"/>
    <w:rsid w:val="00E13D0B"/>
    <w:rsid w:val="00E2021E"/>
    <w:rsid w:val="00E2039F"/>
    <w:rsid w:val="00E213DC"/>
    <w:rsid w:val="00E30576"/>
    <w:rsid w:val="00E32A50"/>
    <w:rsid w:val="00E442B9"/>
    <w:rsid w:val="00E53F54"/>
    <w:rsid w:val="00E625A8"/>
    <w:rsid w:val="00E92311"/>
    <w:rsid w:val="00E9327F"/>
    <w:rsid w:val="00EA30D5"/>
    <w:rsid w:val="00EA3989"/>
    <w:rsid w:val="00EA4A5C"/>
    <w:rsid w:val="00EB4C36"/>
    <w:rsid w:val="00EC772B"/>
    <w:rsid w:val="00ED0B0F"/>
    <w:rsid w:val="00EE19A0"/>
    <w:rsid w:val="00EF4AD9"/>
    <w:rsid w:val="00EF57C8"/>
    <w:rsid w:val="00F07CFA"/>
    <w:rsid w:val="00F13192"/>
    <w:rsid w:val="00F2432A"/>
    <w:rsid w:val="00F272C9"/>
    <w:rsid w:val="00F309EE"/>
    <w:rsid w:val="00F335CA"/>
    <w:rsid w:val="00F340F1"/>
    <w:rsid w:val="00F3540E"/>
    <w:rsid w:val="00F46F8E"/>
    <w:rsid w:val="00F80FA6"/>
    <w:rsid w:val="00F8612A"/>
    <w:rsid w:val="00F95351"/>
    <w:rsid w:val="00FB1C06"/>
    <w:rsid w:val="00FB4441"/>
    <w:rsid w:val="00FC7392"/>
    <w:rsid w:val="00FD578F"/>
    <w:rsid w:val="00FF1D58"/>
    <w:rsid w:val="34AD6FBA"/>
    <w:rsid w:val="4559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character" w:styleId="a8">
    <w:name w:val="footnote reference"/>
    <w:basedOn w:val="a0"/>
    <w:uiPriority w:val="99"/>
    <w:semiHidden/>
    <w:unhideWhenUsed/>
    <w:rPr>
      <w:vertAlign w:val="superscript"/>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0">
    <w:name w:val="批注框文本 Char"/>
    <w:basedOn w:val="a0"/>
    <w:link w:val="a4"/>
    <w:uiPriority w:val="99"/>
    <w:semiHidden/>
    <w:rPr>
      <w:sz w:val="18"/>
      <w:szCs w:val="18"/>
    </w:rPr>
  </w:style>
  <w:style w:type="character" w:customStyle="1" w:styleId="Char3">
    <w:name w:val="脚注文本 Char"/>
    <w:basedOn w:val="a0"/>
    <w:link w:val="a7"/>
    <w:uiPriority w:val="99"/>
    <w:semiHidden/>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character" w:styleId="a8">
    <w:name w:val="footnote reference"/>
    <w:basedOn w:val="a0"/>
    <w:uiPriority w:val="99"/>
    <w:semiHidden/>
    <w:unhideWhenUsed/>
    <w:rPr>
      <w:vertAlign w:val="superscript"/>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0">
    <w:name w:val="批注框文本 Char"/>
    <w:basedOn w:val="a0"/>
    <w:link w:val="a4"/>
    <w:uiPriority w:val="99"/>
    <w:semiHidden/>
    <w:rPr>
      <w:sz w:val="18"/>
      <w:szCs w:val="18"/>
    </w:rPr>
  </w:style>
  <w:style w:type="character" w:customStyle="1" w:styleId="Char3">
    <w:name w:val="脚注文本 Char"/>
    <w:basedOn w:val="a0"/>
    <w:link w:val="a7"/>
    <w:uiPriority w:val="99"/>
    <w:semiHidden/>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E2201-7E51-45E3-8AFD-291A7EA2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540</Words>
  <Characters>3079</Characters>
  <Application>Microsoft Office Word</Application>
  <DocSecurity>0</DocSecurity>
  <Lines>25</Lines>
  <Paragraphs>7</Paragraphs>
  <ScaleCrop>false</ScaleCrop>
  <Company>Chinese ORG</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谢静媚</dc:creator>
  <cp:lastModifiedBy>谢静媚</cp:lastModifiedBy>
  <cp:revision>2</cp:revision>
  <cp:lastPrinted>2020-12-02T07:30:00Z</cp:lastPrinted>
  <dcterms:created xsi:type="dcterms:W3CDTF">2020-12-02T08:27:00Z</dcterms:created>
  <dcterms:modified xsi:type="dcterms:W3CDTF">2020-12-02T08:27:00Z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