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2</w:t>
      </w:r>
    </w:p>
    <w:p>
      <w:pPr>
        <w:spacing w:line="560" w:lineRule="exact"/>
        <w:rPr>
          <w:rFonts w:ascii="黑体" w:hAnsi="黑体" w:eastAsia="黑体"/>
          <w:sz w:val="32"/>
          <w:szCs w:val="32"/>
        </w:rPr>
      </w:pPr>
    </w:p>
    <w:p>
      <w:pPr>
        <w:spacing w:line="560" w:lineRule="exact"/>
        <w:jc w:val="center"/>
        <w:rPr>
          <w:rFonts w:ascii="方正小标宋_GBK" w:hAnsi="方正小标宋_GBK" w:eastAsia="方正小标宋_GBK" w:cs="方正小标宋_GBK"/>
          <w:sz w:val="44"/>
          <w:szCs w:val="44"/>
        </w:rPr>
      </w:pPr>
      <w:r>
        <w:rPr>
          <w:rFonts w:hint="eastAsia" w:ascii="方正小标宋_GBK" w:eastAsia="方正小标宋_GBK"/>
          <w:sz w:val="44"/>
          <w:szCs w:val="44"/>
        </w:rPr>
        <w:t>《</w:t>
      </w:r>
      <w:r>
        <w:rPr>
          <w:rFonts w:hint="eastAsia" w:ascii="方正小标宋_GBK" w:hAnsi="方正小标宋_GBK" w:eastAsia="方正小标宋_GBK" w:cs="方正小标宋_GBK"/>
          <w:sz w:val="44"/>
          <w:szCs w:val="44"/>
          <w:lang w:val="zh-TW" w:eastAsia="zh-TW"/>
        </w:rPr>
        <w:t>深圳市关于加快</w:t>
      </w:r>
      <w:r>
        <w:rPr>
          <w:rFonts w:hint="eastAsia" w:ascii="方正小标宋_GBK" w:hAnsi="方正小标宋_GBK" w:eastAsia="方正小标宋_GBK" w:cs="方正小标宋_GBK"/>
          <w:sz w:val="44"/>
          <w:szCs w:val="44"/>
        </w:rPr>
        <w:t>构建双循环新发展格局</w:t>
      </w:r>
      <w:r>
        <w:rPr>
          <w:rFonts w:hint="eastAsia" w:ascii="方正小标宋_GBK" w:hAnsi="方正小标宋_GBK" w:eastAsia="方正小标宋_GBK" w:cs="方正小标宋_GBK"/>
          <w:sz w:val="44"/>
          <w:szCs w:val="44"/>
          <w:lang w:val="zh-TW" w:eastAsia="zh-TW"/>
        </w:rPr>
        <w:t>建设国际消费中心城市的若干措施</w:t>
      </w:r>
      <w:r>
        <w:rPr>
          <w:rFonts w:hint="eastAsia" w:ascii="方正小标宋_GBK" w:eastAsia="方正小标宋_GBK"/>
          <w:sz w:val="44"/>
          <w:szCs w:val="44"/>
        </w:rPr>
        <w:t>》</w:t>
      </w:r>
    </w:p>
    <w:p>
      <w:pPr>
        <w:spacing w:line="560" w:lineRule="exact"/>
        <w:jc w:val="center"/>
        <w:rPr>
          <w:rFonts w:ascii="方正小标宋_GBK" w:hAnsi="方正小标宋_GBK" w:eastAsia="方正小标宋_GBK" w:cs="方正小标宋_GBK"/>
          <w:sz w:val="44"/>
          <w:szCs w:val="44"/>
          <w:lang w:val="zh-TW" w:eastAsia="zh-TW"/>
        </w:rPr>
      </w:pPr>
      <w:r>
        <w:rPr>
          <w:rFonts w:hint="eastAsia" w:ascii="方正小标宋_GBK" w:eastAsia="方正小标宋_GBK"/>
          <w:sz w:val="44"/>
          <w:szCs w:val="44"/>
        </w:rPr>
        <w:t>起草说明</w:t>
      </w:r>
    </w:p>
    <w:p>
      <w:pPr>
        <w:spacing w:line="560" w:lineRule="exact"/>
      </w:pPr>
    </w:p>
    <w:p>
      <w:pPr>
        <w:spacing w:line="560" w:lineRule="exact"/>
        <w:ind w:firstLine="640" w:firstLineChars="200"/>
        <w:rPr>
          <w:rFonts w:ascii="仿宋_GB2312" w:eastAsia="仿宋_GB2312"/>
          <w:sz w:val="32"/>
          <w:szCs w:val="32"/>
          <w:lang w:val="zh-TW"/>
        </w:rPr>
      </w:pPr>
      <w:r>
        <w:rPr>
          <w:rFonts w:ascii="仿宋_GB2312" w:eastAsia="仿宋_GB2312"/>
          <w:sz w:val="32"/>
          <w:szCs w:val="32"/>
          <w:lang w:val="zh-TW" w:eastAsia="zh-TW"/>
        </w:rPr>
        <w:t>为</w:t>
      </w:r>
      <w:r>
        <w:rPr>
          <w:rFonts w:ascii="仿宋_GB2312" w:eastAsia="仿宋_GB2312"/>
          <w:sz w:val="32"/>
          <w:szCs w:val="32"/>
        </w:rPr>
        <w:t>深入贯彻</w:t>
      </w:r>
      <w:r>
        <w:rPr>
          <w:rFonts w:ascii="仿宋_GB2312" w:eastAsia="仿宋_GB2312"/>
          <w:sz w:val="32"/>
          <w:szCs w:val="32"/>
          <w:lang w:val="zh-TW" w:eastAsia="zh-TW"/>
        </w:rPr>
        <w:t>落实中央</w:t>
      </w:r>
      <w:r>
        <w:rPr>
          <w:rFonts w:ascii="仿宋_GB2312" w:eastAsia="仿宋_GB2312"/>
          <w:sz w:val="32"/>
          <w:szCs w:val="32"/>
          <w:lang w:val="zh-TW"/>
        </w:rPr>
        <w:t>、</w:t>
      </w:r>
      <w:r>
        <w:rPr>
          <w:rFonts w:ascii="仿宋_GB2312" w:eastAsia="仿宋_GB2312"/>
          <w:sz w:val="32"/>
          <w:szCs w:val="32"/>
          <w:lang w:val="zh-TW" w:eastAsia="zh-TW"/>
        </w:rPr>
        <w:t>省</w:t>
      </w:r>
      <w:r>
        <w:rPr>
          <w:rFonts w:ascii="仿宋_GB2312" w:eastAsia="仿宋_GB2312"/>
          <w:sz w:val="32"/>
          <w:szCs w:val="32"/>
          <w:lang w:val="zh-TW"/>
        </w:rPr>
        <w:t>、</w:t>
      </w:r>
      <w:r>
        <w:rPr>
          <w:rFonts w:ascii="仿宋_GB2312" w:eastAsia="仿宋_GB2312"/>
          <w:sz w:val="32"/>
          <w:szCs w:val="32"/>
        </w:rPr>
        <w:t>市关于坚持扩大内需加快形成强大国内市场，构建双循环新发展格局的决策部署，牢牢把握粤港澳大湾区、深圳先行示范区“双区建设”和实施深圳综合改革试点重大历史机遇，</w:t>
      </w:r>
      <w:r>
        <w:rPr>
          <w:rFonts w:hint="eastAsia" w:ascii="仿宋_GB2312" w:hAnsi="仿宋_GB2312" w:eastAsia="仿宋_GB2312" w:cs="仿宋_GB2312"/>
          <w:sz w:val="32"/>
          <w:szCs w:val="32"/>
        </w:rPr>
        <w:t>加快</w:t>
      </w:r>
      <w:r>
        <w:rPr>
          <w:rFonts w:ascii="仿宋_GB2312" w:hAnsi="仿宋_GB2312" w:eastAsia="仿宋_GB2312" w:cs="仿宋_GB2312"/>
          <w:sz w:val="32"/>
          <w:szCs w:val="32"/>
          <w:lang w:val="zh-TW" w:eastAsia="zh-TW"/>
        </w:rPr>
        <w:t>建设立足大湾区、</w:t>
      </w:r>
      <w:r>
        <w:rPr>
          <w:rFonts w:ascii="仿宋_GB2312" w:hAnsi="仿宋_GB2312" w:eastAsia="仿宋_GB2312" w:cs="仿宋_GB2312"/>
          <w:sz w:val="32"/>
          <w:szCs w:val="32"/>
        </w:rPr>
        <w:t>辐射全国、</w:t>
      </w:r>
      <w:r>
        <w:rPr>
          <w:rFonts w:ascii="仿宋_GB2312" w:hAnsi="仿宋_GB2312" w:eastAsia="仿宋_GB2312" w:cs="仿宋_GB2312"/>
          <w:sz w:val="32"/>
          <w:szCs w:val="32"/>
          <w:lang w:val="zh-TW" w:eastAsia="zh-TW"/>
        </w:rPr>
        <w:t>面向全球的国际消费中心城市，</w:t>
      </w:r>
      <w:r>
        <w:rPr>
          <w:rFonts w:hint="eastAsia" w:ascii="仿宋_GB2312" w:eastAsia="仿宋_GB2312"/>
          <w:sz w:val="32"/>
          <w:szCs w:val="32"/>
          <w:lang w:val="zh-TW"/>
        </w:rPr>
        <w:t>我局起草了《深圳市关于加快构建双循环新发展格局建设国际消费中心城市的若干措施》（以下简称《措施》），现就有关情况说明如下：</w:t>
      </w:r>
    </w:p>
    <w:p>
      <w:pPr>
        <w:spacing w:line="560" w:lineRule="exact"/>
        <w:ind w:firstLine="640" w:firstLineChars="200"/>
        <w:rPr>
          <w:rFonts w:ascii="黑体" w:hAnsi="黑体" w:eastAsia="黑体"/>
          <w:sz w:val="32"/>
          <w:szCs w:val="32"/>
          <w:lang w:val="zh-TW"/>
        </w:rPr>
      </w:pPr>
      <w:r>
        <w:rPr>
          <w:rFonts w:hint="eastAsia" w:ascii="黑体" w:hAnsi="黑体" w:eastAsia="黑体"/>
          <w:sz w:val="32"/>
          <w:szCs w:val="32"/>
          <w:lang w:val="zh-TW"/>
        </w:rPr>
        <w:t>一、起草背景</w:t>
      </w:r>
    </w:p>
    <w:p>
      <w:pPr>
        <w:spacing w:line="560" w:lineRule="exact"/>
        <w:ind w:firstLine="640" w:firstLineChars="200"/>
        <w:rPr>
          <w:rFonts w:ascii="楷体_GB2312" w:hAnsi="楷体" w:eastAsia="楷体_GB2312" w:cs="楷体"/>
          <w:kern w:val="0"/>
          <w:sz w:val="32"/>
          <w:szCs w:val="32"/>
        </w:rPr>
      </w:pPr>
      <w:r>
        <w:rPr>
          <w:rFonts w:hint="eastAsia" w:ascii="楷体_GB2312" w:hAnsi="楷体" w:eastAsia="楷体_GB2312" w:cs="楷体"/>
          <w:kern w:val="0"/>
          <w:sz w:val="32"/>
          <w:szCs w:val="32"/>
        </w:rPr>
        <w:t>（一）是深圳加快构建“双循环新发展格局”的重要举措</w:t>
      </w:r>
    </w:p>
    <w:p>
      <w:pPr>
        <w:spacing w:line="560"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2020年全国两会上，习近平总书记提出要“逐步形成以国内大循环为主体、国内国际双循环相互促进的新发展格局。”市委六届十五次全会提出打造畅通国内循环、参与国际循环的“深圳样本”。本《措施》紧紧围绕中央、省、市部署，着眼于发挥深圳创新优势、产业优势和贸易优势，一方面要打造全面丰富和提升消费供给的“深圳样本”，为畅通国内市场贡献更多高品质商品、服务和品牌；另一方面要打造汇聚全球消费资源的“深圳样本”，建设全球商品、服务、时尚等等消费要素的枢纽，出台措施实施“深圳</w:t>
      </w:r>
      <w:r>
        <w:rPr>
          <w:rFonts w:hint="eastAsia" w:ascii="仿宋_GB2312" w:hAnsi="仿宋" w:eastAsia="仿宋_GB2312" w:cs="仿宋"/>
          <w:kern w:val="0"/>
          <w:sz w:val="32"/>
          <w:szCs w:val="32"/>
          <w:lang w:eastAsia="zh-CN"/>
        </w:rPr>
        <w:t>瞪羚</w:t>
      </w:r>
      <w:r>
        <w:rPr>
          <w:rFonts w:hint="eastAsia" w:ascii="仿宋_GB2312" w:hAnsi="仿宋" w:eastAsia="仿宋_GB2312" w:cs="仿宋"/>
          <w:kern w:val="0"/>
          <w:sz w:val="32"/>
          <w:szCs w:val="32"/>
        </w:rPr>
        <w:t>计划”，大力发展“首店经济”和“首发经济”等。</w:t>
      </w:r>
    </w:p>
    <w:p>
      <w:pPr>
        <w:spacing w:line="560" w:lineRule="exact"/>
        <w:ind w:firstLine="640" w:firstLineChars="200"/>
        <w:rPr>
          <w:rFonts w:ascii="楷体_GB2312" w:hAnsi="楷体" w:eastAsia="楷体_GB2312" w:cs="楷体"/>
          <w:kern w:val="0"/>
          <w:sz w:val="32"/>
          <w:szCs w:val="32"/>
        </w:rPr>
      </w:pPr>
      <w:r>
        <w:rPr>
          <w:rFonts w:hint="eastAsia" w:ascii="楷体_GB2312" w:hAnsi="楷体" w:eastAsia="楷体_GB2312" w:cs="楷体"/>
          <w:kern w:val="0"/>
          <w:sz w:val="32"/>
          <w:szCs w:val="32"/>
        </w:rPr>
        <w:t>（二）是落实市委关于建设“全球重要的商贸中心城市”的关键支撑</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市委《关于制定深圳市国民经济和社会发展第十四个五年规划和二</w:t>
      </w:r>
      <w:r>
        <w:rPr>
          <w:rFonts w:hint="eastAsia" w:ascii="宋体" w:hAnsi="宋体" w:eastAsia="宋体" w:cs="宋体"/>
          <w:sz w:val="32"/>
          <w:szCs w:val="32"/>
        </w:rPr>
        <w:t>〇</w:t>
      </w:r>
      <w:r>
        <w:rPr>
          <w:rFonts w:hint="eastAsia" w:ascii="仿宋_GB2312" w:hAnsi="仿宋_GB2312" w:eastAsia="仿宋_GB2312" w:cs="仿宋_GB2312"/>
          <w:sz w:val="32"/>
          <w:szCs w:val="32"/>
        </w:rPr>
        <w:t>三五年远景目标的建议</w:t>
      </w:r>
      <w:r>
        <w:rPr>
          <w:rFonts w:hint="eastAsia" w:ascii="仿宋_GB2312" w:eastAsia="仿宋_GB2312"/>
          <w:sz w:val="32"/>
          <w:szCs w:val="32"/>
        </w:rPr>
        <w:t>》提出到二</w:t>
      </w:r>
      <w:r>
        <w:rPr>
          <w:rFonts w:hint="eastAsia" w:ascii="宋体" w:hAnsi="宋体" w:eastAsia="宋体" w:cs="宋体"/>
          <w:sz w:val="32"/>
          <w:szCs w:val="32"/>
        </w:rPr>
        <w:t>〇</w:t>
      </w:r>
      <w:r>
        <w:rPr>
          <w:rFonts w:hint="eastAsia" w:ascii="仿宋_GB2312" w:hAnsi="仿宋_GB2312" w:eastAsia="仿宋_GB2312" w:cs="仿宋_GB2312"/>
          <w:sz w:val="32"/>
          <w:szCs w:val="32"/>
        </w:rPr>
        <w:t>三</w:t>
      </w:r>
      <w:r>
        <w:rPr>
          <w:rFonts w:hint="eastAsia" w:ascii="宋体" w:hAnsi="宋体" w:eastAsia="宋体" w:cs="宋体"/>
          <w:sz w:val="32"/>
          <w:szCs w:val="32"/>
        </w:rPr>
        <w:t>〇</w:t>
      </w:r>
      <w:r>
        <w:rPr>
          <w:rFonts w:hint="eastAsia" w:ascii="仿宋_GB2312" w:hAnsi="仿宋_GB2312" w:eastAsia="仿宋_GB2312" w:cs="仿宋_GB2312"/>
          <w:sz w:val="32"/>
          <w:szCs w:val="32"/>
        </w:rPr>
        <w:t>年要建成全球重要的商贸中心</w:t>
      </w:r>
      <w:r>
        <w:rPr>
          <w:rFonts w:hint="eastAsia" w:ascii="仿宋_GB2312" w:eastAsia="仿宋_GB2312"/>
          <w:sz w:val="32"/>
          <w:szCs w:val="32"/>
        </w:rPr>
        <w:t>，要求形成需求牵引供给、供给创造需求的更高水平动态平衡</w:t>
      </w:r>
      <w:r>
        <w:rPr>
          <w:rFonts w:hint="eastAsia" w:ascii="仿宋_GB2312" w:eastAsia="仿宋_GB2312"/>
          <w:sz w:val="32"/>
          <w:szCs w:val="32"/>
          <w:lang w:eastAsia="zh-CN"/>
        </w:rPr>
        <w:t>，为此要加快建设国际消费中心城市，打造国际国内旅游消费目的地，吸引集聚高端消费</w:t>
      </w:r>
      <w:r>
        <w:rPr>
          <w:rFonts w:hint="eastAsia" w:ascii="仿宋_GB2312" w:eastAsia="仿宋_GB2312"/>
          <w:sz w:val="32"/>
          <w:szCs w:val="32"/>
        </w:rPr>
        <w:t>。本《措施》系统性、全方位推进深圳建设国际消费中心城市，出台一系列前瞻性、针对性的措施，朝着汇聚全球顶级消费资源、打造消费资源的全球配置枢纽、培育创新型领军商业企业等目标发力，将极大提升我市的商贸发展质量，将极大提高我市在全国乃至全球商业领域的话语权，为建设“全球重要的商贸中心城市”构建关键支撑。</w:t>
      </w:r>
    </w:p>
    <w:p>
      <w:pPr>
        <w:spacing w:line="560" w:lineRule="exact"/>
        <w:ind w:firstLine="640" w:firstLineChars="200"/>
        <w:rPr>
          <w:rFonts w:ascii="楷体_GB2312" w:hAnsi="楷体" w:eastAsia="楷体_GB2312" w:cs="楷体"/>
          <w:kern w:val="0"/>
          <w:sz w:val="32"/>
          <w:szCs w:val="32"/>
        </w:rPr>
      </w:pPr>
      <w:r>
        <w:rPr>
          <w:rFonts w:hint="eastAsia" w:ascii="楷体_GB2312" w:hAnsi="楷体" w:eastAsia="楷体_GB2312" w:cs="楷体"/>
          <w:kern w:val="0"/>
          <w:sz w:val="32"/>
          <w:szCs w:val="32"/>
        </w:rPr>
        <w:t>（三）是丰富城市功能提升城市魅力建设现代化强国城市范例的重要内容</w:t>
      </w:r>
    </w:p>
    <w:p>
      <w:pPr>
        <w:spacing w:line="560"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市委六届十七次全会提出，“十四五”时期要抓紧创建社会主义现代化强国的城市范例。高质量的消费供给不仅是城市发展重要的、稳定动能，也是未来城市必不可少的重要功能，更是现代化城市重要的魅力所在。因此，建设国际消费中心城市，是现代化强国城市范例的重要内容。本《措施》以提升城市消费能力、更好满足市民以及商旅客流日益增长的美好生活需要为根本遵循，对建设国际一流商业空间载体、发展多元高端消费场景、创建享誉全球的消费环境等给予政策支持和资金扶持，就是要对标全球一流，推动我市消费供给质量、供给体系的全面提升，有助于增强我市的国内国际吸引力。</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二、重点措施说明</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措施》主要内容共部七分，合计26条。重点聚焦于补齐商业和消费领域发展短板，锻强我市的优势长板，培育引领消费时尚的平台和领先的商业企业，打造具有全球影响力的大湾区消费高地。重要措施主要围绕推动解决制约消费高质量发展的体制机制问题、发展新业态新模式和培育龙头企业等。</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第一部分是“加快建设国际一流商业载体”，包括加强商业设施建设统筹规划、打造大湾区顶流消费新地标、建设国际一流商业消费街区等3条政策，计划从商业用地保障、高端商业项目、一流商业街区建设等三个方面给予支持。</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第二部分是“加快聚集全球顶级消费资源”，包括汇聚高端消费品牌资源、引入国际一流商业企业、打造消费资源全球配置枢纽、提升消费品供给水平和推动免税经济加快发展等5条政策，计划大力发展“首店经济”“首发经济”，实施“</w:t>
      </w:r>
      <w:r>
        <w:rPr>
          <w:rFonts w:hint="eastAsia" w:ascii="仿宋_GB2312" w:eastAsia="仿宋_GB2312"/>
          <w:sz w:val="32"/>
          <w:szCs w:val="32"/>
          <w:lang w:eastAsia="zh-CN"/>
        </w:rPr>
        <w:t>品牌瞪羚</w:t>
      </w:r>
      <w:r>
        <w:rPr>
          <w:rFonts w:hint="eastAsia" w:ascii="仿宋_GB2312" w:eastAsia="仿宋_GB2312"/>
          <w:sz w:val="32"/>
          <w:szCs w:val="32"/>
        </w:rPr>
        <w:t>计划”，规划建设大湾区免税城和深化境外游客离境退税政策效果等方面予以支持。</w:t>
      </w:r>
    </w:p>
    <w:p>
      <w:pPr>
        <w:pStyle w:val="2"/>
        <w:spacing w:line="560" w:lineRule="exact"/>
        <w:ind w:firstLine="640"/>
        <w:rPr>
          <w:rFonts w:ascii="仿宋_GB2312" w:eastAsia="仿宋_GB2312"/>
          <w:sz w:val="32"/>
          <w:szCs w:val="32"/>
        </w:rPr>
      </w:pPr>
      <w:r>
        <w:rPr>
          <w:rFonts w:hint="eastAsia" w:ascii="仿宋_GB2312" w:eastAsia="仿宋_GB2312"/>
          <w:sz w:val="32"/>
          <w:szCs w:val="32"/>
        </w:rPr>
        <w:t>第三部分是“大力培育创新型领军商业企业”，包括实施“深商卓越计划”、加快推进企业数字化、打造全球新零售发展高地等3条政策，计划从鼓励企业做大规模、企业数字化和新零售发展等方面给予支持。</w:t>
      </w:r>
    </w:p>
    <w:p>
      <w:pPr>
        <w:pStyle w:val="2"/>
        <w:spacing w:line="560" w:lineRule="exact"/>
        <w:ind w:firstLine="640"/>
        <w:rPr>
          <w:rFonts w:ascii="仿宋_GB2312" w:eastAsia="仿宋_GB2312"/>
          <w:sz w:val="32"/>
          <w:szCs w:val="32"/>
        </w:rPr>
      </w:pPr>
      <w:r>
        <w:rPr>
          <w:rFonts w:hint="eastAsia" w:ascii="仿宋_GB2312" w:eastAsia="仿宋_GB2312"/>
          <w:sz w:val="32"/>
          <w:szCs w:val="32"/>
        </w:rPr>
        <w:t>第四部分是“积极发展多元高端消费场景”，包括加快布局潮玩潮购消费新场景、全面升级文旅体消费新场景、大力拓展高端服务消费新场景等3条措施，规划布局一批迎合个性化、多样化、体验型消费需求的消费新场景，极大丰富我市消费供给，提升消费各领域满意度、知名度和吸引力。</w:t>
      </w:r>
    </w:p>
    <w:p>
      <w:pPr>
        <w:pStyle w:val="2"/>
        <w:spacing w:line="560" w:lineRule="exact"/>
        <w:ind w:firstLine="640"/>
        <w:rPr>
          <w:rFonts w:ascii="仿宋_GB2312" w:eastAsia="仿宋_GB2312"/>
          <w:sz w:val="32"/>
          <w:szCs w:val="32"/>
        </w:rPr>
      </w:pPr>
      <w:r>
        <w:rPr>
          <w:rFonts w:hint="eastAsia" w:ascii="仿宋_GB2312" w:eastAsia="仿宋_GB2312"/>
          <w:sz w:val="32"/>
          <w:szCs w:val="32"/>
        </w:rPr>
        <w:t>第五部分是“加快创建享誉全球的消费环境”，包括提升国际化消费服务功能、加快完善新型商业基础设施、打造“放心消费之城”等3条政策，计划依托国际化街区建设、智慧城市建设等重点工作，全面提升我市消费领域软硬件环境，打造国际一流的消费环境，构建对接国际规则的消费保障体系，大力提升消费满意度。</w:t>
      </w:r>
    </w:p>
    <w:p>
      <w:pPr>
        <w:pStyle w:val="2"/>
        <w:spacing w:line="560" w:lineRule="exact"/>
        <w:ind w:firstLine="640"/>
        <w:rPr>
          <w:rFonts w:ascii="仿宋_GB2312" w:eastAsia="仿宋_GB2312"/>
          <w:sz w:val="32"/>
          <w:szCs w:val="32"/>
        </w:rPr>
      </w:pPr>
      <w:r>
        <w:rPr>
          <w:rFonts w:hint="eastAsia" w:ascii="仿宋_GB2312" w:eastAsia="仿宋_GB2312"/>
          <w:sz w:val="32"/>
          <w:szCs w:val="32"/>
        </w:rPr>
        <w:t>第六部分是“厚植商业发展的肥沃土壤”，包括降低企业综合运营成本、主动实施审慎包容监管、强化商业高端人才支撑、开展“深圳购物”整体营销、加强粤港澳等区域消费市场联动等5条政策，计划从运营成本、监管环境、人才聚集、城市消费嘉年华整体推广和大湾区消费市场联动等方面采取一</w:t>
      </w:r>
      <w:r>
        <w:rPr>
          <w:rFonts w:hint="eastAsia" w:ascii="仿宋_GB2312" w:eastAsia="仿宋_GB2312"/>
          <w:sz w:val="32"/>
          <w:szCs w:val="32"/>
          <w:lang w:eastAsia="zh-CN"/>
        </w:rPr>
        <w:t>系列</w:t>
      </w:r>
      <w:bookmarkStart w:id="0" w:name="_GoBack"/>
      <w:bookmarkEnd w:id="0"/>
      <w:r>
        <w:rPr>
          <w:rFonts w:hint="eastAsia" w:ascii="仿宋_GB2312" w:eastAsia="仿宋_GB2312"/>
          <w:sz w:val="32"/>
          <w:szCs w:val="32"/>
        </w:rPr>
        <w:t>措施，构建最有竞争力的营商环境。</w:t>
      </w:r>
    </w:p>
    <w:p>
      <w:pPr>
        <w:pStyle w:val="2"/>
        <w:spacing w:line="560" w:lineRule="exact"/>
        <w:ind w:firstLine="640"/>
        <w:rPr>
          <w:rFonts w:ascii="仿宋_GB2312" w:eastAsia="仿宋_GB2312"/>
          <w:sz w:val="32"/>
          <w:szCs w:val="32"/>
        </w:rPr>
      </w:pPr>
      <w:r>
        <w:rPr>
          <w:rFonts w:hint="eastAsia" w:ascii="仿宋_GB2312" w:eastAsia="仿宋_GB2312"/>
          <w:sz w:val="32"/>
          <w:szCs w:val="32"/>
        </w:rPr>
        <w:t>第七部分是“健全国际消费中心城市建设体制机制”，从切实加强组织领导、健全工作考核机制和加快推进重大项目三个方面着手，全面加强建设国际消费中心城市各项工作的保障，推动各项任务、各项措施、各项工作落到实处。</w:t>
      </w:r>
    </w:p>
    <w:p>
      <w:pPr>
        <w:pStyle w:val="2"/>
        <w:spacing w:line="560" w:lineRule="exact"/>
        <w:ind w:firstLine="640"/>
        <w:rPr>
          <w:rFonts w:ascii="仿宋_GB2312" w:eastAsia="仿宋_GB2312"/>
          <w:sz w:val="32"/>
          <w:szCs w:val="32"/>
          <w:lang w:eastAsia="zh-TW"/>
        </w:rPr>
      </w:pPr>
      <w:r>
        <w:rPr>
          <w:rFonts w:hint="eastAsia" w:ascii="仿宋_GB2312" w:hAnsi="仿宋" w:eastAsia="仿宋_GB2312"/>
          <w:sz w:val="32"/>
          <w:szCs w:val="32"/>
        </w:rPr>
        <w:t>第八部分是附则，规定本《措施》的有效期，同时明确</w:t>
      </w:r>
      <w:r>
        <w:rPr>
          <w:rFonts w:ascii="仿宋_GB2312" w:hAnsi="仿宋_GB2312" w:eastAsia="仿宋_GB2312" w:cs="仿宋_GB2312"/>
          <w:sz w:val="32"/>
          <w:szCs w:val="32"/>
          <w:lang w:val="zh-TW"/>
        </w:rPr>
        <w:t>《深圳市人民政府关于印发进一步促进消费增长的若干措施》、《深圳市人民政府办公厅关于印发进一步激发消费活力促进消费增长若干措施的通知》</w:t>
      </w:r>
      <w:r>
        <w:rPr>
          <w:rFonts w:hint="eastAsia" w:ascii="仿宋_GB2312" w:hAnsi="仿宋_GB2312" w:eastAsia="仿宋_GB2312" w:cs="仿宋_GB2312"/>
          <w:sz w:val="32"/>
          <w:szCs w:val="32"/>
          <w:lang w:val="zh-TW"/>
        </w:rPr>
        <w:t>同步</w:t>
      </w:r>
      <w:r>
        <w:rPr>
          <w:rFonts w:ascii="仿宋_GB2312" w:hAnsi="仿宋_GB2312" w:eastAsia="仿宋_GB2312" w:cs="仿宋_GB2312"/>
          <w:sz w:val="32"/>
          <w:szCs w:val="32"/>
          <w:lang w:val="zh-TW"/>
        </w:rPr>
        <w:t>废止。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B1E9D95-3A92-40B3-A6DD-5C9BD93840E9}"/>
  </w:font>
  <w:font w:name="Arial">
    <w:panose1 w:val="020B0604020202020204"/>
    <w:charset w:val="01"/>
    <w:family w:val="swiss"/>
    <w:pitch w:val="default"/>
    <w:sig w:usb0="E0002AFF" w:usb1="C0007843" w:usb2="00000009" w:usb3="00000000" w:csb0="400001FF" w:csb1="FFFF0000"/>
    <w:embedRegular r:id="rId2" w:fontKey="{7761DD86-83CC-4C3D-9C62-177E6718A3F5}"/>
  </w:font>
  <w:font w:name="黑体">
    <w:panose1 w:val="02010609060101010101"/>
    <w:charset w:val="86"/>
    <w:family w:val="auto"/>
    <w:pitch w:val="default"/>
    <w:sig w:usb0="800002BF" w:usb1="38CF7CFA" w:usb2="00000016" w:usb3="00000000" w:csb0="00040001" w:csb1="00000000"/>
    <w:embedRegular r:id="rId3" w:fontKey="{6C240F7C-0BE9-4505-8118-E8E8051F8C57}"/>
  </w:font>
  <w:font w:name="Courier New">
    <w:panose1 w:val="02070309020205020404"/>
    <w:charset w:val="01"/>
    <w:family w:val="modern"/>
    <w:pitch w:val="default"/>
    <w:sig w:usb0="E0002AFF" w:usb1="C0007843" w:usb2="00000009" w:usb3="00000000" w:csb0="400001FF" w:csb1="FFFF0000"/>
    <w:embedRegular r:id="rId4" w:fontKey="{74DA9E12-FF73-4FE4-8FFF-04AA69EBDA2D}"/>
  </w:font>
  <w:font w:name="Symbol">
    <w:panose1 w:val="05050102010706020507"/>
    <w:charset w:val="02"/>
    <w:family w:val="roman"/>
    <w:pitch w:val="default"/>
    <w:sig w:usb0="00000000" w:usb1="00000000" w:usb2="00000000" w:usb3="00000000" w:csb0="80000000" w:csb1="00000000"/>
    <w:embedRegular r:id="rId5" w:fontKey="{E9F6A6EF-5FB8-4091-A10B-B4A9A3035A0D}"/>
  </w:font>
  <w:font w:name="Calibri">
    <w:panose1 w:val="020F0502020204030204"/>
    <w:charset w:val="00"/>
    <w:family w:val="swiss"/>
    <w:pitch w:val="default"/>
    <w:sig w:usb0="E00002FF" w:usb1="4000ACFF" w:usb2="00000001" w:usb3="00000000" w:csb0="2000019F" w:csb1="00000000"/>
    <w:embedRegular r:id="rId6" w:fontKey="{77EF452D-45C1-4209-BA46-2EFD0583B17A}"/>
  </w:font>
  <w:font w:name="文星仿宋">
    <w:altName w:val="仿宋"/>
    <w:panose1 w:val="00000000000000000000"/>
    <w:charset w:val="86"/>
    <w:family w:val="auto"/>
    <w:pitch w:val="default"/>
    <w:sig w:usb0="00000000" w:usb1="00000000" w:usb2="00000010" w:usb3="00000000" w:csb0="00040001" w:csb1="00000000"/>
  </w:font>
  <w:font w:name="方正小标宋_GBK">
    <w:panose1 w:val="03000509000000000000"/>
    <w:charset w:val="86"/>
    <w:family w:val="script"/>
    <w:pitch w:val="default"/>
    <w:sig w:usb0="00000001" w:usb1="080E0000" w:usb2="00000000" w:usb3="00000000" w:csb0="00040000" w:csb1="00000000"/>
    <w:embedRegular r:id="rId7" w:fontKey="{D4F25A22-3E51-493C-897D-DB0C392479FB}"/>
  </w:font>
  <w:font w:name="仿宋_GB2312">
    <w:panose1 w:val="02010609030101010101"/>
    <w:charset w:val="86"/>
    <w:family w:val="modern"/>
    <w:pitch w:val="default"/>
    <w:sig w:usb0="00000001" w:usb1="080E0000" w:usb2="00000000" w:usb3="00000000" w:csb0="00040000" w:csb1="00000000"/>
    <w:embedRegular r:id="rId8" w:fontKey="{4FFF397D-08EF-42D4-B5A5-09C0887BFD8F}"/>
  </w:font>
  <w:font w:name="楷体_GB2312">
    <w:altName w:val="楷体"/>
    <w:panose1 w:val="02010609030101010101"/>
    <w:charset w:val="86"/>
    <w:family w:val="modern"/>
    <w:pitch w:val="default"/>
    <w:sig w:usb0="00000000" w:usb1="00000000" w:usb2="00000000" w:usb3="00000000" w:csb0="00040000" w:csb1="00000000"/>
    <w:embedRegular r:id="rId9" w:fontKey="{5EC291D9-0404-4471-B7A2-948CBE640A84}"/>
  </w:font>
  <w:font w:name="楷体">
    <w:panose1 w:val="02010609060101010101"/>
    <w:charset w:val="86"/>
    <w:family w:val="modern"/>
    <w:pitch w:val="default"/>
    <w:sig w:usb0="800002BF" w:usb1="38CF7CFA" w:usb2="00000016" w:usb3="00000000" w:csb0="00040001" w:csb1="00000000"/>
    <w:embedRegular r:id="rId10" w:fontKey="{A08E33D1-1E2B-42DF-8036-887EE85C70CC}"/>
  </w:font>
  <w:font w:name="仿宋">
    <w:panose1 w:val="02010609060101010101"/>
    <w:charset w:val="86"/>
    <w:family w:val="modern"/>
    <w:pitch w:val="default"/>
    <w:sig w:usb0="800002BF" w:usb1="38CF7CFA" w:usb2="00000016" w:usb3="00000000" w:csb0="00040001" w:csb1="00000000"/>
    <w:embedRegular r:id="rId11" w:fontKey="{E3B06EAF-F089-4C09-9225-FF2000790DD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37"/>
    <w:rsid w:val="00026AF8"/>
    <w:rsid w:val="000971B4"/>
    <w:rsid w:val="001C71A5"/>
    <w:rsid w:val="001C72DF"/>
    <w:rsid w:val="0022418F"/>
    <w:rsid w:val="002C287B"/>
    <w:rsid w:val="0031029C"/>
    <w:rsid w:val="00364A12"/>
    <w:rsid w:val="003B12DB"/>
    <w:rsid w:val="00467637"/>
    <w:rsid w:val="006F359C"/>
    <w:rsid w:val="00AA7886"/>
    <w:rsid w:val="00B22179"/>
    <w:rsid w:val="00B54346"/>
    <w:rsid w:val="00D6157D"/>
    <w:rsid w:val="00D66E24"/>
    <w:rsid w:val="00F07219"/>
    <w:rsid w:val="00F11FC3"/>
    <w:rsid w:val="00F72761"/>
    <w:rsid w:val="00FA76A5"/>
    <w:rsid w:val="00FE0420"/>
    <w:rsid w:val="03FA2154"/>
    <w:rsid w:val="148D70FB"/>
    <w:rsid w:val="1B7A5638"/>
    <w:rsid w:val="1BBC3CD9"/>
    <w:rsid w:val="207A458F"/>
    <w:rsid w:val="249F2C6D"/>
    <w:rsid w:val="25B125CE"/>
    <w:rsid w:val="318B0CAA"/>
    <w:rsid w:val="35B350A4"/>
    <w:rsid w:val="3AD35224"/>
    <w:rsid w:val="41242BD1"/>
    <w:rsid w:val="5431709B"/>
    <w:rsid w:val="59AB6F16"/>
    <w:rsid w:val="61FC53BD"/>
    <w:rsid w:val="6FE65507"/>
    <w:rsid w:val="72150E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4"/>
    </w:rPr>
  </w:style>
  <w:style w:type="paragraph" w:styleId="3">
    <w:name w:val="Body Text"/>
    <w:basedOn w:val="1"/>
    <w:qFormat/>
    <w:uiPriority w:val="0"/>
    <w:rPr>
      <w:rFonts w:eastAsia="文星仿宋"/>
      <w:sz w:val="3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346</Words>
  <Characters>1974</Characters>
  <Lines>16</Lines>
  <Paragraphs>4</Paragraphs>
  <TotalTime>45</TotalTime>
  <ScaleCrop>false</ScaleCrop>
  <LinksUpToDate>false</LinksUpToDate>
  <CharactersWithSpaces>2316</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2021-04-19T09:50:00Z</dcterms:created>
  <dc:creator>柴正茂</dc:creator>
  <cp:lastModifiedBy>好饭友</cp:lastModifiedBy>
  <dcterms:modified xsi:type="dcterms:W3CDTF">2021-04-26T09:45:27Z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280325365_embed</vt:lpwstr>
  </property>
  <property fmtid="{D5CDD505-2E9C-101B-9397-08002B2CF9AE}" pid="4" name="ICV">
    <vt:lpwstr>7D39D89240A74456A5D39A135D0BEE40</vt:lpwstr>
  </property>
</Properties>
</file>