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宋体"/>
          <w:sz w:val="32"/>
          <w:szCs w:val="32"/>
          <w:lang w:val="en-US" w:eastAsia="zh-CN"/>
        </w:rPr>
      </w:pPr>
      <w:r>
        <w:rPr>
          <w:rFonts w:hint="eastAsia" w:ascii="黑体" w:hAnsi="黑体" w:eastAsia="黑体" w:cs="宋体"/>
          <w:sz w:val="32"/>
          <w:szCs w:val="32"/>
        </w:rPr>
        <w:t>附件</w:t>
      </w:r>
      <w:bookmarkStart w:id="3" w:name="_GoBack"/>
      <w:bookmarkEnd w:id="3"/>
    </w:p>
    <w:p>
      <w:pPr>
        <w:spacing w:line="580" w:lineRule="exact"/>
        <w:jc w:val="center"/>
        <w:rPr>
          <w:rFonts w:ascii="方正小标宋简体" w:hAnsi="黑体" w:eastAsia="方正小标宋简体" w:cs="黑体"/>
          <w:sz w:val="40"/>
          <w:szCs w:val="40"/>
        </w:rPr>
      </w:pPr>
      <w:bookmarkStart w:id="0" w:name="_Hlk15901372"/>
      <w:r>
        <w:rPr>
          <w:rFonts w:hint="eastAsia" w:ascii="方正小标宋简体" w:hAnsi="黑体" w:eastAsia="方正小标宋简体" w:cs="黑体"/>
          <w:sz w:val="40"/>
          <w:szCs w:val="40"/>
        </w:rPr>
        <w:t>深圳市关于</w:t>
      </w:r>
      <w:bookmarkStart w:id="1" w:name="_Hlk81324276"/>
      <w:r>
        <w:rPr>
          <w:rFonts w:hint="eastAsia" w:ascii="方正小标宋简体" w:hAnsi="黑体" w:eastAsia="方正小标宋简体" w:cs="黑体"/>
          <w:sz w:val="40"/>
          <w:szCs w:val="40"/>
        </w:rPr>
        <w:t>深化初中阶段理科实验教学与测评</w:t>
      </w:r>
    </w:p>
    <w:p>
      <w:pPr>
        <w:spacing w:line="580" w:lineRule="exact"/>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改革的实施意见</w:t>
      </w:r>
      <w:bookmarkEnd w:id="1"/>
      <w:r>
        <w:rPr>
          <w:rFonts w:hint="eastAsia" w:ascii="方正小标宋简体" w:hAnsi="黑体" w:eastAsia="方正小标宋简体" w:cs="黑体"/>
          <w:sz w:val="40"/>
          <w:szCs w:val="40"/>
        </w:rPr>
        <w:t>（试行）</w:t>
      </w:r>
      <w:bookmarkEnd w:id="0"/>
      <w:r>
        <w:rPr>
          <w:rFonts w:hint="eastAsia" w:ascii="方正小标宋简体" w:hAnsi="黑体" w:eastAsia="方正小标宋简体" w:cs="黑体"/>
          <w:sz w:val="40"/>
          <w:szCs w:val="40"/>
        </w:rPr>
        <w:t>（征求意见稿）</w:t>
      </w:r>
    </w:p>
    <w:p>
      <w:pPr>
        <w:spacing w:line="580" w:lineRule="exact"/>
        <w:rPr>
          <w:rFonts w:ascii="黑体" w:hAnsi="黑体" w:eastAsia="黑体" w:cs="黑体"/>
          <w:sz w:val="32"/>
          <w:szCs w:val="32"/>
        </w:rPr>
      </w:pP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为深入贯彻2018年全国教育大会精神，进一步落实</w:t>
      </w:r>
      <w:r>
        <w:rPr>
          <w:rFonts w:hint="eastAsia" w:ascii="仿宋_GB2312" w:hAnsi="仿宋" w:eastAsia="仿宋_GB2312" w:cs="仿宋"/>
          <w:sz w:val="32"/>
          <w:szCs w:val="32"/>
        </w:rPr>
        <w:t>《教育部关于加强和改进中小学实验教学的意见》（教基〔2019〕16号）、</w:t>
      </w:r>
      <w:r>
        <w:rPr>
          <w:rFonts w:hint="eastAsia" w:ascii="仿宋_GB2312" w:hAnsi="宋体" w:eastAsia="仿宋_GB2312" w:cs="宋体"/>
          <w:sz w:val="32"/>
          <w:szCs w:val="32"/>
        </w:rPr>
        <w:t>《广东省教育厅关于加强和改进中小学实验教学的实施意见》（粤教装备〔2020〕1号）、《广东省教育厅关于初中学业水平考试物理、化学、生物学等科目实验考试的指导意见》（粤教考〔2020〕7号）等文件精神，深化教育评价考试制度改革，构建具有深圳特色的基础教育发展新生态，培养学生的实践创新能力，推动基础教育高质量发展，现就我市初中阶段理科（物理、化学、生物）实验教学和测评改革工作提出如下意见。</w:t>
      </w:r>
    </w:p>
    <w:p>
      <w:pPr>
        <w:spacing w:line="580" w:lineRule="exact"/>
        <w:ind w:firstLine="640" w:firstLineChars="200"/>
        <w:rPr>
          <w:rFonts w:ascii="黑体" w:hAnsi="黑体" w:eastAsia="黑体" w:cs="宋体"/>
          <w:bCs/>
          <w:sz w:val="32"/>
          <w:szCs w:val="32"/>
        </w:rPr>
      </w:pPr>
      <w:r>
        <w:rPr>
          <w:rFonts w:hint="eastAsia" w:ascii="黑体" w:hAnsi="黑体" w:eastAsia="黑体" w:cs="宋体"/>
          <w:bCs/>
          <w:sz w:val="32"/>
          <w:szCs w:val="32"/>
        </w:rPr>
        <w:t>一、充分认识初中理科实验教学与测评改革的重要意义</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初中理科教育是我国科学教育体系中承上启下的重要环节，加强初中理科教育，有利于引领小学科学教育方式和评价方式的变革，有利于促进创客教育、</w:t>
      </w:r>
      <w:r>
        <w:rPr>
          <w:rFonts w:ascii="仿宋_GB2312" w:hAnsi="宋体" w:eastAsia="仿宋_GB2312" w:cs="宋体"/>
          <w:sz w:val="32"/>
          <w:szCs w:val="32"/>
        </w:rPr>
        <w:t>STEM</w:t>
      </w:r>
      <w:r>
        <w:rPr>
          <w:rFonts w:hint="eastAsia" w:ascii="仿宋_GB2312" w:hAnsi="宋体" w:eastAsia="仿宋_GB2312" w:cs="宋体"/>
          <w:sz w:val="32"/>
          <w:szCs w:val="32"/>
        </w:rPr>
        <w:t>等科技类教育健康有序规范发展，有利于为高中和大学输送优秀人才苗子，为培养更多、更杰出的科学研究人才奠定坚实基础。</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初中理科实验教学是培养学生的创新精神和动手能力，促进学生全面发展的重要渠道。标准化实验教学与测评改革是完善和发展传统教学与评价方式的重要尝试，有助于更加客观、科学的全面反映学生的综合素质，有助于高中阶段学校考试招生工作更加公平、公正。</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深圳作为中国创新型城市，大力促进科学技术教育，培养从小热爱科学、向往科学、探索自然、改造世界的青少年科技人才，是深圳教育工作者的历史使命，是深圳建设创新型国际大都市的必然要求，也是国家实现从科技大国迈向科技强国的智力基石。</w:t>
      </w:r>
    </w:p>
    <w:p>
      <w:pPr>
        <w:spacing w:line="580" w:lineRule="exact"/>
        <w:ind w:firstLine="640" w:firstLineChars="200"/>
        <w:rPr>
          <w:rFonts w:ascii="黑体" w:hAnsi="黑体" w:eastAsia="黑体" w:cs="宋体"/>
          <w:bCs/>
          <w:sz w:val="32"/>
          <w:szCs w:val="32"/>
        </w:rPr>
      </w:pPr>
      <w:r>
        <w:rPr>
          <w:rFonts w:hint="eastAsia" w:ascii="黑体" w:hAnsi="黑体" w:eastAsia="黑体" w:cs="宋体"/>
          <w:bCs/>
          <w:sz w:val="32"/>
          <w:szCs w:val="32"/>
        </w:rPr>
        <w:t>二、总体目标</w:t>
      </w:r>
    </w:p>
    <w:p>
      <w:pPr>
        <w:spacing w:line="580" w:lineRule="exact"/>
        <w:ind w:firstLine="643" w:firstLineChars="200"/>
        <w:rPr>
          <w:rFonts w:ascii="楷体_GB2312" w:eastAsia="楷体_GB2312" w:cs="宋体"/>
          <w:b/>
          <w:sz w:val="32"/>
          <w:szCs w:val="32"/>
        </w:rPr>
      </w:pPr>
      <w:r>
        <w:rPr>
          <w:rFonts w:hint="eastAsia" w:ascii="楷体_GB2312" w:hAnsi="宋体" w:eastAsia="楷体_GB2312" w:cs="宋体"/>
          <w:b/>
          <w:sz w:val="32"/>
          <w:szCs w:val="32"/>
        </w:rPr>
        <w:t>（一）指导思想</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习近平新时代中国特色社会主义思想为指导，贯彻落实全国教育大会精神，遵循教育规律，强化素质教育，深化初中阶段理科实验教学与测评改革，加大理科评价考试方式的创新力度，促进学生知识与能力协调发展，从根本上解决教育评价指挥棒问题。</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贯彻落实《教育部关于加强和改进中小学实验教学的意见》和《广东省教育厅关于加强和改进中小学实验教学的实施意见》文件精神中的总体要求，全面贯彻党的教育方针，落实立德树人根本任务，达成学科核心素养发展目标，努力构建与德智体美劳全面培养的教育体系相适应、与课程标准要求相统一的实验教学与测评体系。夯实基础，开齐开足开好国家课程标准规定实验，切实扭转轻视实验教学的倾向；拓展创新，不断将科技前沿知识和最新技术成果融入实验教学，丰富内容，改进方式；注重实效，强化学生实践操作、情境体验、探索求知、亲身感悟和创新创造，着力提升学生的观察能力、动手实践能力、创造性思维能力和团队合作能力，培育学生的兴趣爱好、创新精神、科学素养和意志品质，确保实验教学与测评工作在全国有先锋示范作用。</w:t>
      </w:r>
    </w:p>
    <w:p>
      <w:pPr>
        <w:spacing w:line="58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（二）基本原则</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系统解决原则。按照系统化、整体性的工作思路，通过技术手段和科学管理一揽子解决初中理科实验的课程开设、教学监管、实验操作、考务管理、考试过程、阅卷评分、争议解决等环节的难点问题，把教与学、学与练、考与评有机统一起来。</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.公平公正原则。发挥信息技术优势，减少人为因素影响，杜绝徇私舞弊、弄虚作假等现象。在可视化、可监控的技术环境下，使实验教学与训练更规范、更持久，使实验考试评价更客观、更公正。</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安全可靠原则。初中理科实验的教与学、测试训练、考前抽签、考试、监考、数据存储与传输、阅卷、质量分析、争议解决等，均在信息技术支撑之下完成。所有环节都通过市实验教学与测评监管平台和市实验评卷平台进行调控和监管，所有数据客观准确，确保理科实验教学与测评工作安全可靠。</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提速增效原则。充分利用市实验教学与测评监管平台和市实验评卷平台提高教学和管理工作绩效，大幅度减少监考、评分和统计分析人员，减轻教师工作负担和压力，解决学校理科教师不足造成的管理混乱、效率低下和真实性不高等问题。</w:t>
      </w:r>
    </w:p>
    <w:p>
      <w:pPr>
        <w:spacing w:line="58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（三）实现目标</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完善实验教学体系。根据教育部制订的中小学实验教学基本目录和操作指南，按照国家课程方案和课程标准要求，将实验教学作为课程体系的重要内容纳入学科教学基本规范，强化实验教学要求。完善实验室建设，开展基础性实验和拓展性实验教学工作。</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建立实验评价机制。按照粤教考〔2020〕7号文关于“2023年前将初中物理、化学、生物学实验操作纳入初中学业水平考试”的规定，结合深圳实验中考“现考后评”模式推进时间安排，2023年将生物实验操作考试成绩按等级分计入中考生物科目考查成绩，2024届毕业生的物理和化学实验操作考试成绩按笔试成绩的10%计入中考总分，作为学生毕业和升学的依据。建设市实验教学与测评监管平台和市实验评卷平台，创造条件逐渐将拓展性实验纳入考试命题范围。</w:t>
      </w: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3.建立实验教学标准。</w:t>
      </w:r>
      <w:bookmarkStart w:id="2" w:name="_Hlk66127026"/>
      <w:r>
        <w:rPr>
          <w:rFonts w:hint="eastAsia" w:ascii="仿宋_GB2312" w:hAnsi="宋体" w:eastAsia="仿宋_GB2312" w:cs="宋体"/>
          <w:sz w:val="32"/>
          <w:szCs w:val="32"/>
        </w:rPr>
        <w:t>按照深圳市教育科学研究院监制的《初中理科实验教学标准》（详见附件1）</w:t>
      </w:r>
      <w:bookmarkEnd w:id="2"/>
      <w:r>
        <w:rPr>
          <w:rFonts w:hint="eastAsia" w:ascii="仿宋_GB2312" w:hAnsi="宋体" w:eastAsia="仿宋_GB2312" w:cs="宋体"/>
          <w:sz w:val="32"/>
          <w:szCs w:val="32"/>
        </w:rPr>
        <w:t>，统一全市初中理科实验的教学要求。建设市实验教学与测评监管平台和市实验评卷平台，全程监测全市各校的实验教学过程，作为评估学校常规理科实验教学工作的依据，以此推动实验教学和考试评价的良性互促，相得益彰，为素质教育行稳致远创造条件。</w:t>
      </w: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4.建立实验测评标准。按照深圳市教育科学研究院监制的《初中理科实验教学标准》（详见附件1）之“测评标准”，统一全市初中理科实验的测评要求，兼顾过程性测评和终结性考试的实际需求。努力提高中考实验操作考试的命题质量，加快中考实验操作考试的题库建设，早日实现实验教学测评和考试评价的标准化、智能化。依托市、区、校三级联动建立实验教学与测评监管平台和实验评卷平台，强化实验教学和测评考试管理。该系统管理云平台由深圳市教育信息技术中心（教育装备中心）建设并提供装备要求和技术支持，市教科院提供业务管理服务，各级各部门要通力合作，确保实验教学与测评过程的真实性、准确性和高效益。</w:t>
      </w: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5.建立实验装备标准。统一理科实验器材标准是保证实验教学和测评工作的基础。根据教育部《初中物理教学装备配置标准》、《初中化学教学装备配置标准》、《初中生物教学装备配置标准》，结合深圳市初中阶段实验教学与测评改革的实际需要，高标准建设我市初中阶段理科实验室。深圳市教育信息技术中心（教育装备中心）研究颁布深圳市《深圳市初中理科实验教学与测评装备标准》（详见附件</w:t>
      </w:r>
      <w:r>
        <w:rPr>
          <w:rFonts w:ascii="仿宋_GB2312" w:hAnsi="宋体" w:eastAsia="仿宋_GB2312" w:cs="宋体"/>
          <w:sz w:val="32"/>
          <w:szCs w:val="32"/>
        </w:rPr>
        <w:t>2</w:t>
      </w:r>
      <w:r>
        <w:rPr>
          <w:rFonts w:hint="eastAsia" w:ascii="仿宋_GB2312" w:hAnsi="宋体" w:eastAsia="仿宋_GB2312" w:cs="宋体"/>
          <w:sz w:val="32"/>
          <w:szCs w:val="32"/>
        </w:rPr>
        <w:t>），高质量配置初中理科实验教学和测评的器材、设备、试剂和相关的大数据管理平台，确保实验教学和测评的科学性、创新性、安全性和实用性。</w:t>
      </w:r>
    </w:p>
    <w:p>
      <w:pPr>
        <w:spacing w:line="580" w:lineRule="exact"/>
        <w:ind w:firstLine="640" w:firstLineChars="200"/>
        <w:rPr>
          <w:rFonts w:ascii="黑体" w:hAnsi="黑体" w:eastAsia="黑体" w:cs="宋体"/>
          <w:bCs/>
          <w:sz w:val="32"/>
          <w:szCs w:val="32"/>
        </w:rPr>
      </w:pPr>
      <w:r>
        <w:rPr>
          <w:rFonts w:hint="eastAsia" w:ascii="黑体" w:hAnsi="黑体" w:eastAsia="黑体" w:cs="宋体"/>
          <w:bCs/>
          <w:sz w:val="32"/>
          <w:szCs w:val="32"/>
        </w:rPr>
        <w:t>三、主要任务</w:t>
      </w:r>
      <w:r>
        <w:rPr>
          <w:rFonts w:ascii="黑体" w:hAnsi="黑体" w:eastAsia="黑体" w:cs="宋体"/>
          <w:bCs/>
          <w:sz w:val="32"/>
          <w:szCs w:val="32"/>
        </w:rPr>
        <w:t xml:space="preserve"> </w:t>
      </w:r>
    </w:p>
    <w:p>
      <w:pPr>
        <w:spacing w:line="580" w:lineRule="exact"/>
        <w:ind w:firstLine="643" w:firstLineChars="200"/>
        <w:rPr>
          <w:rFonts w:ascii="楷体_GB2312" w:eastAsia="楷体_GB2312" w:cs="宋体"/>
          <w:b/>
          <w:bCs/>
          <w:sz w:val="32"/>
          <w:szCs w:val="32"/>
        </w:rPr>
      </w:pPr>
      <w:r>
        <w:rPr>
          <w:rFonts w:hint="eastAsia" w:ascii="楷体_GB2312" w:hAnsi="宋体" w:eastAsia="楷体_GB2312" w:cs="宋体"/>
          <w:b/>
          <w:bCs/>
          <w:sz w:val="32"/>
          <w:szCs w:val="32"/>
        </w:rPr>
        <w:t>（一）完善实验教学体系，加快市实验教学与测评监管平台和市实验评卷平台建设</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1.完善实验教学体系。学校要保障基础性实验开足开齐，</w:t>
      </w:r>
      <w:r>
        <w:rPr>
          <w:rFonts w:hint="eastAsia" w:ascii="仿宋_GB2312" w:hAnsi="仿宋" w:eastAsia="仿宋_GB2312" w:cs="仿宋"/>
          <w:sz w:val="32"/>
          <w:szCs w:val="32"/>
        </w:rPr>
        <w:t>确保实验开出率100%，增加拓展性实验，其比例不少于50%；构建具有鲜明深圳特色的基础教育现代化装备体系，将实验教学从传统的实验室扩展到特色实验教学空间，包括学科功能教室、综合实验室、创新实验室、教育创客空间、信息技术实验室、劳动技术实践教室以及复合型综合实验教学环境等</w:t>
      </w:r>
      <w:r>
        <w:rPr>
          <w:rFonts w:hint="eastAsia" w:ascii="仿宋_GB2312" w:hAnsi="宋体" w:eastAsia="仿宋_GB2312" w:cs="宋体"/>
          <w:sz w:val="32"/>
          <w:szCs w:val="32"/>
        </w:rPr>
        <w:t>。注重加强实验教学与多学科融合教育、编程教育、创客教育、人工智能教育、社会实践等有机融合，有条件的学校可以开发地方课程和校本课程。</w:t>
      </w: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2.创建“教学评”一体化理科实验室。各区（校）要按照新建与改造并举的原则进行，对学校传统实验室根据实际需要进行改造升级，把学校服务器、教师用机、学生终端、网络环境、教学软件、测评软件、巡考摄像头等植入物理、化学和生物实验室，建设成“教学评”一体化理科实验室；新建学校必须配备“教学评”一体化理科实验室。</w:t>
      </w:r>
    </w:p>
    <w:p>
      <w:pPr>
        <w:spacing w:line="58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3.建设市实验教学与测评监管平台和市实验评卷平台。全市要依据深圳市“初中理科实验教学与测评装备标准”的要求加快建设步伐，每所初中学校按照物理、化学、生物最少各一套的标准装备。202</w:t>
      </w:r>
      <w:r>
        <w:rPr>
          <w:rFonts w:ascii="仿宋_GB2312" w:hAnsi="宋体" w:eastAsia="仿宋_GB2312" w:cs="宋体"/>
          <w:sz w:val="32"/>
          <w:szCs w:val="32"/>
        </w:rPr>
        <w:t>4</w:t>
      </w:r>
      <w:r>
        <w:rPr>
          <w:rFonts w:hint="eastAsia" w:ascii="仿宋_GB2312" w:hAnsi="宋体" w:eastAsia="仿宋_GB2312" w:cs="宋体"/>
          <w:sz w:val="32"/>
          <w:szCs w:val="32"/>
        </w:rPr>
        <w:t>年</w:t>
      </w:r>
      <w:r>
        <w:rPr>
          <w:rFonts w:ascii="仿宋_GB2312" w:hAnsi="宋体" w:eastAsia="仿宋_GB2312" w:cs="宋体"/>
          <w:sz w:val="32"/>
          <w:szCs w:val="32"/>
        </w:rPr>
        <w:t>6</w:t>
      </w:r>
      <w:r>
        <w:rPr>
          <w:rFonts w:hint="eastAsia" w:ascii="仿宋_GB2312" w:hAnsi="宋体" w:eastAsia="仿宋_GB2312" w:cs="宋体"/>
          <w:sz w:val="32"/>
          <w:szCs w:val="32"/>
        </w:rPr>
        <w:t>月前，全市各初中学校要完成建设；市、区两级教育信息中心分别完成市、区两级相关平台的建设和管理，并负责辖区内学校相关平台的测试、验收、管理和维护工作；各区教研部门负责区级监管平台的学校日常实验教学的监督和管理；市教科院负责市级平台的使用和管理。</w:t>
      </w:r>
    </w:p>
    <w:p>
      <w:pPr>
        <w:spacing w:line="580" w:lineRule="exact"/>
        <w:ind w:firstLine="643" w:firstLineChars="200"/>
        <w:rPr>
          <w:rFonts w:ascii="楷体_GB2312" w:hAnsi="宋体" w:eastAsia="楷体_GB2312" w:cs="宋体"/>
          <w:b/>
          <w:bCs/>
          <w:sz w:val="32"/>
          <w:szCs w:val="32"/>
        </w:rPr>
      </w:pPr>
      <w:r>
        <w:rPr>
          <w:rFonts w:hint="eastAsia" w:ascii="楷体_GB2312" w:hAnsi="宋体" w:eastAsia="楷体_GB2312" w:cs="宋体"/>
          <w:b/>
          <w:bCs/>
          <w:sz w:val="32"/>
          <w:szCs w:val="32"/>
        </w:rPr>
        <w:t>（二）加强初中理科实验教学，创新实验教学方式</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规范实验教学实施。学校要将实验教学纳入教学管理规程，分年级、分学科制定切实可行的实验教学计划。加强实验教学过程管理，确保实验教学内容和课时，严格实验教学程序和规范。杜绝实验室被挤占、实验课不开或开课不足、实验课变成讲授课、教师不愿做或不会做实验、学生不会做实验、考前突击做实验等不良情况。教师要按照深圳市《初中理科实验教学标准》的要求，开展备课、上课和评价工作，保证实验教学质量。学校要充分利用实验教学平台，开展实验教学管理。</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创新实验教学方式，提升学生科学实验能力。要丰富实验教学实施形式，综合运用观察、观测、模拟、体验、设计、编程、制作、加工、饲养、种植、参观、调查等多种方式，促进传统实验教学与现代新兴科技有机融合，切实增强实验教学的趣味性和吸引力，提高实验教学质量和效果。对于因受时空限制而在现实世界中无法观察和控制的事物和现象、变化太快或太慢的过程，以及有危险性、破坏性和对环境有危害的实验，可用增强现实、虚拟现实等技术手段呈现。在实验教学中要遵循学科特点，积极推动学生开展研究型、任务型、项目化、问题式、合作式学习。在保障安全的前提下，鼓励学校向学生开放实验室,方便学生利用课余时间，以独立或小组合作方式开展实验探究。广泛利用校外资源积极开展科学实验活动,也可探索通过购买服务方式开展特色实验教学或实践活动。配合全国中小学实验教学技能竞赛，组织深圳市初中理科实验教学技能竞赛。</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强化初中理科实验教学的过程管理。通过市、区两级实验教学与测评监管平台管理端，观测和指导各学校理科实验教学的开课情况、教学过程和学习实况等环节，提高学校理科实验教学工作的执行力。</w:t>
      </w:r>
    </w:p>
    <w:p>
      <w:pPr>
        <w:spacing w:line="580" w:lineRule="exact"/>
        <w:ind w:firstLine="643" w:firstLineChars="200"/>
        <w:rPr>
          <w:rFonts w:ascii="楷体_GB2312" w:eastAsia="楷体_GB2312" w:cs="宋体"/>
          <w:b/>
          <w:bCs/>
          <w:sz w:val="32"/>
          <w:szCs w:val="32"/>
        </w:rPr>
      </w:pPr>
      <w:r>
        <w:rPr>
          <w:rFonts w:hint="eastAsia" w:ascii="楷体_GB2312" w:hAnsi="宋体" w:eastAsia="楷体_GB2312" w:cs="宋体"/>
          <w:b/>
          <w:bCs/>
          <w:sz w:val="32"/>
          <w:szCs w:val="32"/>
        </w:rPr>
        <w:t>（三）有序推进初中理科实验测评工作</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健全实验教学评价机制。把实验教学情况纳入教育质量评价监测体系，强化对学校实验室建设与管理、实验教学开展情况和实验教学质量等方面的评价。学校要设置实验技术人员岗位，落实实验技术人员待遇，在职称评定、岗位聘用、考核评价、薪酬待遇、评优评先等方面与学科教师一视同仁。按照国家部署，积极推动中小学实验技术人员职称制度改革。学校要合理核定实验技术人员及兼任实验技术人员的学科教师教学工作量，纳入绩效考核评价，把学生实验操作情况和能力表现纳入综合素质评价。</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稳步推进标准化实验测评工作。根据《广东省教育厅关于初中学业水平考试物理、化学、生物学等科目实验考试的指导意见》（粤教考〔2020〕7号）文件精神要求，本着“学完就考”的原则，有计划、有步骤地推进标准化实验测评工作。到</w:t>
      </w:r>
      <w:r>
        <w:rPr>
          <w:rFonts w:ascii="仿宋_GB2312" w:hAnsi="宋体" w:eastAsia="仿宋_GB2312" w:cs="宋体"/>
          <w:sz w:val="32"/>
          <w:szCs w:val="32"/>
        </w:rPr>
        <w:t>202</w:t>
      </w:r>
      <w:r>
        <w:rPr>
          <w:rFonts w:hint="eastAsia" w:ascii="仿宋_GB2312" w:hAnsi="宋体" w:eastAsia="仿宋_GB2312" w:cs="宋体"/>
          <w:sz w:val="32"/>
          <w:szCs w:val="32"/>
        </w:rPr>
        <w:t>1年，各区各校要做好购置理科实验教学与测评装备的预算，到2</w:t>
      </w:r>
      <w:r>
        <w:rPr>
          <w:rFonts w:ascii="仿宋_GB2312" w:hAnsi="宋体" w:eastAsia="仿宋_GB2312" w:cs="宋体"/>
          <w:sz w:val="32"/>
          <w:szCs w:val="32"/>
        </w:rPr>
        <w:t>022</w:t>
      </w:r>
      <w:r>
        <w:rPr>
          <w:rFonts w:hint="eastAsia" w:ascii="仿宋_GB2312" w:hAnsi="宋体" w:eastAsia="仿宋_GB2312" w:cs="宋体"/>
          <w:sz w:val="32"/>
          <w:szCs w:val="32"/>
        </w:rPr>
        <w:t>年1</w:t>
      </w:r>
      <w:r>
        <w:rPr>
          <w:rFonts w:ascii="仿宋_GB2312" w:hAnsi="宋体" w:eastAsia="仿宋_GB2312" w:cs="宋体"/>
          <w:sz w:val="32"/>
          <w:szCs w:val="32"/>
        </w:rPr>
        <w:t>2</w:t>
      </w:r>
      <w:r>
        <w:rPr>
          <w:rFonts w:hint="eastAsia" w:ascii="仿宋_GB2312" w:hAnsi="宋体" w:eastAsia="仿宋_GB2312" w:cs="宋体"/>
          <w:sz w:val="32"/>
          <w:szCs w:val="32"/>
        </w:rPr>
        <w:t>月全市公办初中学校要完成理科实验相关设备和平台的建设和调试工作，全市民办初中学校到2</w:t>
      </w:r>
      <w:r>
        <w:rPr>
          <w:rFonts w:ascii="仿宋_GB2312" w:hAnsi="宋体" w:eastAsia="仿宋_GB2312" w:cs="宋体"/>
          <w:sz w:val="32"/>
          <w:szCs w:val="32"/>
        </w:rPr>
        <w:t>023</w:t>
      </w:r>
      <w:r>
        <w:rPr>
          <w:rFonts w:hint="eastAsia" w:ascii="仿宋_GB2312" w:hAnsi="宋体" w:eastAsia="仿宋_GB2312" w:cs="宋体"/>
          <w:sz w:val="32"/>
          <w:szCs w:val="32"/>
        </w:rPr>
        <w:t>年1</w:t>
      </w:r>
      <w:r>
        <w:rPr>
          <w:rFonts w:ascii="仿宋_GB2312" w:hAnsi="宋体" w:eastAsia="仿宋_GB2312" w:cs="宋体"/>
          <w:sz w:val="32"/>
          <w:szCs w:val="32"/>
        </w:rPr>
        <w:t>2</w:t>
      </w:r>
      <w:r>
        <w:rPr>
          <w:rFonts w:hint="eastAsia" w:ascii="仿宋_GB2312" w:hAnsi="宋体" w:eastAsia="仿宋_GB2312" w:cs="宋体"/>
          <w:sz w:val="32"/>
          <w:szCs w:val="32"/>
        </w:rPr>
        <w:t>月要完成理科实验相关设备和平台的建设和调试工作。2</w:t>
      </w:r>
      <w:r>
        <w:rPr>
          <w:rFonts w:ascii="仿宋_GB2312" w:hAnsi="宋体" w:eastAsia="仿宋_GB2312" w:cs="宋体"/>
          <w:sz w:val="32"/>
          <w:szCs w:val="32"/>
        </w:rPr>
        <w:t>021</w:t>
      </w:r>
      <w:r>
        <w:rPr>
          <w:rFonts w:hint="eastAsia" w:ascii="仿宋_GB2312" w:hAnsi="宋体" w:eastAsia="仿宋_GB2312" w:cs="宋体"/>
          <w:sz w:val="32"/>
          <w:szCs w:val="32"/>
        </w:rPr>
        <w:t>到2</w:t>
      </w:r>
      <w:r>
        <w:rPr>
          <w:rFonts w:ascii="仿宋_GB2312" w:hAnsi="宋体" w:eastAsia="仿宋_GB2312" w:cs="宋体"/>
          <w:sz w:val="32"/>
          <w:szCs w:val="32"/>
        </w:rPr>
        <w:t>023</w:t>
      </w:r>
      <w:r>
        <w:rPr>
          <w:rFonts w:hint="eastAsia" w:ascii="仿宋_GB2312" w:hAnsi="宋体" w:eastAsia="仿宋_GB2312" w:cs="宋体"/>
          <w:sz w:val="32"/>
          <w:szCs w:val="32"/>
        </w:rPr>
        <w:t>年要做好深圳市中考物理、化学、生物实验操作信息化考试试点试验工作。</w:t>
      </w:r>
      <w:r>
        <w:rPr>
          <w:rFonts w:ascii="仿宋_GB2312" w:hAnsi="宋体" w:eastAsia="仿宋_GB2312" w:cs="宋体"/>
          <w:sz w:val="32"/>
          <w:szCs w:val="32"/>
        </w:rPr>
        <w:t>2024</w:t>
      </w:r>
      <w:r>
        <w:rPr>
          <w:rFonts w:hint="eastAsia" w:ascii="仿宋_GB2312" w:hAnsi="宋体" w:eastAsia="仿宋_GB2312" w:cs="宋体"/>
          <w:sz w:val="32"/>
          <w:szCs w:val="32"/>
        </w:rPr>
        <w:t>年及以后，初中物理、化学和生物实验操作考试方式，由考生现场操作，教师现场评分（简称为现考现评）改为全部使用实验测评相关平台，即考生现场操作实时录像、考后网上集中评分的考试方式（简称现考后评）。物理、化学、生物实验操作考试卷面分值各10分，每科考试时长为5分钟。物理按满分7分折算、化学按满分5分折算、生物按满分5分折算，物理成绩按笔试成绩63分加实验操作成绩7分、化学成绩按笔试成绩45分加实验操作成绩5分，计入中考总分。生物成绩按笔试成绩45分加实验操作成绩5分计入会考成绩。</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切实抓好理科实验测评的组织和管理工作。深圳市教育局直属教科院、招考办、教育信息中心等部门要制定初中理科实验测评的组织管理实施办法，市、区教育信息中心负责实验装备标准的制定、相关平台系统的运行、维护和技术支持；教科院负责标准化实验测评的命题和评卷工作；招考办负责标准化实验测评的考务、分数录入工作；各区要按照全市统一要求抓好贯彻落实，各初中学校要制定标准化实验测评工作的具体计划，确保全市标准化实验测评工作健康、有序、稳步推进。</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以下为中考实验操作考试工作推进方案。</w:t>
      </w:r>
    </w:p>
    <w:p>
      <w:pPr>
        <w:spacing w:line="580" w:lineRule="exact"/>
        <w:ind w:firstLine="640" w:firstLineChars="200"/>
        <w:rPr>
          <w:rFonts w:ascii="仿宋_GB2312" w:hAnsi="宋体" w:eastAsia="仿宋_GB2312" w:cs="宋体"/>
          <w:sz w:val="32"/>
          <w:szCs w:val="32"/>
        </w:rPr>
      </w:pPr>
    </w:p>
    <w:tbl>
      <w:tblPr>
        <w:tblStyle w:val="12"/>
        <w:tblW w:w="900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62"/>
        <w:gridCol w:w="1875"/>
        <w:gridCol w:w="200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restart"/>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考试时间</w:t>
            </w:r>
          </w:p>
        </w:tc>
        <w:tc>
          <w:tcPr>
            <w:tcW w:w="1762"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202</w:t>
            </w:r>
            <w:r>
              <w:rPr>
                <w:rFonts w:ascii="仿宋_GB2312" w:hAnsi="宋体" w:eastAsia="仿宋_GB2312" w:cs="宋体"/>
                <w:sz w:val="30"/>
                <w:szCs w:val="30"/>
              </w:rPr>
              <w:t>1</w:t>
            </w:r>
            <w:r>
              <w:rPr>
                <w:rFonts w:hint="eastAsia" w:ascii="仿宋_GB2312" w:hAnsi="宋体" w:eastAsia="仿宋_GB2312" w:cs="宋体"/>
                <w:sz w:val="30"/>
                <w:szCs w:val="30"/>
              </w:rPr>
              <w:t>年</w:t>
            </w:r>
          </w:p>
        </w:tc>
        <w:tc>
          <w:tcPr>
            <w:tcW w:w="1875"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202</w:t>
            </w:r>
            <w:r>
              <w:rPr>
                <w:rFonts w:ascii="仿宋_GB2312" w:hAnsi="宋体" w:eastAsia="仿宋_GB2312" w:cs="宋体"/>
                <w:sz w:val="30"/>
                <w:szCs w:val="30"/>
              </w:rPr>
              <w:t>2</w:t>
            </w:r>
            <w:r>
              <w:rPr>
                <w:rFonts w:hint="eastAsia" w:ascii="仿宋_GB2312" w:hAnsi="宋体" w:eastAsia="仿宋_GB2312" w:cs="宋体"/>
                <w:sz w:val="30"/>
                <w:szCs w:val="30"/>
              </w:rPr>
              <w:t>年</w:t>
            </w:r>
          </w:p>
        </w:tc>
        <w:tc>
          <w:tcPr>
            <w:tcW w:w="2003"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202</w:t>
            </w:r>
            <w:r>
              <w:rPr>
                <w:rFonts w:ascii="仿宋_GB2312" w:hAnsi="宋体" w:eastAsia="仿宋_GB2312" w:cs="宋体"/>
                <w:sz w:val="30"/>
                <w:szCs w:val="30"/>
              </w:rPr>
              <w:t>3</w:t>
            </w:r>
            <w:r>
              <w:rPr>
                <w:rFonts w:hint="eastAsia" w:ascii="仿宋_GB2312" w:hAnsi="宋体" w:eastAsia="仿宋_GB2312" w:cs="宋体"/>
                <w:sz w:val="30"/>
                <w:szCs w:val="30"/>
              </w:rPr>
              <w:t>年</w:t>
            </w:r>
          </w:p>
        </w:tc>
        <w:tc>
          <w:tcPr>
            <w:tcW w:w="1794"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202</w:t>
            </w:r>
            <w:r>
              <w:rPr>
                <w:rFonts w:ascii="仿宋_GB2312" w:hAnsi="宋体" w:eastAsia="仿宋_GB2312" w:cs="宋体"/>
                <w:sz w:val="30"/>
                <w:szCs w:val="30"/>
              </w:rPr>
              <w:t>4</w:t>
            </w:r>
            <w:r>
              <w:rPr>
                <w:rFonts w:hint="eastAsia" w:ascii="仿宋_GB2312" w:hAnsi="宋体" w:eastAsia="仿宋_GB2312" w:cs="宋体"/>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shd w:val="clear" w:color="auto" w:fill="auto"/>
            <w:vAlign w:val="center"/>
          </w:tcPr>
          <w:p>
            <w:pPr>
              <w:spacing w:line="400" w:lineRule="exact"/>
              <w:jc w:val="center"/>
              <w:rPr>
                <w:rFonts w:ascii="仿宋_GB2312" w:hAnsi="宋体" w:eastAsia="仿宋_GB2312" w:cs="宋体"/>
                <w:sz w:val="30"/>
                <w:szCs w:val="30"/>
              </w:rPr>
            </w:pPr>
          </w:p>
        </w:tc>
        <w:tc>
          <w:tcPr>
            <w:tcW w:w="7434" w:type="dxa"/>
            <w:gridSpan w:val="4"/>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每年</w:t>
            </w:r>
            <w:r>
              <w:rPr>
                <w:rFonts w:ascii="仿宋_GB2312" w:hAnsi="宋体" w:eastAsia="仿宋_GB2312" w:cs="宋体"/>
                <w:sz w:val="30"/>
                <w:szCs w:val="30"/>
              </w:rPr>
              <w:t>5</w:t>
            </w:r>
            <w:r>
              <w:rPr>
                <w:rFonts w:hint="eastAsia" w:ascii="仿宋_GB2312" w:hAnsi="宋体" w:eastAsia="仿宋_GB2312" w:cs="宋体"/>
                <w:sz w:val="30"/>
                <w:szCs w:val="30"/>
              </w:rPr>
              <w:t>月下旬的周六、周日两天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考试时长</w:t>
            </w:r>
          </w:p>
        </w:tc>
        <w:tc>
          <w:tcPr>
            <w:tcW w:w="7434" w:type="dxa"/>
            <w:gridSpan w:val="4"/>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物理、化学、生物各5分钟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1575"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标准化实验测评工作进程</w:t>
            </w:r>
          </w:p>
        </w:tc>
        <w:tc>
          <w:tcPr>
            <w:tcW w:w="1762" w:type="dxa"/>
            <w:shd w:val="clear" w:color="auto" w:fill="auto"/>
          </w:tcPr>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1.试测：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现考后评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2.实测：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现考现评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3.预算：初中理科实验教学与测评装备配备</w:t>
            </w:r>
          </w:p>
        </w:tc>
        <w:tc>
          <w:tcPr>
            <w:tcW w:w="1875" w:type="dxa"/>
            <w:shd w:val="clear" w:color="auto" w:fill="auto"/>
          </w:tcPr>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1.试测：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现考后评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2.实测：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现考现评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（1）现考后评（公办和部分民办）</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（2）现考现评（部分民办）</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3.公办学校完成初中理科实验教学与测评装备配备</w:t>
            </w:r>
          </w:p>
        </w:tc>
        <w:tc>
          <w:tcPr>
            <w:tcW w:w="2003" w:type="dxa"/>
            <w:shd w:val="clear" w:color="auto" w:fill="auto"/>
          </w:tcPr>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1.试测：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现考后评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2.实测：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（1）现考后评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（公办和部分民办）</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（2）现考现评（部分民办）</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3.民办学校完成初中理科实验教学与测评装备配备</w:t>
            </w:r>
          </w:p>
          <w:p>
            <w:pPr>
              <w:spacing w:line="400" w:lineRule="exact"/>
              <w:rPr>
                <w:rFonts w:ascii="仿宋_GB2312" w:hAnsi="宋体" w:eastAsia="仿宋_GB2312" w:cs="宋体"/>
                <w:sz w:val="30"/>
                <w:szCs w:val="30"/>
              </w:rPr>
            </w:pPr>
          </w:p>
        </w:tc>
        <w:tc>
          <w:tcPr>
            <w:tcW w:w="1794" w:type="dxa"/>
            <w:shd w:val="clear" w:color="auto" w:fill="auto"/>
          </w:tcPr>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1.试测：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现考后评</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2.实测：</w:t>
            </w: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现考后评</w:t>
            </w:r>
          </w:p>
          <w:p>
            <w:pPr>
              <w:spacing w:line="400" w:lineRule="exact"/>
              <w:rPr>
                <w:rFonts w:ascii="仿宋_GB2312" w:hAnsi="宋体" w:eastAsia="仿宋_GB2312" w:cs="宋体"/>
                <w:sz w:val="30"/>
                <w:szCs w:val="30"/>
              </w:rPr>
            </w:pPr>
          </w:p>
          <w:p>
            <w:pPr>
              <w:spacing w:line="400" w:lineRule="exact"/>
              <w:rPr>
                <w:rFonts w:ascii="仿宋_GB2312" w:hAnsi="宋体"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计分方式</w:t>
            </w:r>
          </w:p>
        </w:tc>
        <w:tc>
          <w:tcPr>
            <w:tcW w:w="1762"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等级分</w:t>
            </w:r>
          </w:p>
        </w:tc>
        <w:tc>
          <w:tcPr>
            <w:tcW w:w="1875"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等级分</w:t>
            </w:r>
          </w:p>
        </w:tc>
        <w:tc>
          <w:tcPr>
            <w:tcW w:w="2003"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等级分</w:t>
            </w:r>
          </w:p>
        </w:tc>
        <w:tc>
          <w:tcPr>
            <w:tcW w:w="1794" w:type="dxa"/>
            <w:shd w:val="clear" w:color="auto" w:fill="auto"/>
            <w:vAlign w:val="center"/>
          </w:tcPr>
          <w:p>
            <w:pPr>
              <w:spacing w:line="400" w:lineRule="exact"/>
              <w:jc w:val="left"/>
              <w:rPr>
                <w:rFonts w:ascii="仿宋_GB2312" w:hAnsi="宋体" w:eastAsia="仿宋_GB2312" w:cs="宋体"/>
                <w:sz w:val="30"/>
                <w:szCs w:val="30"/>
              </w:rPr>
            </w:pPr>
            <w:r>
              <w:rPr>
                <w:rFonts w:hint="eastAsia" w:ascii="仿宋_GB2312" w:hAnsi="宋体" w:eastAsia="仿宋_GB2312" w:cs="宋体"/>
                <w:sz w:val="30"/>
                <w:szCs w:val="30"/>
              </w:rPr>
              <w:t>物理7分和化学5分计入中考成绩；生物5分计入会考成绩</w:t>
            </w:r>
          </w:p>
        </w:tc>
      </w:tr>
    </w:tbl>
    <w:p>
      <w:pPr>
        <w:spacing w:line="580" w:lineRule="exact"/>
        <w:ind w:firstLine="643" w:firstLineChars="200"/>
        <w:jc w:val="left"/>
        <w:rPr>
          <w:rFonts w:ascii="楷体_GB2312" w:eastAsia="楷体_GB2312" w:cs="宋体"/>
          <w:b/>
          <w:bCs/>
          <w:sz w:val="32"/>
          <w:szCs w:val="32"/>
        </w:rPr>
      </w:pPr>
      <w:r>
        <w:rPr>
          <w:rFonts w:hint="eastAsia" w:ascii="楷体_GB2312" w:hAnsi="宋体" w:eastAsia="楷体_GB2312" w:cs="宋体"/>
          <w:b/>
          <w:bCs/>
          <w:sz w:val="32"/>
          <w:szCs w:val="32"/>
        </w:rPr>
        <w:t>（四）建设专业化理科实验教学和管理队伍</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提高理科教师的科学素养。理科教师要按照国家《义务教育课程标准》的要求，进一步转变观念，切实改变教学方式和评价方式，把教学重心从注重应试能力转移到注重创新思维、分析能力、质疑精神、实验操作等综合实践能力上来。不断学习新知识、新方法、新技能，深入领会和掌握实验教学与测评的标准和标准化管理技术，提高自身实验教学和操作指导的胜任力。</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.配齐理科实验教学师资队伍。要按照初中理科教学工作量和专业要求配备学科教师和实验技术人员。</w:t>
      </w:r>
    </w:p>
    <w:tbl>
      <w:tblPr>
        <w:tblStyle w:val="1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698"/>
        <w:gridCol w:w="1697"/>
        <w:gridCol w:w="16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8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班级数量</w:t>
            </w:r>
          </w:p>
        </w:tc>
        <w:tc>
          <w:tcPr>
            <w:tcW w:w="1698"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物理</w:t>
            </w:r>
          </w:p>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实验技术人员</w:t>
            </w:r>
          </w:p>
        </w:tc>
        <w:tc>
          <w:tcPr>
            <w:tcW w:w="1697"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化学</w:t>
            </w:r>
          </w:p>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实验技术人员</w:t>
            </w:r>
          </w:p>
        </w:tc>
        <w:tc>
          <w:tcPr>
            <w:tcW w:w="1697"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生物</w:t>
            </w:r>
          </w:p>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实验技术人员</w:t>
            </w:r>
          </w:p>
        </w:tc>
        <w:tc>
          <w:tcPr>
            <w:tcW w:w="1699" w:type="dxa"/>
            <w:shd w:val="clear" w:color="auto" w:fill="auto"/>
            <w:vAlign w:val="center"/>
          </w:tcPr>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综合性</w:t>
            </w:r>
          </w:p>
          <w:p>
            <w:pPr>
              <w:spacing w:line="400" w:lineRule="exact"/>
              <w:jc w:val="center"/>
              <w:rPr>
                <w:rFonts w:ascii="仿宋_GB2312" w:hAnsi="宋体" w:eastAsia="仿宋_GB2312" w:cs="宋体"/>
                <w:sz w:val="30"/>
                <w:szCs w:val="30"/>
              </w:rPr>
            </w:pPr>
            <w:r>
              <w:rPr>
                <w:rFonts w:hint="eastAsia" w:ascii="仿宋_GB2312" w:hAnsi="宋体" w:eastAsia="仿宋_GB2312" w:cs="宋体"/>
                <w:sz w:val="30"/>
                <w:szCs w:val="30"/>
              </w:rPr>
              <w:t>实验技术人员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8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1-12个</w:t>
            </w:r>
          </w:p>
        </w:tc>
        <w:tc>
          <w:tcPr>
            <w:tcW w:w="1698" w:type="dxa"/>
            <w:shd w:val="clear" w:color="auto" w:fill="auto"/>
            <w:vAlign w:val="center"/>
          </w:tcPr>
          <w:p>
            <w:pPr>
              <w:spacing w:line="580" w:lineRule="exact"/>
              <w:jc w:val="center"/>
              <w:rPr>
                <w:rFonts w:ascii="仿宋_GB2312" w:hAnsi="宋体" w:eastAsia="仿宋_GB2312" w:cs="宋体"/>
                <w:sz w:val="30"/>
                <w:szCs w:val="30"/>
              </w:rPr>
            </w:pPr>
          </w:p>
        </w:tc>
        <w:tc>
          <w:tcPr>
            <w:tcW w:w="1697" w:type="dxa"/>
            <w:shd w:val="clear" w:color="auto" w:fill="auto"/>
            <w:vAlign w:val="center"/>
          </w:tcPr>
          <w:p>
            <w:pPr>
              <w:spacing w:line="580" w:lineRule="exact"/>
              <w:jc w:val="center"/>
              <w:rPr>
                <w:rFonts w:ascii="仿宋_GB2312" w:hAnsi="宋体" w:eastAsia="仿宋_GB2312" w:cs="宋体"/>
                <w:sz w:val="30"/>
                <w:szCs w:val="30"/>
              </w:rPr>
            </w:pPr>
          </w:p>
        </w:tc>
        <w:tc>
          <w:tcPr>
            <w:tcW w:w="1697" w:type="dxa"/>
            <w:shd w:val="clear" w:color="auto" w:fill="auto"/>
            <w:vAlign w:val="center"/>
          </w:tcPr>
          <w:p>
            <w:pPr>
              <w:spacing w:line="580" w:lineRule="exact"/>
              <w:jc w:val="center"/>
              <w:rPr>
                <w:rFonts w:ascii="仿宋_GB2312" w:hAnsi="宋体" w:eastAsia="仿宋_GB2312" w:cs="宋体"/>
                <w:sz w:val="30"/>
                <w:szCs w:val="30"/>
              </w:rPr>
            </w:pPr>
          </w:p>
        </w:tc>
        <w:tc>
          <w:tcPr>
            <w:tcW w:w="169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8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13-24个</w:t>
            </w:r>
          </w:p>
        </w:tc>
        <w:tc>
          <w:tcPr>
            <w:tcW w:w="1698"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c>
          <w:tcPr>
            <w:tcW w:w="1697" w:type="dxa"/>
            <w:shd w:val="clear" w:color="auto" w:fill="auto"/>
            <w:vAlign w:val="center"/>
          </w:tcPr>
          <w:p>
            <w:pPr>
              <w:spacing w:line="580" w:lineRule="exact"/>
              <w:jc w:val="center"/>
              <w:rPr>
                <w:rFonts w:ascii="仿宋_GB2312" w:hAnsi="宋体" w:eastAsia="仿宋_GB2312" w:cs="宋体"/>
                <w:sz w:val="30"/>
                <w:szCs w:val="30"/>
              </w:rPr>
            </w:pPr>
          </w:p>
        </w:tc>
        <w:tc>
          <w:tcPr>
            <w:tcW w:w="1697" w:type="dxa"/>
            <w:shd w:val="clear" w:color="auto" w:fill="auto"/>
            <w:vAlign w:val="center"/>
          </w:tcPr>
          <w:p>
            <w:pPr>
              <w:spacing w:line="580" w:lineRule="exact"/>
              <w:jc w:val="center"/>
              <w:rPr>
                <w:rFonts w:ascii="仿宋_GB2312" w:hAnsi="宋体" w:eastAsia="仿宋_GB2312" w:cs="宋体"/>
                <w:sz w:val="30"/>
                <w:szCs w:val="30"/>
              </w:rPr>
            </w:pPr>
          </w:p>
        </w:tc>
        <w:tc>
          <w:tcPr>
            <w:tcW w:w="169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8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24-36个</w:t>
            </w:r>
          </w:p>
        </w:tc>
        <w:tc>
          <w:tcPr>
            <w:tcW w:w="1698"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c>
          <w:tcPr>
            <w:tcW w:w="1697"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c>
          <w:tcPr>
            <w:tcW w:w="1697"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1</w:t>
            </w:r>
          </w:p>
        </w:tc>
        <w:tc>
          <w:tcPr>
            <w:tcW w:w="1699" w:type="dxa"/>
            <w:shd w:val="clear" w:color="auto" w:fill="auto"/>
            <w:vAlign w:val="center"/>
          </w:tcPr>
          <w:p>
            <w:pPr>
              <w:spacing w:line="580" w:lineRule="exact"/>
              <w:jc w:val="center"/>
              <w:rPr>
                <w:rFonts w:ascii="仿宋_GB2312" w:hAnsi="宋体"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89"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36个以上</w:t>
            </w:r>
          </w:p>
        </w:tc>
        <w:tc>
          <w:tcPr>
            <w:tcW w:w="1698"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2</w:t>
            </w:r>
          </w:p>
        </w:tc>
        <w:tc>
          <w:tcPr>
            <w:tcW w:w="1697"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2</w:t>
            </w:r>
          </w:p>
        </w:tc>
        <w:tc>
          <w:tcPr>
            <w:tcW w:w="1697" w:type="dxa"/>
            <w:shd w:val="clear" w:color="auto" w:fill="auto"/>
            <w:vAlign w:val="center"/>
          </w:tcPr>
          <w:p>
            <w:pPr>
              <w:spacing w:line="580" w:lineRule="exact"/>
              <w:jc w:val="center"/>
              <w:rPr>
                <w:rFonts w:ascii="仿宋_GB2312" w:hAnsi="宋体" w:eastAsia="仿宋_GB2312" w:cs="宋体"/>
                <w:sz w:val="30"/>
                <w:szCs w:val="30"/>
              </w:rPr>
            </w:pPr>
            <w:r>
              <w:rPr>
                <w:rFonts w:hint="eastAsia" w:ascii="仿宋_GB2312" w:hAnsi="宋体" w:eastAsia="仿宋_GB2312" w:cs="宋体"/>
                <w:sz w:val="30"/>
                <w:szCs w:val="30"/>
              </w:rPr>
              <w:t>2</w:t>
            </w:r>
          </w:p>
        </w:tc>
        <w:tc>
          <w:tcPr>
            <w:tcW w:w="1699" w:type="dxa"/>
            <w:shd w:val="clear" w:color="auto" w:fill="auto"/>
            <w:vAlign w:val="center"/>
          </w:tcPr>
          <w:p>
            <w:pPr>
              <w:spacing w:line="580" w:lineRule="exact"/>
              <w:jc w:val="center"/>
              <w:rPr>
                <w:rFonts w:ascii="仿宋_GB2312" w:hAnsi="宋体" w:eastAsia="仿宋_GB2312" w:cs="宋体"/>
                <w:sz w:val="30"/>
                <w:szCs w:val="30"/>
              </w:rPr>
            </w:pPr>
          </w:p>
        </w:tc>
      </w:tr>
    </w:tbl>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加大培训指导工作力度。深圳市初中理科信息化实验教学与测评改革工作的技术含量高、理念新，还具有时间紧、任务重、要求高和投入大的特点，要求市、区教育部门多方参与、齐抓共管，市教育局将采取各种形式分时段开展检查督导工作。市、区、校相关部门要按照深圳市《初中理科实验教学标准》和《初中理科实验教学与测评装备标准》的要求，确保2021年对全市初中理科教师、实验技术人员、信息技术教师和教学管理人员等进行系统的全员轮训，确保各项工作的顺利推进。教学研究部门要加大对初中阶段理科实验教学与测评改革实施指导的力度，集思广益，做好教学标准的修订和研究工作，保证实验教学和测评改革工作持续进行。</w:t>
      </w:r>
    </w:p>
    <w:p>
      <w:pPr>
        <w:spacing w:line="580" w:lineRule="exact"/>
        <w:ind w:firstLine="643" w:firstLineChars="200"/>
        <w:rPr>
          <w:rFonts w:ascii="楷体_GB2312" w:hAnsi="宋体" w:eastAsia="楷体_GB2312" w:cs="宋体"/>
          <w:b/>
          <w:bCs/>
          <w:sz w:val="32"/>
          <w:szCs w:val="32"/>
        </w:rPr>
      </w:pPr>
      <w:r>
        <w:rPr>
          <w:rFonts w:hint="eastAsia" w:ascii="楷体_GB2312" w:hAnsi="宋体" w:eastAsia="楷体_GB2312" w:cs="宋体"/>
          <w:b/>
          <w:bCs/>
          <w:sz w:val="32"/>
          <w:szCs w:val="32"/>
        </w:rPr>
        <w:t>（五）加强理科实验室的建设、维护和管理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各地各校要按照标准和实际需求建设实验教学场所，支持探索建设学科功能教室、综合实验室、创新实验室、创客教育空间等，鼓励对普通教室进行多功能技术改造，建设复合型综合实验教学环境。要落实教育部颁布的学科教学装备配置标准，保质保量配置并及时更新教学仪器设备，确保消耗性实验材料的补充与供给，满足实验教学基本需求。各地各校要落实实验室管理规程，合理配置实验室技术人员，确保实验室规范有效管理。</w:t>
      </w:r>
    </w:p>
    <w:p>
      <w:pPr>
        <w:pStyle w:val="10"/>
        <w:widowControl/>
        <w:ind w:firstLine="640" w:firstLineChars="200"/>
        <w:jc w:val="both"/>
        <w:rPr>
          <w:rFonts w:ascii="仿宋_GB2312" w:hAnsi="宋体" w:eastAsia="仿宋_GB2312" w:cs="宋体"/>
          <w:kern w:val="2"/>
          <w:sz w:val="32"/>
          <w:szCs w:val="32"/>
        </w:rPr>
      </w:pPr>
      <w:r>
        <w:rPr>
          <w:rFonts w:hint="eastAsia" w:ascii="仿宋_GB2312" w:hAnsi="宋体" w:eastAsia="仿宋_GB2312" w:cs="宋体"/>
          <w:kern w:val="2"/>
          <w:sz w:val="32"/>
          <w:szCs w:val="32"/>
        </w:rPr>
        <w:t>2.强化实验教学安全管理。各校要切实增强实验教学安全意识，落实实验室安全管理制度，制定实验教学安全预案。市、区教育行政部门要会同有关部门制定并完善教学用试剂（药品）中的危险化学品、易制爆危险化学品及易制毒化学品采购、运输、储存、保管、使用、回收管理办法，既要保障实验教学正常开展，又要确保使用安全，达到环保要求。学校要认真落实危险化学品管理办法，健全实验教学安全责任制，定期开展安全风险排查，确保实验场所具备良好的通风、采光、照明、防盗、防火、防爆、防潮、防霉等条件；要加强师生实验教学安全教育，特别是要强化实验室技术人员、管理人员和实验教学任课教师安全责任意识，提升实验教学安全管理能力。</w:t>
      </w:r>
    </w:p>
    <w:p>
      <w:pPr>
        <w:spacing w:line="580" w:lineRule="exact"/>
        <w:ind w:firstLine="640" w:firstLineChars="200"/>
        <w:jc w:val="left"/>
        <w:rPr>
          <w:rFonts w:ascii="黑体" w:hAnsi="黑体" w:eastAsia="黑体" w:cs="宋体"/>
          <w:bCs/>
          <w:sz w:val="32"/>
          <w:szCs w:val="32"/>
        </w:rPr>
      </w:pPr>
      <w:r>
        <w:rPr>
          <w:rFonts w:hint="eastAsia" w:ascii="黑体" w:hAnsi="黑体" w:eastAsia="黑体" w:cs="宋体"/>
          <w:bCs/>
          <w:sz w:val="32"/>
          <w:szCs w:val="32"/>
        </w:rPr>
        <w:t>四、保障措施</w:t>
      </w:r>
    </w:p>
    <w:p>
      <w:pPr>
        <w:spacing w:line="580" w:lineRule="exact"/>
        <w:ind w:firstLine="643" w:firstLineChars="200"/>
        <w:rPr>
          <w:rFonts w:ascii="黑体" w:hAnsi="黑体" w:eastAsia="黑体" w:cs="宋体"/>
          <w:bCs/>
          <w:sz w:val="32"/>
          <w:szCs w:val="32"/>
        </w:rPr>
      </w:pPr>
      <w:r>
        <w:rPr>
          <w:rFonts w:hint="eastAsia" w:ascii="仿宋_GB2312" w:hAnsi="宋体" w:eastAsia="仿宋_GB2312" w:cs="宋体"/>
          <w:b/>
          <w:bCs/>
          <w:sz w:val="32"/>
          <w:szCs w:val="32"/>
        </w:rPr>
        <w:t>（一）加强组织领导。</w:t>
      </w:r>
      <w:r>
        <w:rPr>
          <w:rFonts w:hint="eastAsia" w:ascii="仿宋_GB2312" w:hAnsi="宋体" w:eastAsia="仿宋_GB2312" w:cs="宋体"/>
          <w:sz w:val="32"/>
          <w:szCs w:val="32"/>
        </w:rPr>
        <w:t>教育行政部门要从全面贯彻党的教育方针，坚持“五育并举”，发展素质教育，提高基础教育质量的战略高度，切实加强对中小学实验教学工作的组织领导。深圳市教育局成立初中理科实验教学与测评改革领导小组，负责全市实验教学与测评改革工作的指导和协调。各区教育局成立相应的领导小组，制定本区初中理科实验教学与测评改革的实施方案。各相关职能部门负责全市的专业培训、教学监测、考试组织、技术保障等工作。各校要将实验教学作为教学工作的重要内容，找准薄弱环节，强化实验教学管理，落实实验教学任务，不断提高实验教学水平。</w:t>
      </w:r>
    </w:p>
    <w:p>
      <w:pPr>
        <w:pStyle w:val="10"/>
        <w:widowControl/>
        <w:spacing w:line="450" w:lineRule="atLeast"/>
        <w:ind w:firstLine="643" w:firstLineChars="200"/>
        <w:jc w:val="both"/>
        <w:rPr>
          <w:rFonts w:ascii="仿宋_GB2312" w:hAnsi="宋体" w:eastAsia="仿宋_GB2312" w:cs="宋体"/>
          <w:sz w:val="32"/>
          <w:szCs w:val="32"/>
        </w:rPr>
      </w:pPr>
      <w:r>
        <w:rPr>
          <w:rFonts w:hint="eastAsia" w:ascii="仿宋_GB2312" w:hAnsi="宋体" w:eastAsia="仿宋_GB2312" w:cs="宋体"/>
          <w:b/>
          <w:bCs/>
          <w:sz w:val="32"/>
          <w:szCs w:val="32"/>
        </w:rPr>
        <w:t>（二）保障经费投入。</w:t>
      </w:r>
      <w:r>
        <w:rPr>
          <w:rFonts w:hint="eastAsia" w:ascii="仿宋_GB2312" w:hAnsi="宋体" w:eastAsia="仿宋_GB2312" w:cs="宋体"/>
          <w:sz w:val="32"/>
          <w:szCs w:val="32"/>
        </w:rPr>
        <w:t>各区各校要为实验室建设与管理、设备维修维护、仪器和实验材料更新补充、学科教师和实验室技术人员、管理员研修培训、活动开展等提供经费保障。义务教育薄弱环节改善与能力提升工作项目中应根据需要安排相应资金用于实验室建设和其他实验教学条件保障，所需经费按照学校的隶属关系由市、区财政承担，公办学校应优先从生均日常运行经费中安排相应资金用于实验教学实施。市、区教育局要组织人员进行经费测算，纳入当年市、区两级财政预算。各区（校）可以向同级财政部门申请2021年度专项经费，公办学校在2</w:t>
      </w:r>
      <w:r>
        <w:rPr>
          <w:rFonts w:ascii="仿宋_GB2312" w:hAnsi="宋体" w:eastAsia="仿宋_GB2312" w:cs="宋体"/>
          <w:sz w:val="32"/>
          <w:szCs w:val="32"/>
        </w:rPr>
        <w:t>022</w:t>
      </w:r>
      <w:r>
        <w:rPr>
          <w:rFonts w:hint="eastAsia" w:ascii="仿宋_GB2312" w:hAnsi="宋体" w:eastAsia="仿宋_GB2312" w:cs="宋体"/>
          <w:sz w:val="32"/>
          <w:szCs w:val="32"/>
        </w:rPr>
        <w:t>年先行建设，争取主动，确保202</w:t>
      </w:r>
      <w:r>
        <w:rPr>
          <w:rFonts w:ascii="仿宋_GB2312" w:hAnsi="宋体" w:eastAsia="仿宋_GB2312" w:cs="宋体"/>
          <w:sz w:val="32"/>
          <w:szCs w:val="32"/>
        </w:rPr>
        <w:t>2</w:t>
      </w:r>
      <w:r>
        <w:rPr>
          <w:rFonts w:hint="eastAsia" w:ascii="仿宋_GB2312" w:hAnsi="宋体" w:eastAsia="仿宋_GB2312" w:cs="宋体"/>
          <w:sz w:val="32"/>
          <w:szCs w:val="32"/>
        </w:rPr>
        <w:t>年12月前建设到位。民办学校要在2</w:t>
      </w:r>
      <w:r>
        <w:rPr>
          <w:rFonts w:ascii="仿宋_GB2312" w:hAnsi="宋体" w:eastAsia="仿宋_GB2312" w:cs="宋体"/>
          <w:sz w:val="32"/>
          <w:szCs w:val="32"/>
        </w:rPr>
        <w:t>023</w:t>
      </w:r>
      <w:r>
        <w:rPr>
          <w:rFonts w:hint="eastAsia" w:ascii="仿宋_GB2312" w:hAnsi="宋体" w:eastAsia="仿宋_GB2312" w:cs="宋体"/>
          <w:sz w:val="32"/>
          <w:szCs w:val="32"/>
        </w:rPr>
        <w:t>年1</w:t>
      </w:r>
      <w:r>
        <w:rPr>
          <w:rFonts w:ascii="仿宋_GB2312" w:hAnsi="宋体" w:eastAsia="仿宋_GB2312" w:cs="宋体"/>
          <w:sz w:val="32"/>
          <w:szCs w:val="32"/>
        </w:rPr>
        <w:t>2</w:t>
      </w:r>
      <w:r>
        <w:rPr>
          <w:rFonts w:hint="eastAsia" w:ascii="仿宋_GB2312" w:hAnsi="宋体" w:eastAsia="仿宋_GB2312" w:cs="宋体"/>
          <w:sz w:val="32"/>
          <w:szCs w:val="32"/>
        </w:rPr>
        <w:t>月底完成信息化实验室建设，建设经费和其他实验教学条件保障经费可计入办学成本，主要以收取学费解决，各区财政适当予以补贴。</w:t>
      </w:r>
    </w:p>
    <w:p>
      <w:pPr>
        <w:pStyle w:val="10"/>
        <w:widowControl/>
        <w:spacing w:line="450" w:lineRule="atLeast"/>
        <w:ind w:firstLine="420"/>
        <w:jc w:val="both"/>
        <w:rPr>
          <w:rFonts w:ascii="仿宋_GB2312" w:hAnsi="宋体" w:eastAsia="仿宋_GB2312" w:cs="宋体"/>
          <w:sz w:val="32"/>
          <w:szCs w:val="32"/>
        </w:rPr>
      </w:pPr>
      <w:r>
        <w:rPr>
          <w:rFonts w:hint="eastAsia" w:ascii="仿宋_GB2312" w:hAnsi="宋体" w:eastAsia="仿宋_GB2312" w:cs="宋体"/>
          <w:b/>
          <w:bCs/>
          <w:sz w:val="32"/>
          <w:szCs w:val="32"/>
        </w:rPr>
        <w:t>（三）强化督导评估。</w:t>
      </w:r>
      <w:r>
        <w:rPr>
          <w:rFonts w:hint="eastAsia" w:ascii="仿宋_GB2312" w:hAnsi="宋体" w:eastAsia="仿宋_GB2312" w:cs="宋体"/>
          <w:sz w:val="32"/>
          <w:szCs w:val="32"/>
        </w:rPr>
        <w:t>市区教育督导部门要将中小学实验教学条件保障纳入对地方人民政府履行教育职责督导评估的重要内容；要加强对学校实验教学开展情况的督导检查。强化督导评估和检查结果运用，对存在实验教学条件保障不到位、不按规定开足开齐实验课程、不落实实验教学安全管理责任等问题的地方和学校，要及时整改。情况严重的，要依法依规严肃追究相关责任人责任。</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（四）做好舆论宣传。</w:t>
      </w:r>
      <w:r>
        <w:rPr>
          <w:rFonts w:hint="eastAsia" w:ascii="仿宋_GB2312" w:hAnsi="宋体" w:eastAsia="仿宋_GB2312" w:cs="宋体"/>
          <w:sz w:val="32"/>
          <w:szCs w:val="32"/>
        </w:rPr>
        <w:t>初中理科标准化实验教学与测评改革是深圳市深化素质教育的重大举措，涉及面宽，影响大，需要得到社会各界的大力支持。各区、各学校要主动做好正面宣传，各媒体要站在支持教育改革创新的高度，加强舆论引导，为教育评价考试制度的改革营造良好的社会环境。</w:t>
      </w:r>
    </w:p>
    <w:p>
      <w:pPr>
        <w:spacing w:line="580" w:lineRule="exact"/>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附件：</w:t>
      </w:r>
      <w:r>
        <w:rPr>
          <w:rFonts w:ascii="仿宋_GB2312" w:hAnsi="宋体" w:eastAsia="仿宋_GB2312" w:cs="宋体"/>
          <w:sz w:val="32"/>
          <w:szCs w:val="32"/>
        </w:rPr>
        <w:t>1</w:t>
      </w:r>
      <w:r>
        <w:rPr>
          <w:rFonts w:hint="eastAsia" w:ascii="仿宋_GB2312" w:hAnsi="宋体" w:eastAsia="仿宋_GB2312" w:cs="宋体"/>
          <w:sz w:val="32"/>
          <w:szCs w:val="32"/>
        </w:rPr>
        <w:t>.深圳市初中理科实验教学与测评标准</w:t>
      </w:r>
    </w:p>
    <w:p>
      <w:pPr>
        <w:spacing w:line="580" w:lineRule="exact"/>
        <w:ind w:firstLine="1600" w:firstLineChars="5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.深圳市初中理科实验教学与测评装备标准</w:t>
      </w: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方正小标宋简体" w:hAnsi="黑体" w:eastAsia="黑体" w:cs="黑体"/>
          <w:sz w:val="40"/>
          <w:szCs w:val="40"/>
        </w:rPr>
      </w:pPr>
      <w:r>
        <w:rPr>
          <w:rFonts w:hint="eastAsia" w:ascii="黑体" w:hAnsi="黑体" w:eastAsia="黑体" w:cs="宋体"/>
          <w:sz w:val="32"/>
          <w:szCs w:val="32"/>
        </w:rPr>
        <w:t>附件</w:t>
      </w:r>
      <w:r>
        <w:rPr>
          <w:rFonts w:ascii="黑体" w:hAnsi="黑体" w:eastAsia="黑体" w:cs="宋体"/>
          <w:sz w:val="32"/>
          <w:szCs w:val="32"/>
        </w:rPr>
        <w:t>1</w:t>
      </w:r>
    </w:p>
    <w:p>
      <w:pPr>
        <w:spacing w:line="360" w:lineRule="auto"/>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深圳市初中理科实验教学与测评标准</w:t>
      </w:r>
    </w:p>
    <w:p>
      <w:pPr>
        <w:spacing w:line="580" w:lineRule="exact"/>
        <w:ind w:left="640"/>
        <w:rPr>
          <w:rFonts w:eastAsia="黑体"/>
          <w:sz w:val="32"/>
          <w:szCs w:val="32"/>
        </w:rPr>
      </w:pPr>
    </w:p>
    <w:p>
      <w:pPr>
        <w:spacing w:line="580" w:lineRule="exact"/>
        <w:ind w:left="640"/>
        <w:rPr>
          <w:rFonts w:eastAsia="黑体"/>
          <w:sz w:val="32"/>
          <w:szCs w:val="32"/>
        </w:rPr>
      </w:pPr>
      <w:r>
        <w:rPr>
          <w:rFonts w:hint="eastAsia" w:eastAsia="黑体"/>
          <w:sz w:val="32"/>
          <w:szCs w:val="32"/>
        </w:rPr>
        <w:t>一、指导思想</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验是理科教学的灵魂，是创新教育的试金石。从深圳市作为中国特色社会主义先行示范区的定位而言，创建具有深圳特色的中学理科实验教学与测评体系，保障初中理科实验教学，关乎深圳下一代建设者的卓越成长，有着深远且重大的现实意义。</w:t>
      </w:r>
    </w:p>
    <w:p>
      <w:pPr>
        <w:spacing w:line="580" w:lineRule="exact"/>
        <w:ind w:firstLine="640" w:firstLineChars="200"/>
        <w:rPr>
          <w:rFonts w:eastAsia="黑体"/>
          <w:sz w:val="32"/>
          <w:szCs w:val="32"/>
        </w:rPr>
      </w:pPr>
      <w:r>
        <w:rPr>
          <w:rFonts w:hint="eastAsia" w:ascii="仿宋_GB2312" w:hAnsi="宋体" w:eastAsia="仿宋_GB2312" w:cs="宋体"/>
          <w:sz w:val="32"/>
          <w:szCs w:val="32"/>
        </w:rPr>
        <w:t>深圳市初中理科（物理、化学、生物）教学经过了“分科教学→综合科学教学→分科教学”的特殊历程，多年的探索为初中理科实验教学改革积累了丰富的经验，也让深圳市的初中理科教学课程改革持续走在全国的最前沿。在此背景下，</w:t>
      </w:r>
      <w:r>
        <w:rPr>
          <w:rFonts w:ascii="仿宋_GB2312" w:hAnsi="宋体" w:eastAsia="仿宋_GB2312" w:cs="宋体"/>
          <w:sz w:val="32"/>
          <w:szCs w:val="32"/>
        </w:rPr>
        <w:t>为了全面贯彻落实《教育部关于加强和改进中小学实验教学的意见》（教基〔2019〕16号）、《广东省教育厅关于加强和改进中小学实验教学的实施意见》（粤教装备〔2020〕1号）、《广东省教育厅关于初中学业水平考试物理、化学、生物学等科目实验考试的指导意见》（粤教考〔2020〕7号）等文件精神，</w:t>
      </w:r>
      <w:r>
        <w:rPr>
          <w:rFonts w:hint="eastAsia" w:ascii="仿宋_GB2312" w:hAnsi="宋体" w:eastAsia="仿宋_GB2312" w:cs="宋体"/>
          <w:sz w:val="32"/>
          <w:szCs w:val="32"/>
        </w:rPr>
        <w:t>充分发挥实验教学的核心作用，深圳市持续探索理科实验教学改革、测评方式改革。依据上级文件的指示和要求，在深圳市教科院的监制下，制定和推行初中理科实验教学与测评标准，以期落实理科学科核心素养，满足社会主义核心价值观下理科学科育人的基本要求。</w:t>
      </w:r>
    </w:p>
    <w:p>
      <w:pPr>
        <w:spacing w:line="580" w:lineRule="exact"/>
        <w:ind w:firstLine="960" w:firstLineChars="300"/>
        <w:rPr>
          <w:rFonts w:eastAsia="黑体"/>
          <w:sz w:val="32"/>
          <w:szCs w:val="32"/>
        </w:rPr>
      </w:pPr>
      <w:r>
        <w:rPr>
          <w:rFonts w:hint="eastAsia" w:eastAsia="黑体"/>
          <w:sz w:val="32"/>
          <w:szCs w:val="32"/>
        </w:rPr>
        <w:t>二、基本原则</w:t>
      </w:r>
    </w:p>
    <w:p>
      <w:pPr>
        <w:spacing w:line="580" w:lineRule="exact"/>
        <w:ind w:left="420" w:firstLine="321" w:firstLineChars="100"/>
        <w:rPr>
          <w:rFonts w:ascii="楷体_GB2312" w:eastAsia="楷体_GB2312"/>
          <w:b/>
          <w:bCs/>
          <w:sz w:val="32"/>
          <w:szCs w:val="32"/>
        </w:rPr>
      </w:pPr>
      <w:r>
        <w:rPr>
          <w:rFonts w:hint="eastAsia" w:ascii="楷体_GB2312" w:eastAsia="楷体_GB2312"/>
          <w:b/>
          <w:bCs/>
          <w:sz w:val="32"/>
          <w:szCs w:val="32"/>
        </w:rPr>
        <w:t>（一）指导性原则</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初中理科实验教学与测评标准紧扣《义务教育初中课程标准（2011年版）》</w:t>
      </w:r>
      <w:r>
        <w:rPr>
          <w:rFonts w:hint="eastAsia" w:ascii="仿宋_GB2312" w:hAnsi="宋体" w:eastAsia="仿宋_GB2312" w:cs="宋体"/>
          <w:sz w:val="32"/>
          <w:szCs w:val="32"/>
          <w:vertAlign w:val="superscript"/>
        </w:rPr>
        <w:t>文献[</w:t>
      </w:r>
      <w:r>
        <w:rPr>
          <w:rFonts w:ascii="仿宋_GB2312" w:hAnsi="宋体" w:eastAsia="仿宋_GB2312" w:cs="宋体"/>
          <w:sz w:val="32"/>
          <w:szCs w:val="32"/>
          <w:vertAlign w:val="superscript"/>
        </w:rPr>
        <w:t>1][2][3]</w:t>
      </w:r>
      <w:r>
        <w:rPr>
          <w:rFonts w:hint="eastAsia" w:ascii="仿宋_GB2312" w:hAnsi="宋体" w:eastAsia="仿宋_GB2312" w:cs="宋体"/>
          <w:sz w:val="32"/>
          <w:szCs w:val="32"/>
        </w:rPr>
        <w:t>，对初中物理、化学、生物实验教学进行深入探讨，进一步推进深圳市理科教学改革工作走进深水区。一方面，要厘清义务教育初中物理、化学、生物实验教学涵盖的基本知识、基本技能和基本方法，以便教师在实验教学中落实必备知识；另一方面，要确定实验教学的学业质量和测评标准，实现“教、学、评”一体化，提高学生的关键能力。该标准将理论与实践相结合，既是成果的梳理，又意在成为一线初中理科教师的实验教学指南。以期为教师针对初中理科实验的备课、教学、评价提供依据和参考。</w:t>
      </w:r>
    </w:p>
    <w:p>
      <w:pPr>
        <w:spacing w:line="580" w:lineRule="exact"/>
        <w:ind w:left="420" w:firstLine="321" w:firstLineChars="100"/>
        <w:rPr>
          <w:rFonts w:ascii="楷体_GB2312" w:eastAsia="楷体_GB2312"/>
          <w:b/>
          <w:bCs/>
          <w:sz w:val="32"/>
          <w:szCs w:val="32"/>
        </w:rPr>
      </w:pPr>
      <w:r>
        <w:rPr>
          <w:rFonts w:hint="eastAsia" w:ascii="楷体_GB2312" w:eastAsia="楷体_GB2312"/>
          <w:b/>
          <w:bCs/>
          <w:sz w:val="32"/>
          <w:szCs w:val="32"/>
        </w:rPr>
        <w:t>（二）适切性原则</w:t>
      </w:r>
    </w:p>
    <w:p>
      <w:pPr>
        <w:spacing w:line="580" w:lineRule="exact"/>
        <w:ind w:firstLine="480"/>
        <w:rPr>
          <w:rFonts w:ascii="仿宋_GB2312" w:hAnsi="宋体" w:eastAsia="仿宋_GB2312" w:cs="宋体"/>
          <w:sz w:val="32"/>
          <w:szCs w:val="32"/>
        </w:rPr>
      </w:pPr>
      <w:r>
        <w:rPr>
          <w:rFonts w:hint="eastAsia" w:eastAsia="楷体"/>
          <w:b/>
          <w:bCs/>
          <w:sz w:val="32"/>
          <w:szCs w:val="32"/>
        </w:rPr>
        <w:t xml:space="preserve"> </w:t>
      </w:r>
      <w:r>
        <w:rPr>
          <w:rFonts w:hint="eastAsia" w:ascii="仿宋_GB2312" w:hAnsi="宋体" w:eastAsia="仿宋_GB2312" w:cs="宋体"/>
          <w:sz w:val="32"/>
          <w:szCs w:val="32"/>
        </w:rPr>
        <w:t>新课标从课程的视角在宏观层面提出了普适性的内容要求，这些要求针对的是学段结束时的学习要求。但是在实际教学中，一线教师更需要的是针对教材内容的具体教学内容要求。“实验教学与测评标准”正是针对课程标准的局限性，提供给教师以课时为节点的学业质量和教学实施规范，为新课程背景下的教学提供指导。</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初中理科实验课时教学标准研究为抓手，研究学生实验活动的课时学业质量标准和实验教学测量评价等问题，形成一套实验操作考查试题库和评分标准，进而形成适合深圳本土化特色与需求的初中实验课时教学标准体系，这也是对中考实验操作考查的探索研究。深圳市区域性实验课时教学与测评标准的出台，将针对深圳学生的具体学情，协助初中理科教师面对课改难点问题和实验教学难题，指导初中理科实验课堂教学，打破课堂模式僵化的困局，优化理科实验的命题与评价方式，以评价改革推进初中理科实验教学改革，培养学生基本的理科实验方法、思维与操作技能，切实发展提升学生的理科学科核心素养。</w:t>
      </w:r>
    </w:p>
    <w:p>
      <w:pPr>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（三）发展性原则</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深圳市在实验室的管理、实验装备的配置和实验考核标准上还存在一些核心共性的问题。例如，大多数学校缺少专职实验教师，学校实验室无法在课余时间对学生开放，课外探究性学习活动流于形式；实验室管理员短缺，部分学校的实验室建设还不规范，仪器与药品采购等没有明确的规划；多数学校的实验仪器与药品只能满足教材上的学生必做实验或教师演示实验，缺乏创新实验的仪器配置；初中理科实验“教、学、评”一体化制度亟待建立、健全，以便更公平、公正的开展实验操作考试，为计入中考总分创造条件等等。</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初中理科实验教学与测评标准将凝聚一线教师的共识，推动上述问题的解决，以实验创新能力的提升为抓手，实现关键能力的综合发展。</w:t>
      </w:r>
    </w:p>
    <w:p>
      <w:pPr>
        <w:spacing w:line="580" w:lineRule="exact"/>
        <w:ind w:firstLine="640" w:firstLineChars="200"/>
        <w:rPr>
          <w:rFonts w:eastAsia="黑体"/>
          <w:sz w:val="32"/>
          <w:szCs w:val="32"/>
        </w:rPr>
      </w:pPr>
      <w:r>
        <w:rPr>
          <w:rFonts w:hint="eastAsia" w:eastAsia="黑体"/>
          <w:sz w:val="32"/>
          <w:szCs w:val="32"/>
        </w:rPr>
        <w:t>三、基本理念</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于“教、学、评”一体化理念制定初中理科实验教学与测评标准，推动理科核心素养在实验教学过程中真正落地，对开展“素养为本”的实验教学大有裨益。这为一线教师认识、理解、落实课标，实施新课程引领下的理科实验教学评价提供了借鉴。</w:t>
      </w:r>
    </w:p>
    <w:p>
      <w:pPr>
        <w:spacing w:line="580" w:lineRule="exact"/>
        <w:ind w:firstLine="640" w:firstLineChars="200"/>
        <w:rPr>
          <w:rFonts w:eastAsia="黑体"/>
          <w:sz w:val="32"/>
          <w:szCs w:val="32"/>
        </w:rPr>
      </w:pPr>
      <w:r>
        <w:rPr>
          <w:rFonts w:hint="eastAsia" w:ascii="仿宋_GB2312" w:hAnsi="宋体" w:eastAsia="仿宋_GB2312" w:cs="宋体"/>
          <w:sz w:val="32"/>
          <w:szCs w:val="32"/>
        </w:rPr>
        <w:t>总而言之，制定初中理科实验教学与测评标准的基本理念是：以发展初中理科学科核心素养为主旨，设置满足学生多元发展需求的初中理科实验课程，选择体现基础性和时代性的实验课程内容，重视开展“素养为本”的教学，倡导基于理科学科核心素养的评价。从而落实立德树人根本任务、发展素质教育、弘扬科学精神，培养可以传承科学文化的高素质人才。</w:t>
      </w:r>
    </w:p>
    <w:p>
      <w:pPr>
        <w:spacing w:line="580" w:lineRule="exact"/>
        <w:ind w:firstLine="640" w:firstLineChars="200"/>
        <w:rPr>
          <w:rFonts w:eastAsia="黑体"/>
          <w:sz w:val="32"/>
          <w:szCs w:val="32"/>
        </w:rPr>
      </w:pPr>
      <w:r>
        <w:rPr>
          <w:rFonts w:hint="eastAsia" w:eastAsia="黑体"/>
          <w:sz w:val="32"/>
          <w:szCs w:val="32"/>
        </w:rPr>
        <w:t>四、编制方法</w:t>
      </w:r>
    </w:p>
    <w:p>
      <w:pPr>
        <w:spacing w:line="580" w:lineRule="exact"/>
        <w:ind w:firstLine="640"/>
        <w:rPr>
          <w:rFonts w:eastAsia="仿宋_GB2312"/>
          <w:sz w:val="32"/>
          <w:szCs w:val="32"/>
        </w:rPr>
      </w:pPr>
      <w:r>
        <w:rPr>
          <w:rFonts w:hint="eastAsia" w:ascii="仿宋_GB2312" w:hAnsi="宋体" w:eastAsia="仿宋_GB2312" w:cs="宋体"/>
          <w:sz w:val="32"/>
          <w:szCs w:val="32"/>
        </w:rPr>
        <w:t>编制初中理科实验教学标准时，首先结合深圳市初中理科实验教学的教情和学情制定研究方案，创造性应用国家级课题《基于“教、学、评”一体化的初中化学学业质量云评价研究》的研究成果</w:t>
      </w:r>
      <w:r>
        <w:rPr>
          <w:rFonts w:hint="eastAsia" w:ascii="仿宋_GB2312" w:hAnsi="宋体" w:eastAsia="仿宋_GB2312" w:cs="宋体"/>
          <w:sz w:val="32"/>
          <w:szCs w:val="32"/>
          <w:vertAlign w:val="superscript"/>
        </w:rPr>
        <w:t>文献[</w:t>
      </w:r>
      <w:r>
        <w:rPr>
          <w:rFonts w:ascii="仿宋_GB2312" w:hAnsi="宋体" w:eastAsia="仿宋_GB2312" w:cs="宋体"/>
          <w:sz w:val="32"/>
          <w:szCs w:val="32"/>
          <w:vertAlign w:val="superscript"/>
        </w:rPr>
        <w:t>4][5]</w:t>
      </w:r>
      <w:r>
        <w:rPr>
          <w:rFonts w:hint="eastAsia" w:ascii="仿宋_GB2312" w:hAnsi="宋体" w:eastAsia="仿宋_GB2312" w:cs="宋体"/>
          <w:sz w:val="32"/>
          <w:szCs w:val="32"/>
        </w:rPr>
        <w:t>，制定理科实验课时教学要求和规范。</w:t>
      </w:r>
    </w:p>
    <w:p>
      <w:pPr>
        <w:adjustRightIn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编制初中理科实验教学标准的核心思想是围绕“二维三度”进行“教、学、评”一体化设计。“二维”指的是核心素养的“两个维度”：必备知识（基本知识、基本技能、基本方法）与关键能力（目标等级），“三度”指的是“教、学、评”的“三个指标”：教学程度（质量水平）、测评难度（通过率）与思维梯度（</w:t>
      </w:r>
      <w:r>
        <w:rPr>
          <w:rFonts w:eastAsia="仿宋_GB2312"/>
          <w:sz w:val="32"/>
          <w:szCs w:val="32"/>
        </w:rPr>
        <w:t>SOLO分类</w:t>
      </w:r>
      <w:r>
        <w:rPr>
          <w:rFonts w:hint="eastAsia" w:ascii="仿宋_GB2312" w:hAnsi="宋体" w:eastAsia="仿宋_GB2312" w:cs="宋体"/>
          <w:sz w:val="32"/>
          <w:szCs w:val="32"/>
        </w:rPr>
        <w:t>）。“教、学、评”一体化设计的关键是要解决教师用好教材的问题，即要回答“教什么（教学内容）”、“学到什么程度（学业质量）”、“考什么（考点分布）”、“考到什么程度（评价体系）”等一系列的问题。也即是要在课程标准和教材之间构建一个教学实施规范。</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具体来说，编制过程分为六个步骤</w:t>
      </w:r>
      <w:r>
        <w:rPr>
          <w:rFonts w:hint="eastAsia" w:ascii="仿宋_GB2312" w:hAnsi="宋体" w:eastAsia="仿宋_GB2312" w:cs="宋体"/>
          <w:sz w:val="32"/>
          <w:szCs w:val="32"/>
          <w:vertAlign w:val="superscript"/>
        </w:rPr>
        <w:t>文献[</w:t>
      </w:r>
      <w:r>
        <w:rPr>
          <w:rFonts w:ascii="仿宋_GB2312" w:hAnsi="宋体" w:eastAsia="仿宋_GB2312" w:cs="宋体"/>
          <w:sz w:val="32"/>
          <w:szCs w:val="32"/>
          <w:vertAlign w:val="superscript"/>
        </w:rPr>
        <w:t>4]</w:t>
      </w:r>
      <w:r>
        <w:rPr>
          <w:rFonts w:hint="eastAsia" w:ascii="仿宋_GB2312" w:hAnsi="宋体" w:eastAsia="仿宋_GB2312" w:cs="宋体"/>
          <w:sz w:val="32"/>
          <w:szCs w:val="32"/>
        </w:rPr>
        <w:t>。</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第1步：分析课标、教材内容，确定必备知识，即明确基本知识、基本技能和基本方法，并初步设定实验教学程度，明确关键能力目标。</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第2步：厘定实验测评标准，即确定考点和难度。</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第3步：编写实验测评试题，拟定双向细目表。</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第4步：实验测试和成绩统计。</w:t>
      </w:r>
    </w:p>
    <w:p>
      <w:pPr>
        <w:adjustRightInd w:val="0"/>
        <w:snapToGrid w:val="0"/>
        <w:spacing w:line="580" w:lineRule="exact"/>
        <w:ind w:firstLine="560"/>
        <w:rPr>
          <w:rFonts w:ascii="仿宋_GB2312" w:hAnsi="宋体" w:eastAsia="仿宋_GB2312" w:cs="宋体"/>
          <w:sz w:val="32"/>
          <w:szCs w:val="32"/>
        </w:rPr>
      </w:pPr>
      <w:r>
        <w:rPr>
          <w:rFonts w:hint="eastAsia" w:ascii="仿宋_GB2312" w:hAnsi="宋体" w:eastAsia="仿宋_GB2312" w:cs="宋体"/>
          <w:sz w:val="32"/>
          <w:szCs w:val="32"/>
        </w:rPr>
        <w:t>第5步：大数据统计分析“教、学、评”一致性结果。</w:t>
      </w:r>
    </w:p>
    <w:p>
      <w:pPr>
        <w:adjustRightInd w:val="0"/>
        <w:snapToGrid w:val="0"/>
        <w:spacing w:line="580" w:lineRule="exact"/>
        <w:ind w:firstLine="560"/>
        <w:rPr>
          <w:rFonts w:eastAsia="黑体"/>
          <w:sz w:val="32"/>
          <w:szCs w:val="32"/>
        </w:rPr>
      </w:pPr>
      <w:r>
        <w:rPr>
          <w:rFonts w:hint="eastAsia" w:ascii="仿宋_GB2312" w:hAnsi="宋体" w:eastAsia="仿宋_GB2312" w:cs="宋体"/>
          <w:sz w:val="32"/>
          <w:szCs w:val="32"/>
        </w:rPr>
        <w:t>第6步：调整与修正课时教学标准。</w:t>
      </w:r>
    </w:p>
    <w:p>
      <w:pPr>
        <w:spacing w:line="580" w:lineRule="exact"/>
        <w:ind w:firstLine="640" w:firstLineChars="200"/>
        <w:rPr>
          <w:rFonts w:ascii="楷体" w:hAnsi="楷体" w:eastAsia="楷体" w:cs="楷体"/>
          <w:b/>
          <w:bCs/>
          <w:sz w:val="32"/>
          <w:szCs w:val="32"/>
        </w:rPr>
      </w:pPr>
      <w:r>
        <w:rPr>
          <w:rFonts w:hint="eastAsia" w:eastAsia="黑体"/>
          <w:sz w:val="32"/>
          <w:szCs w:val="32"/>
        </w:rPr>
        <w:t>五、实施建议</w:t>
      </w:r>
    </w:p>
    <w:p>
      <w:pPr>
        <w:spacing w:line="580" w:lineRule="exact"/>
        <w:ind w:left="420" w:firstLine="321" w:firstLineChars="100"/>
        <w:rPr>
          <w:rFonts w:ascii="楷体_GB2312" w:hAnsi="楷体" w:eastAsia="楷体_GB2312" w:cs="楷体"/>
          <w:b/>
          <w:bCs/>
          <w:sz w:val="32"/>
          <w:szCs w:val="32"/>
        </w:rPr>
      </w:pPr>
      <w:r>
        <w:rPr>
          <w:rFonts w:hint="eastAsia" w:ascii="楷体_GB2312" w:hAnsi="楷体" w:eastAsia="楷体_GB2312" w:cs="楷体"/>
          <w:b/>
          <w:bCs/>
          <w:sz w:val="32"/>
          <w:szCs w:val="32"/>
        </w:rPr>
        <w:t>（一）实验开设内容建议</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建议开齐、开足课程标准规定的46个基础性实验，即物理实验20个、化学实验8个、生物实验18个，条件好的学校还可以增设拓展性实验</w:t>
      </w:r>
      <w:r>
        <w:rPr>
          <w:rFonts w:hint="eastAsia" w:ascii="仿宋_GB2312" w:hAnsi="仿宋" w:eastAsia="仿宋_GB2312" w:cs="仿宋"/>
          <w:sz w:val="32"/>
          <w:szCs w:val="32"/>
          <w:vertAlign w:val="superscript"/>
        </w:rPr>
        <w:t>文献[5]</w:t>
      </w:r>
      <w:r>
        <w:rPr>
          <w:rFonts w:hint="eastAsia" w:ascii="仿宋_GB2312" w:hAnsi="仿宋" w:eastAsia="仿宋_GB2312" w:cs="仿宋"/>
          <w:sz w:val="32"/>
          <w:szCs w:val="32"/>
        </w:rPr>
        <w:t>。</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物理实验——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  用刻度尺测量长度、用停表测量时间</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实验2  用弹簧测力计测量力</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实验3  用天平测量物体的质量</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实验4  用常见温度计测量温度</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实验5  用电流表测量通过小灯泡的电流</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实验6  用电压表测量电压</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实验7  连接简单的串联电路和并联电路</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实验8  测量物体运动的平均速度</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实验9  测量水平运动物体所受的滑动摩擦力</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实验10  测量固体和液体的密度</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实验11  测量小灯泡的电功率</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实验12  浮力</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实验13  杠杆</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实验14  探究水沸腾时温度变化的特点</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实验15  探究光的反射规律</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实验16  探究平面镜成像时像与物的关系</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实验17  探究凸透镜成像的规律</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实验18  探究电流与电压和电阻的关系</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实验19  探究通电螺线管外部磁场方向</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实验20  探究导体在磁场中运动时产生感应电流的条件</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化学实验——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  氧气的实验室制取与性质</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实验2  二氧化碳的实验室制取与性质</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实验3  燃烧的条件</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实验4  金属的物理性质和部分化学性质</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实验5  一定溶质质量分数的氯化钠溶液的配制</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实验6  酸、碱的化学性质</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实验7  溶液酸碱性的检验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实验8  粗盐中难溶性杂质的去除</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生物实验——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  练习使用显微镜</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实验2  制作并观察洋葱鳞片叶内表皮细胞临时装片</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实验3  观察人体口腔上皮细胞</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实验4  观察叶片的结构</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实验5  观察人体的基本组织</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实验6  种子的结构</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实验7  观察根毛和根尖的结构</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实验8  观察花的结构</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实验9  用显微镜观察人血的永久涂片</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实验10  观察小鱼尾鳍内血液的流动</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实验11  观察蚯蚓</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实验12  观察酵母菌和霉菌</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实验13  观察鸡卵的结构</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实验14  绿叶在光下制造有机物</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实验15  测定某种食物中的能量</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实验16  馒头在口腔中的变化</w:t>
      </w:r>
      <w:r>
        <w:rPr>
          <w:rFonts w:hint="eastAsia" w:ascii="仿宋_GB2312" w:hAnsi="仿宋" w:eastAsia="仿宋_GB2312" w:cs="仿宋"/>
          <w:sz w:val="32"/>
          <w:szCs w:val="32"/>
        </w:rPr>
        <w:tab/>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实验17  种子萌发的环境条件</w:t>
      </w:r>
      <w:r>
        <w:rPr>
          <w:rFonts w:hint="eastAsia" w:ascii="仿宋_GB2312" w:hAnsi="仿宋" w:eastAsia="仿宋_GB2312" w:cs="仿宋"/>
          <w:sz w:val="32"/>
          <w:szCs w:val="32"/>
        </w:rPr>
        <w:tab/>
      </w:r>
    </w:p>
    <w:p>
      <w:pPr>
        <w:spacing w:line="580" w:lineRule="exact"/>
        <w:ind w:firstLine="640" w:firstLineChars="200"/>
        <w:rPr>
          <w:rFonts w:ascii="仿宋_GB2312" w:hAnsi="楷体" w:eastAsia="仿宋_GB2312" w:cs="楷体"/>
          <w:b/>
          <w:bCs/>
          <w:sz w:val="32"/>
          <w:szCs w:val="32"/>
        </w:rPr>
      </w:pPr>
      <w:r>
        <w:rPr>
          <w:rFonts w:hint="eastAsia" w:ascii="仿宋_GB2312" w:hAnsi="仿宋" w:eastAsia="仿宋_GB2312" w:cs="仿宋"/>
          <w:sz w:val="32"/>
          <w:szCs w:val="32"/>
        </w:rPr>
        <w:t>实验18  测定种子的发芽率</w:t>
      </w:r>
      <w:r>
        <w:rPr>
          <w:rFonts w:hint="eastAsia" w:ascii="仿宋_GB2312" w:hAnsi="仿宋" w:eastAsia="仿宋_GB2312" w:cs="仿宋"/>
          <w:sz w:val="32"/>
          <w:szCs w:val="32"/>
        </w:rPr>
        <w:tab/>
      </w:r>
    </w:p>
    <w:p>
      <w:pPr>
        <w:pStyle w:val="26"/>
        <w:numPr>
          <w:ilvl w:val="0"/>
          <w:numId w:val="1"/>
        </w:numPr>
        <w:spacing w:line="580" w:lineRule="exact"/>
        <w:ind w:firstLineChars="0"/>
        <w:rPr>
          <w:rFonts w:ascii="楷体_GB2312" w:hAnsi="楷体" w:eastAsia="楷体_GB2312" w:cs="楷体"/>
          <w:b/>
          <w:bCs/>
          <w:sz w:val="32"/>
          <w:szCs w:val="32"/>
        </w:rPr>
      </w:pPr>
      <w:r>
        <w:rPr>
          <w:rFonts w:hint="eastAsia" w:ascii="楷体_GB2312" w:hAnsi="楷体" w:eastAsia="楷体_GB2312" w:cs="楷体"/>
          <w:b/>
          <w:bCs/>
          <w:sz w:val="32"/>
          <w:szCs w:val="32"/>
        </w:rPr>
        <w:t>实验教学与评价建议</w:t>
      </w:r>
    </w:p>
    <w:p>
      <w:pPr>
        <w:tabs>
          <w:tab w:val="left" w:pos="312"/>
        </w:tabs>
        <w:spacing w:line="580" w:lineRule="exact"/>
        <w:ind w:left="642"/>
        <w:rPr>
          <w:rFonts w:ascii="仿宋_GB2312" w:hAnsi="仿宋" w:eastAsia="仿宋_GB2312" w:cs="仿宋"/>
          <w:sz w:val="32"/>
          <w:szCs w:val="32"/>
        </w:rPr>
      </w:pPr>
      <w:r>
        <w:rPr>
          <w:rFonts w:hint="eastAsia" w:ascii="仿宋_GB2312" w:hAnsi="仿宋" w:eastAsia="仿宋_GB2312" w:cs="仿宋"/>
          <w:sz w:val="32"/>
          <w:szCs w:val="32"/>
        </w:rPr>
        <w:t>1.科学制定实验教学目标</w:t>
      </w:r>
    </w:p>
    <w:p>
      <w:pPr>
        <w:widowControl/>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教师在实验教学与评价中应紧紧围绕“发展学生理科学科核心素养”这一主旨，优化教学过程，有效提高教学质量，落实立德树人根本任务。</w:t>
      </w:r>
    </w:p>
    <w:p>
      <w:pPr>
        <w:widowControl/>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学生学科核心素养的发展是一个持续进步、螺旋式发展的过程，为了提升实验教学与评价的科学性，应统筹规划教学目标，避免教学目标的制订流于形式。应根据具体实验教学内容的特点和学生的实际来确定教学目标，切忌生硬照搬学科核心素养的各个方面，防止教学目标制订的表面化和形式化。</w:t>
      </w:r>
    </w:p>
    <w:p>
      <w:pPr>
        <w:widowControl/>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以化学实验“氧气的实验室制取与性质”为例，实验教学目标可以确定为以下方面：</w:t>
      </w:r>
    </w:p>
    <w:p>
      <w:pPr>
        <w:widowControl/>
        <w:numPr>
          <w:ilvl w:val="0"/>
          <w:numId w:val="2"/>
        </w:numPr>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通过高锰酸钾制取氧气的过程，理解氧气的性质；</w:t>
      </w:r>
    </w:p>
    <w:p>
      <w:pPr>
        <w:widowControl/>
        <w:numPr>
          <w:ilvl w:val="0"/>
          <w:numId w:val="2"/>
        </w:numPr>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学会根据实验现象收集相关证据，推测物质的组成特点和性质。</w:t>
      </w:r>
    </w:p>
    <w:p>
      <w:pPr>
        <w:widowControl/>
        <w:numPr>
          <w:ilvl w:val="0"/>
          <w:numId w:val="2"/>
        </w:numPr>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通过氧气的制取和性质实验，理解加热固体制备气体的实验方法，初步建构认知气体性质的思维模型。</w:t>
      </w:r>
    </w:p>
    <w:p>
      <w:pPr>
        <w:tabs>
          <w:tab w:val="left" w:pos="312"/>
        </w:tabs>
        <w:spacing w:line="580" w:lineRule="exact"/>
        <w:ind w:left="642"/>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准确把握学业质量要求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业质量标准是对学生完成相应的课程内容学习时所应达到的理科学科核心素养水平的一种描述，用以检验和衡量学生学习的程度和水平。因此，它不仅仅对实验教学评价具有指导作用，同时，它也是教师选择实验教学内容的一个重要依据。为此，教师应仔细研读学业质量标准，围绕“二阶五等”明确各个课时的学业质量要求，合理组织实验教学内容，促进学生从学科知识向学科素养转化。</w:t>
      </w:r>
    </w:p>
    <w:p>
      <w:pPr>
        <w:widowControl/>
        <w:spacing w:line="580" w:lineRule="exact"/>
        <w:ind w:left="17" w:firstLine="567"/>
        <w:rPr>
          <w:rFonts w:ascii="仿宋_GB2312" w:hAnsi="仿宋" w:eastAsia="仿宋_GB2312" w:cs="仿宋"/>
          <w:sz w:val="32"/>
          <w:szCs w:val="32"/>
        </w:rPr>
      </w:pPr>
      <w:r>
        <w:rPr>
          <w:rFonts w:hint="eastAsia" w:ascii="仿宋_GB2312" w:hAnsi="仿宋" w:eastAsia="仿宋_GB2312" w:cs="仿宋"/>
          <w:sz w:val="32"/>
          <w:szCs w:val="32"/>
        </w:rPr>
        <w:t>以化学实验“燃烧的条件”为例，学业质量要求可以确定为以下方面：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（1）低阶—B1：认识记忆。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①认识常见的可燃物。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②知道部分可燃物的着火点。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（2）低阶—B2：理解掌握。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①理解燃烧的条件与灭火原理、灭火方法之间的关联。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②运用模型法掌握探究燃烧条件的一般方法。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（3）低阶&amp;高阶—B3：模仿应用。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①初步学会探究燃烧的条件的操作。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②学会观察、记录与描述。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③养成良好的实验习惯。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（4）高阶—B4：分析评价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①学会从绿色化学等角度评价燃烧的条件实验方案。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②能够改进实验方案探究燃烧的条件。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（5）高阶—B5：创新创造。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能够设计新的实验方案探究燃烧的条件。    </w:t>
      </w:r>
    </w:p>
    <w:p>
      <w:pPr>
        <w:tabs>
          <w:tab w:val="left" w:pos="312"/>
        </w:tabs>
        <w:spacing w:line="580" w:lineRule="exact"/>
        <w:ind w:left="642"/>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精心设计实验探究活动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实验有助于激发学生的学习兴趣，创设生动活泼的教学情境，能帮助学生理解和掌握所学知识和技能，启迪学生的科学思维，训练学生的科学方法，培养学生的科学态度和价值观。教师应认真组织学生完成本标准中要求的必做实验，树立安全意识，形成良好的实验室工作习惯。通过真实、具体的问题情境为学生学科核心素养形成和发展提供真实的表现机会，同时注重发挥现代信息技术的作用，积极探索现代信息技术与实验教学的深度融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教师应根据“科学探究与创新意识”素养发展水平和学业质量标准，结合学生的认知发展特点，精心设计实验探究活动，有效地组织和实施实验探究教学，增进学生对科学探究的理解，发展科学探究能力。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以物理实验“测量水平运动物体所受的滑动摩擦力”为例，可尝试从生活中的情境引入，引导学生感知摩擦力的存在，经历“探究滑动摩擦力的大小跟哪些因素有关”的过程，领悟其中的科学方法，并尝试设计实验测量水平运动物体所受滑动摩擦力。引导学生通过小组合作、实验探究、讨论交流等多样化方式解决问题，在真实的实验探究过程中领悟测量方法，培养收集证据和分析结论的能力。通过分析摩擦力的利弊，认识到事物具有两面性，树立正确的科学观。</w:t>
      </w:r>
    </w:p>
    <w:p>
      <w:pPr>
        <w:tabs>
          <w:tab w:val="left" w:pos="312"/>
        </w:tabs>
        <w:spacing w:line="580" w:lineRule="exact"/>
        <w:ind w:left="642"/>
        <w:rPr>
          <w:rFonts w:ascii="仿宋_GB2312" w:eastAsia="仿宋_GB2312"/>
          <w:b/>
          <w:bCs/>
          <w:sz w:val="32"/>
          <w:szCs w:val="32"/>
        </w:rPr>
      </w:pPr>
      <w:r>
        <w:rPr>
          <w:rFonts w:hint="eastAsia" w:ascii="仿宋_GB2312" w:eastAsia="仿宋_GB2312"/>
          <w:sz w:val="32"/>
          <w:szCs w:val="32"/>
        </w:rPr>
        <w:t>4.有效开展日常学习评价</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习评价包括日常学习评价和学业成就评价。教师应树立“素养为本”的学习评价观，紧紧围绕学科核心素养的发展水平和学业质量标准来确定学习评价目标，注重过程性评价和结果性评价的有机结合，灵活运用活动表现、纸笔测验和学习档案评价等多样化的评价方式，倡导学生自评、同伴互评与教师评价相结合，充分发挥评价的素养发展功能。</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日常学习评价是实验教学不可或缺的有机组成部分，是学习评价的一种重要表现形式，是实施“教、学、评”一体化教学的重要链条。教师应积极探索开展化学日常学习评价的有效途径、方式和策略。通过提问与点评、练习与作业、复习与考试等方式有效开展日常学习评价。教师应依据课程内容主题的学业要求，精心编制或精选课堂练习和作业题，使“教、学、评”活动有机结合，同步实施，形成合力，有效促进学生学科核心养的形成与发展。</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开展日常学习评价时，应围绕“二阶五等”明确测评标准，做到有的放矢，提升日常学习评价的精准性、有效性和指导性。以生物实验“测定某种食物中的能量”为例，可将测评标准确定为以下方面：</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（1）低阶—B1：认识记忆。</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能准确清点实验用具。</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（2）低阶—B2：理解掌握。</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能选出容易燃烧的实验材料（花生、核桃仁等），点燃干花生种子或干核桃仁，并迅速把火焰置于锥形瓶底部。</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（3）低阶&amp;高阶—B3：模仿应用。</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①学会组装实验装置。</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③学会读出加热前后的水温。</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③实验结束后能按照要求整理仪器。</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（4）高阶—B4：分析评价。</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通过实验数据，分析食物中含有能量，明确不同食物所含有的能量有差异。</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（5）高阶—B5：创新创造。</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①能分析造成实验误差的原因。</w:t>
      </w:r>
    </w:p>
    <w:p>
      <w:pPr>
        <w:widowControl/>
        <w:spacing w:line="580" w:lineRule="exact"/>
        <w:ind w:left="17" w:firstLine="567"/>
        <w:rPr>
          <w:rFonts w:ascii="仿宋_GB2312" w:eastAsia="仿宋_GB2312"/>
          <w:sz w:val="32"/>
          <w:szCs w:val="32"/>
        </w:rPr>
      </w:pPr>
      <w:r>
        <w:rPr>
          <w:rFonts w:hint="eastAsia" w:ascii="仿宋_GB2312" w:eastAsia="仿宋_GB2312"/>
          <w:sz w:val="32"/>
          <w:szCs w:val="32"/>
        </w:rPr>
        <w:t>②初步学会改进实验装置和操作。</w:t>
      </w:r>
      <w:r>
        <w:rPr>
          <w:rFonts w:hint="eastAsia" w:ascii="仿宋_GB2312" w:eastAsia="仿宋_GB2312"/>
          <w:sz w:val="32"/>
          <w:szCs w:val="32"/>
        </w:rPr>
        <w:tab/>
      </w:r>
    </w:p>
    <w:p>
      <w:pPr>
        <w:spacing w:line="580" w:lineRule="exact"/>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（三）实验操作考试命题建议</w:t>
      </w:r>
    </w:p>
    <w:p>
      <w:pPr>
        <w:spacing w:line="580" w:lineRule="exact"/>
        <w:ind w:firstLine="640" w:firstLineChars="200"/>
        <w:rPr>
          <w:rFonts w:ascii="仿宋_GB2312" w:hAnsi="楷体" w:eastAsia="仿宋_GB2312" w:cs="楷体"/>
          <w:b/>
          <w:bCs/>
          <w:sz w:val="32"/>
          <w:szCs w:val="32"/>
        </w:rPr>
      </w:pPr>
      <w:r>
        <w:rPr>
          <w:rFonts w:hint="eastAsia" w:ascii="仿宋_GB2312" w:hAnsi="仿宋" w:eastAsia="仿宋_GB2312" w:cs="仿宋"/>
          <w:sz w:val="32"/>
          <w:szCs w:val="32"/>
        </w:rPr>
        <w:t>1.命题原则</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（1）以核心素养为测试宗旨</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命题应坚持以学科核心素养为测试宗旨，熟悉、理解初中理科学科核心素养的内涵和水平描述，并以学业质量标准为依据，从相应的学业质量水平中提炼、确定各试题的测试目标。</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（2）以真实情境为测试载体</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试题情境的创设应紧密联系学生学习和生活实际，体现科学、技术、社会和环境的成果，注重真实情境的针对性、启发性、过程性和科学性，形成与测试任务融为一体、具有不同陌生度、丰富而生</w:t>
      </w:r>
      <w:r>
        <w:rPr>
          <w:rFonts w:hint="eastAsia" w:ascii="仿宋_GB2312" w:hAnsi="仿宋" w:eastAsia="仿宋_GB2312" w:cs="仿宋"/>
          <w:sz w:val="32"/>
          <w:szCs w:val="32"/>
        </w:rPr>
        <w:drawing>
          <wp:inline distT="0" distB="0" distL="114300" distR="114300">
            <wp:extent cx="9525" cy="9525"/>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r>
        <w:rPr>
          <w:rFonts w:hint="eastAsia" w:ascii="仿宋_GB2312" w:hAnsi="仿宋" w:eastAsia="仿宋_GB2312" w:cs="仿宋"/>
          <w:sz w:val="32"/>
          <w:szCs w:val="32"/>
        </w:rPr>
        <w:t>动的测试载体。</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（3）以实际问题为测试任务</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题的测试任务应融入真实、有意义的测试情境；试题内容与提出的问题应针对本课程标准中的内容要求，突出学科核心概念与观念，符合学生心理发展阶段和认识发展水平，与所要测试的核心素养和测试目标保持高度一致，形成具有不同复杂程度和结构合理的测试任务</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（4）以学科知识为解决问题的工具</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科知识是解决实际问题、完成测试任务不可或缺的工具；应结合命题宗旨和目标，根据测试任务、情境的需要，系统梳理解决问题所要运用的学科知识与方法，注重考查学生灵活运用结构化知识解决实际问题的能力。</w:t>
      </w:r>
    </w:p>
    <w:p>
      <w:pPr>
        <w:tabs>
          <w:tab w:val="left" w:pos="312"/>
        </w:tabs>
        <w:spacing w:line="580" w:lineRule="exact"/>
        <w:ind w:left="642"/>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命题程序</w:t>
      </w:r>
    </w:p>
    <w:p>
      <w:pPr>
        <w:spacing w:line="580" w:lineRule="exact"/>
        <w:rPr>
          <w:rFonts w:ascii="仿宋_GB2312" w:hAnsi="仿宋" w:eastAsia="仿宋_GB2312" w:cs="仿宋"/>
          <w:sz w:val="32"/>
          <w:szCs w:val="32"/>
        </w:rPr>
      </w:pPr>
      <w:r>
        <w:rPr>
          <w:rFonts w:hint="eastAsia" w:ascii="仿宋_GB2312" w:hAnsi="仿宋" w:eastAsia="仿宋_GB2312" w:cs="仿宋"/>
          <w:sz w:val="32"/>
          <w:szCs w:val="32"/>
        </w:rPr>
        <w:t xml:space="preserve">   以学科核心素养为导向的一般命题程序如下图所示。</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3745865" cy="1926590"/>
            <wp:effectExtent l="0" t="0" r="6985" b="0"/>
            <wp:docPr id="29"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1"/>
                    <pic:cNvPicPr>
                      <a:picLocks noChangeAspect="1"/>
                    </pic:cNvPicPr>
                  </pic:nvPicPr>
                  <pic:blipFill>
                    <a:blip r:embed="rId8"/>
                    <a:stretch>
                      <a:fillRect/>
                    </a:stretch>
                  </pic:blipFill>
                  <pic:spPr>
                    <a:xfrm>
                      <a:off x="0" y="0"/>
                      <a:ext cx="3746310" cy="1926596"/>
                    </a:xfrm>
                    <a:prstGeom prst="rect">
                      <a:avLst/>
                    </a:prstGeom>
                  </pic:spPr>
                </pic:pic>
              </a:graphicData>
            </a:graphic>
          </wp:inline>
        </w:drawing>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其中各环节的先后顺序不是固定的，命题时可根据具体情况灵活运用。</w:t>
      </w:r>
    </w:p>
    <w:p>
      <w:pPr>
        <w:tabs>
          <w:tab w:val="left" w:pos="312"/>
        </w:tabs>
        <w:spacing w:line="580" w:lineRule="exact"/>
        <w:ind w:left="642"/>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样题示例</w:t>
      </w:r>
    </w:p>
    <w:p>
      <w:pPr>
        <w:spacing w:line="580" w:lineRule="exact"/>
        <w:ind w:firstLine="640" w:firstLineChars="200"/>
        <w:rPr>
          <w:rFonts w:ascii="仿宋_GB2312" w:hAnsi="宋体" w:eastAsia="仿宋_GB2312"/>
          <w:b/>
          <w:szCs w:val="21"/>
        </w:rPr>
      </w:pPr>
      <w:r>
        <w:rPr>
          <w:rFonts w:hint="eastAsia" w:ascii="仿宋_GB2312" w:hAnsi="仿宋" w:eastAsia="仿宋_GB2312" w:cs="仿宋"/>
          <w:sz w:val="32"/>
          <w:szCs w:val="32"/>
        </w:rPr>
        <w:t>（1）物理实验样题示例：测量小灯泡的电功率</w:t>
      </w:r>
    </w:p>
    <w:p>
      <w:pPr>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（考试时间：5分钟）</w:t>
      </w:r>
    </w:p>
    <w:p>
      <w:pPr>
        <w:spacing w:line="580" w:lineRule="exact"/>
        <w:rPr>
          <w:rFonts w:ascii="仿宋_GB2312" w:hAnsi="仿宋" w:eastAsia="仿宋_GB2312" w:cs="仿宋"/>
          <w:sz w:val="32"/>
          <w:szCs w:val="32"/>
        </w:rPr>
      </w:pPr>
      <w:r>
        <w:rPr>
          <w:rFonts w:hint="eastAsia" w:ascii="仿宋_GB2312" w:hAnsi="仿宋" w:eastAsia="仿宋_GB2312" w:cs="仿宋"/>
          <w:b/>
          <w:sz w:val="32"/>
          <w:szCs w:val="32"/>
        </w:rPr>
        <w:t>【实验器材】</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电源（初中学生电源或1.5V新碱性电池4节）、小灯泡（2.5V）小灯泡（2.5V）1个、开关1个、导线10根、电压表1个、电流表1个、滑动变阻器（20Ω，2A）1个</w:t>
      </w:r>
    </w:p>
    <w:p>
      <w:pPr>
        <w:ind w:firstLine="643" w:firstLineChars="200"/>
        <w:rPr>
          <w:rFonts w:ascii="仿宋" w:hAnsi="仿宋" w:eastAsia="仿宋" w:cs="仿宋"/>
          <w:sz w:val="32"/>
          <w:szCs w:val="32"/>
        </w:rPr>
      </w:pPr>
      <w:r>
        <w:rPr>
          <w:rFonts w:hint="eastAsia" w:ascii="仿宋" w:hAnsi="仿宋" w:eastAsia="仿宋" w:cs="仿宋"/>
          <w:b/>
          <w:sz w:val="32"/>
          <w:szCs w:val="32"/>
        </w:rPr>
        <w:drawing>
          <wp:inline distT="0" distB="0" distL="0" distR="0">
            <wp:extent cx="1799590" cy="1579245"/>
            <wp:effectExtent l="0" t="0" r="0" b="1905"/>
            <wp:docPr id="30" name="图片 11" descr="http://www.utsou.com/d/file/p/2017/12-23/2368e0803a927d31c01663d22c89f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http://www.utsou.com/d/file/p/2017/12-23/2368e0803a927d31c01663d22c89f048.jpg"/>
                    <pic:cNvPicPr>
                      <a:picLocks noChangeAspect="1"/>
                    </pic:cNvPicPr>
                  </pic:nvPicPr>
                  <pic:blipFill>
                    <a:blip r:embed="rId9">
                      <a:extLst>
                        <a:ext uri="{28A0092B-C50C-407E-A947-70E740481C1C}">
                          <a14:useLocalDpi xmlns:a14="http://schemas.microsoft.com/office/drawing/2010/main" val="0"/>
                        </a:ext>
                      </a:extLst>
                    </a:blip>
                    <a:srcRect b="19876"/>
                    <a:stretch>
                      <a:fillRect/>
                    </a:stretch>
                  </pic:blipFill>
                  <pic:spPr>
                    <a:xfrm>
                      <a:off x="0" y="0"/>
                      <a:ext cx="1804584" cy="1583614"/>
                    </a:xfrm>
                    <a:prstGeom prst="rect">
                      <a:avLst/>
                    </a:prstGeom>
                    <a:noFill/>
                    <a:ln>
                      <a:noFill/>
                    </a:ln>
                  </pic:spPr>
                </pic:pic>
              </a:graphicData>
            </a:graphic>
          </wp:inline>
        </w:drawing>
      </w:r>
    </w:p>
    <w:p>
      <w:pPr>
        <w:spacing w:line="580" w:lineRule="exact"/>
        <w:rPr>
          <w:rFonts w:ascii="仿宋_GB2312" w:hAnsi="仿宋" w:eastAsia="仿宋_GB2312" w:cs="仿宋"/>
          <w:sz w:val="32"/>
          <w:szCs w:val="32"/>
        </w:rPr>
      </w:pPr>
      <w:r>
        <w:rPr>
          <w:rFonts w:hint="eastAsia" w:ascii="仿宋_GB2312" w:hAnsi="仿宋" w:eastAsia="仿宋_GB2312" w:cs="仿宋"/>
          <w:b/>
          <w:sz w:val="32"/>
          <w:szCs w:val="32"/>
        </w:rPr>
        <w:t>【实验操作】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1.将滑动变阻器正确接入电路；</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2.选择合适的量程并将电压表正确接入电路；</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3.缓慢移动滑动变阻器滑片，使小灯泡正常发光，正确读取此时电压表、电流表的示数，并轻声报告给监考老师。</w:t>
      </w:r>
    </w:p>
    <w:p>
      <w:pPr>
        <w:widowControl/>
        <w:spacing w:line="580" w:lineRule="exact"/>
        <w:jc w:val="left"/>
        <w:rPr>
          <w:rFonts w:ascii="仿宋_GB2312" w:hAnsi="仿宋" w:eastAsia="仿宋_GB2312" w:cs="仿宋"/>
          <w:b/>
          <w:sz w:val="32"/>
          <w:szCs w:val="32"/>
        </w:rPr>
      </w:pPr>
      <w:r>
        <w:rPr>
          <w:rFonts w:hint="eastAsia" w:ascii="仿宋_GB2312" w:hAnsi="仿宋" w:eastAsia="仿宋_GB2312" w:cs="仿宋"/>
          <w:b/>
          <w:sz w:val="32"/>
          <w:szCs w:val="32"/>
        </w:rPr>
        <w:t>【实验习惯及礼貌用语】</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实验结束后，断开开关，将滑动变阻器和电压表放回原处，无须改变其余电路。</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举手示意实验完毕，确认分数并签名。</w:t>
      </w:r>
    </w:p>
    <w:p>
      <w:pPr>
        <w:spacing w:line="580" w:lineRule="exact"/>
        <w:ind w:firstLine="640" w:firstLineChars="200"/>
        <w:rPr>
          <w:rFonts w:ascii="仿宋_GB2312" w:hAnsi="仿宋" w:eastAsia="仿宋_GB2312" w:cs="仿宋"/>
          <w:sz w:val="32"/>
          <w:szCs w:val="32"/>
        </w:rPr>
      </w:pPr>
    </w:p>
    <w:p>
      <w:pPr>
        <w:spacing w:line="580" w:lineRule="exact"/>
        <w:ind w:firstLine="640" w:firstLineChars="200"/>
        <w:rPr>
          <w:rFonts w:ascii="仿宋_GB2312" w:hAnsi="仿宋" w:eastAsia="仿宋_GB2312" w:cs="仿宋"/>
          <w:sz w:val="32"/>
          <w:szCs w:val="48"/>
        </w:rPr>
      </w:pPr>
    </w:p>
    <w:p>
      <w:pPr>
        <w:spacing w:line="580" w:lineRule="exact"/>
        <w:jc w:val="center"/>
        <w:rPr>
          <w:rFonts w:ascii="仿宋_GB2312" w:eastAsia="仿宋_GB2312"/>
          <w:bCs/>
          <w:sz w:val="32"/>
          <w:szCs w:val="32"/>
        </w:rPr>
      </w:pPr>
      <w:r>
        <w:rPr>
          <w:rFonts w:hint="eastAsia" w:ascii="仿宋_GB2312" w:hAnsi="仿宋" w:eastAsia="仿宋_GB2312" w:cs="仿宋"/>
          <w:sz w:val="32"/>
          <w:szCs w:val="32"/>
        </w:rPr>
        <w:t>（2）化学实验样题示例：</w:t>
      </w:r>
      <w:r>
        <w:rPr>
          <w:rFonts w:hint="eastAsia" w:ascii="仿宋_GB2312" w:eastAsia="仿宋_GB2312"/>
          <w:bCs/>
          <w:sz w:val="32"/>
          <w:szCs w:val="32"/>
        </w:rPr>
        <w:t>实验室用KMnO</w:t>
      </w:r>
      <w:r>
        <w:rPr>
          <w:rFonts w:hint="eastAsia" w:ascii="仿宋_GB2312" w:eastAsia="仿宋_GB2312"/>
          <w:bCs/>
          <w:sz w:val="32"/>
          <w:szCs w:val="32"/>
          <w:vertAlign w:val="subscript"/>
        </w:rPr>
        <w:t>4</w:t>
      </w:r>
      <w:r>
        <w:rPr>
          <w:rFonts w:hint="eastAsia" w:ascii="仿宋_GB2312" w:eastAsia="仿宋_GB2312"/>
          <w:bCs/>
          <w:sz w:val="32"/>
          <w:szCs w:val="32"/>
        </w:rPr>
        <w:t>固体制取O</w:t>
      </w:r>
      <w:r>
        <w:rPr>
          <w:rFonts w:hint="eastAsia" w:ascii="仿宋_GB2312" w:eastAsia="仿宋_GB2312"/>
          <w:bCs/>
          <w:sz w:val="32"/>
          <w:szCs w:val="32"/>
          <w:vertAlign w:val="subscript"/>
        </w:rPr>
        <w:t>2</w:t>
      </w:r>
    </w:p>
    <w:p>
      <w:pPr>
        <w:spacing w:line="580" w:lineRule="exact"/>
        <w:jc w:val="center"/>
        <w:rPr>
          <w:rFonts w:ascii="仿宋_GB2312" w:eastAsia="仿宋_GB2312"/>
          <w:bCs/>
          <w:sz w:val="32"/>
          <w:szCs w:val="32"/>
        </w:rPr>
      </w:pPr>
      <w:r>
        <w:rPr>
          <w:rFonts w:hint="eastAsia" w:ascii="仿宋_GB2312" w:eastAsia="仿宋_GB2312"/>
          <w:bCs/>
          <w:sz w:val="32"/>
          <w:szCs w:val="32"/>
        </w:rPr>
        <w:t>（考核时间：5分钟）</w:t>
      </w:r>
    </w:p>
    <w:p>
      <w:pPr>
        <w:spacing w:line="580" w:lineRule="exact"/>
        <w:rPr>
          <w:rFonts w:ascii="仿宋_GB2312" w:eastAsia="仿宋_GB2312"/>
          <w:b/>
          <w:bCs/>
          <w:sz w:val="32"/>
          <w:szCs w:val="32"/>
        </w:rPr>
      </w:pPr>
      <w:r>
        <w:rPr>
          <w:rFonts w:hint="eastAsia" w:ascii="仿宋_GB2312" w:eastAsia="仿宋_GB2312"/>
          <w:b/>
          <w:bCs/>
          <w:sz w:val="32"/>
          <w:szCs w:val="32"/>
        </w:rPr>
        <w:t>【实验用品】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铁架台（带铁夹）、酒精灯、大试管、单孔橡胶塞、胶皮管、玻璃导管、集气瓶、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玻璃片、水槽 、烧杯、</w:t>
      </w:r>
      <w:r>
        <w:rPr>
          <w:rFonts w:hint="eastAsia" w:ascii="仿宋_GB2312" w:eastAsia="仿宋_GB2312"/>
          <w:bCs/>
          <w:sz w:val="32"/>
          <w:szCs w:val="32"/>
        </w:rPr>
        <w:t>KMnO</w:t>
      </w:r>
      <w:r>
        <w:rPr>
          <w:rFonts w:hint="eastAsia" w:ascii="仿宋_GB2312" w:eastAsia="仿宋_GB2312"/>
          <w:bCs/>
          <w:sz w:val="32"/>
          <w:szCs w:val="32"/>
          <w:vertAlign w:val="subscript"/>
        </w:rPr>
        <w:t>4</w:t>
      </w:r>
      <w:r>
        <w:rPr>
          <w:rFonts w:hint="eastAsia" w:ascii="仿宋_GB2312" w:eastAsia="仿宋_GB2312"/>
          <w:sz w:val="32"/>
          <w:szCs w:val="32"/>
        </w:rPr>
        <w:t>粉末、棉花、火柴</w:t>
      </w:r>
    </w:p>
    <w:p>
      <w:pPr>
        <w:spacing w:line="580" w:lineRule="exact"/>
        <w:rPr>
          <w:rFonts w:ascii="仿宋_GB2312" w:eastAsia="仿宋_GB2312"/>
          <w:b/>
          <w:bCs/>
          <w:sz w:val="32"/>
          <w:szCs w:val="32"/>
        </w:rPr>
      </w:pPr>
      <w:r>
        <w:rPr>
          <w:rFonts w:hint="eastAsia" w:ascii="仿宋_GB2312" w:eastAsia="仿宋_GB2312"/>
          <w:b/>
          <w:bCs/>
          <w:sz w:val="32"/>
          <w:szCs w:val="32"/>
        </w:rPr>
        <w:t>【实验步骤】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bidi="he-IL"/>
        </w:rPr>
        <w:t>．将</w:t>
      </w:r>
      <w:r>
        <w:rPr>
          <w:rFonts w:hint="eastAsia" w:ascii="仿宋_GB2312" w:eastAsia="仿宋_GB2312"/>
          <w:sz w:val="32"/>
          <w:szCs w:val="32"/>
        </w:rPr>
        <w:t>集气瓶装满水，用玻璃片盖住，倒立于水槽中。</w:t>
      </w:r>
    </w:p>
    <w:p>
      <w:pPr>
        <w:spacing w:line="580" w:lineRule="exact"/>
        <w:ind w:firstLine="640" w:firstLineChars="200"/>
        <w:rPr>
          <w:rFonts w:ascii="仿宋_GB2312" w:eastAsia="仿宋_GB2312"/>
          <w:sz w:val="32"/>
          <w:szCs w:val="32"/>
          <w:lang w:bidi="he-IL"/>
        </w:rPr>
      </w:pPr>
      <w:r>
        <w:rPr>
          <w:rFonts w:hint="eastAsia" w:ascii="仿宋_GB2312" w:eastAsia="仿宋_GB2312"/>
          <w:sz w:val="32"/>
          <w:szCs w:val="32"/>
          <w:lang w:bidi="he-IL"/>
        </w:rPr>
        <w:t>2．实验装置如图所示。点燃酒精灯，加热试管。</w:t>
      </w:r>
    </w:p>
    <w:p>
      <w:pPr>
        <w:spacing w:line="580" w:lineRule="exact"/>
        <w:ind w:firstLine="640" w:firstLineChars="200"/>
        <w:rPr>
          <w:rFonts w:ascii="仿宋_GB2312" w:eastAsia="仿宋_GB2312"/>
          <w:sz w:val="32"/>
          <w:szCs w:val="32"/>
          <w:lang w:bidi="he-IL"/>
        </w:rPr>
      </w:pPr>
      <w:r>
        <w:rPr>
          <w:rFonts w:hint="eastAsia" w:ascii="仿宋_GB2312" w:eastAsia="仿宋_GB2312"/>
          <w:sz w:val="32"/>
          <w:szCs w:val="32"/>
          <w:lang w:bidi="he-IL"/>
        </w:rPr>
        <w:t>3．用排水集气法收集一瓶O</w:t>
      </w:r>
      <w:r>
        <w:rPr>
          <w:rFonts w:hint="eastAsia" w:ascii="仿宋_GB2312" w:eastAsia="仿宋_GB2312"/>
          <w:sz w:val="32"/>
          <w:szCs w:val="32"/>
          <w:vertAlign w:val="subscript"/>
          <w:lang w:bidi="he-IL"/>
        </w:rPr>
        <w:t>2</w:t>
      </w:r>
      <w:r>
        <w:rPr>
          <w:rFonts w:hint="eastAsia" w:ascii="仿宋_GB2312" w:eastAsia="仿宋_GB2312"/>
          <w:sz w:val="32"/>
          <w:szCs w:val="32"/>
          <w:lang w:bidi="he-IL"/>
        </w:rPr>
        <w:t>，正放于桌面上，报告O</w:t>
      </w:r>
      <w:r>
        <w:rPr>
          <w:rFonts w:hint="eastAsia" w:ascii="仿宋_GB2312" w:eastAsia="仿宋_GB2312"/>
          <w:sz w:val="32"/>
          <w:szCs w:val="32"/>
          <w:vertAlign w:val="subscript"/>
          <w:lang w:bidi="he-IL"/>
        </w:rPr>
        <w:t>2</w:t>
      </w:r>
      <w:r>
        <w:rPr>
          <w:rFonts w:hint="eastAsia" w:ascii="仿宋_GB2312" w:eastAsia="仿宋_GB2312"/>
          <w:sz w:val="32"/>
          <w:szCs w:val="32"/>
          <w:lang w:bidi="he-IL"/>
        </w:rPr>
        <w:t>收集满时集气瓶口的实验现象。</w:t>
      </w:r>
    </w:p>
    <w:p>
      <w:pPr>
        <w:tabs>
          <w:tab w:val="left" w:pos="5625"/>
        </w:tabs>
        <w:spacing w:line="580" w:lineRule="exact"/>
        <w:ind w:firstLine="640" w:firstLineChars="200"/>
        <w:rPr>
          <w:rFonts w:ascii="仿宋_GB2312" w:eastAsia="仿宋_GB2312"/>
          <w:sz w:val="32"/>
          <w:szCs w:val="32"/>
          <w:lang w:bidi="he-IL"/>
        </w:rPr>
      </w:pPr>
      <w:r>
        <w:rPr>
          <w:rFonts w:hint="eastAsia" w:ascii="仿宋_GB2312" w:eastAsia="仿宋_GB2312"/>
          <w:sz w:val="32"/>
          <w:szCs w:val="32"/>
          <w:lang w:bidi="he-IL"/>
        </w:rPr>
        <w:t>4．将导管移出水面，熄灭酒精灯。</w:t>
      </w:r>
    </w:p>
    <w:p>
      <w:pPr>
        <w:tabs>
          <w:tab w:val="left" w:pos="5625"/>
        </w:tabs>
        <w:ind w:firstLine="640" w:firstLineChars="200"/>
        <w:jc w:val="center"/>
        <w:rPr>
          <w:rFonts w:eastAsia="仿宋"/>
          <w:sz w:val="32"/>
          <w:szCs w:val="32"/>
          <w:lang w:bidi="he-IL"/>
        </w:rPr>
      </w:pPr>
      <w:r>
        <w:rPr>
          <w:rFonts w:eastAsia="仿宋"/>
          <w:sz w:val="32"/>
          <w:szCs w:val="32"/>
          <w:lang w:bidi="he-IL"/>
        </w:rPr>
        <w:drawing>
          <wp:inline distT="0" distB="0" distL="0" distR="0">
            <wp:extent cx="2626360" cy="159893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5595" cy="1604412"/>
                    </a:xfrm>
                    <a:prstGeom prst="rect">
                      <a:avLst/>
                    </a:prstGeom>
                    <a:noFill/>
                    <a:ln>
                      <a:noFill/>
                    </a:ln>
                  </pic:spPr>
                </pic:pic>
              </a:graphicData>
            </a:graphic>
          </wp:inline>
        </w:drawing>
      </w:r>
    </w:p>
    <w:p>
      <w:pPr>
        <w:tabs>
          <w:tab w:val="left" w:pos="5625"/>
        </w:tabs>
        <w:spacing w:line="580" w:lineRule="exact"/>
        <w:ind w:firstLine="200"/>
        <w:jc w:val="center"/>
        <w:rPr>
          <w:rFonts w:ascii="仿宋_GB2312" w:eastAsia="仿宋_GB2312"/>
          <w:sz w:val="32"/>
          <w:szCs w:val="32"/>
          <w:lang w:bidi="he-IL"/>
        </w:rPr>
      </w:pPr>
      <w:r>
        <w:rPr>
          <w:rFonts w:hint="eastAsia" w:ascii="仿宋_GB2312" w:eastAsia="仿宋_GB2312"/>
          <w:sz w:val="32"/>
          <w:szCs w:val="32"/>
          <w:lang w:bidi="he-IL"/>
        </w:rPr>
        <w:t>实验装置图 （气密性良好）</w:t>
      </w:r>
    </w:p>
    <w:p>
      <w:pPr>
        <w:spacing w:line="580" w:lineRule="exact"/>
        <w:rPr>
          <w:rFonts w:ascii="仿宋_GB2312" w:eastAsia="仿宋_GB2312"/>
          <w:b/>
          <w:bCs/>
          <w:sz w:val="32"/>
          <w:szCs w:val="32"/>
        </w:rPr>
      </w:pPr>
      <w:r>
        <w:rPr>
          <w:rFonts w:hint="eastAsia" w:ascii="仿宋_GB2312" w:eastAsia="仿宋_GB2312"/>
          <w:b/>
          <w:bCs/>
          <w:sz w:val="32"/>
          <w:szCs w:val="32"/>
        </w:rPr>
        <w:t>【实验习惯】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清洗仪器，整理用品及实验台。</w:t>
      </w:r>
    </w:p>
    <w:p>
      <w:pPr>
        <w:tabs>
          <w:tab w:val="left" w:pos="5625"/>
        </w:tabs>
        <w:spacing w:line="580" w:lineRule="exact"/>
        <w:ind w:firstLine="624" w:firstLineChars="195"/>
        <w:rPr>
          <w:rFonts w:ascii="仿宋_GB2312" w:eastAsia="仿宋_GB2312"/>
          <w:sz w:val="32"/>
          <w:szCs w:val="32"/>
        </w:rPr>
      </w:pPr>
      <w:r>
        <w:rPr>
          <w:rFonts w:hint="eastAsia" w:ascii="仿宋_GB2312" w:eastAsia="仿宋_GB2312"/>
          <w:sz w:val="32"/>
          <w:szCs w:val="32"/>
        </w:rPr>
        <w:t>举手示意实验完毕，确认分数并签名。</w:t>
      </w:r>
    </w:p>
    <w:p>
      <w:pPr>
        <w:spacing w:line="580" w:lineRule="exact"/>
        <w:ind w:left="584"/>
        <w:rPr>
          <w:rFonts w:ascii="仿宋_GB2312" w:hAnsi="仿宋" w:eastAsia="仿宋_GB2312" w:cs="仿宋"/>
          <w:b/>
          <w:sz w:val="32"/>
          <w:szCs w:val="32"/>
        </w:rPr>
      </w:pPr>
      <w:r>
        <w:rPr>
          <w:rFonts w:hint="eastAsia" w:ascii="仿宋_GB2312" w:hAnsi="仿宋" w:eastAsia="仿宋_GB2312" w:cs="仿宋"/>
          <w:sz w:val="32"/>
          <w:szCs w:val="32"/>
        </w:rPr>
        <w:t>（3）生物实验样题示例</w:t>
      </w:r>
      <w:r>
        <w:rPr>
          <w:rFonts w:hint="eastAsia" w:ascii="仿宋_GB2312" w:hAnsi="仿宋" w:eastAsia="仿宋_GB2312" w:cs="仿宋"/>
          <w:bCs/>
          <w:sz w:val="32"/>
          <w:szCs w:val="32"/>
        </w:rPr>
        <w:t>：验证种子中含有淀粉</w:t>
      </w:r>
    </w:p>
    <w:p>
      <w:pPr>
        <w:spacing w:line="580" w:lineRule="exact"/>
        <w:ind w:left="584"/>
        <w:jc w:val="center"/>
        <w:rPr>
          <w:rFonts w:ascii="仿宋_GB2312" w:hAnsi="仿宋" w:eastAsia="仿宋_GB2312" w:cs="仿宋"/>
          <w:bCs/>
          <w:sz w:val="32"/>
          <w:szCs w:val="32"/>
        </w:rPr>
      </w:pPr>
      <w:r>
        <w:rPr>
          <w:rFonts w:hint="eastAsia" w:ascii="仿宋_GB2312" w:hAnsi="仿宋" w:eastAsia="仿宋_GB2312" w:cs="仿宋"/>
          <w:bCs/>
          <w:sz w:val="32"/>
          <w:szCs w:val="32"/>
        </w:rPr>
        <w:t>（考核时间：5分钟）</w:t>
      </w:r>
    </w:p>
    <w:p>
      <w:pPr>
        <w:spacing w:line="580" w:lineRule="exact"/>
        <w:rPr>
          <w:rFonts w:ascii="仿宋_GB2312" w:hAnsi="仿宋" w:eastAsia="仿宋_GB2312" w:cs="仿宋"/>
          <w:b/>
          <w:bCs/>
          <w:sz w:val="32"/>
          <w:szCs w:val="32"/>
        </w:rPr>
      </w:pPr>
      <w:r>
        <w:rPr>
          <w:rFonts w:hint="eastAsia" w:ascii="仿宋_GB2312" w:hAnsi="仿宋" w:eastAsia="仿宋_GB2312" w:cs="仿宋"/>
          <w:b/>
          <w:bCs/>
          <w:sz w:val="32"/>
          <w:szCs w:val="32"/>
        </w:rPr>
        <w:t>【实验用品】</w:t>
      </w:r>
    </w:p>
    <w:p>
      <w:pPr>
        <w:spacing w:line="580" w:lineRule="exact"/>
        <w:ind w:left="420" w:leftChars="200" w:firstLine="640" w:firstLineChars="200"/>
        <w:rPr>
          <w:rFonts w:ascii="仿宋_GB2312" w:hAnsi="仿宋" w:eastAsia="仿宋_GB2312" w:cs="仿宋"/>
          <w:sz w:val="32"/>
          <w:szCs w:val="32"/>
        </w:rPr>
      </w:pPr>
      <w:r>
        <w:rPr>
          <w:rFonts w:hint="eastAsia" w:ascii="仿宋_GB2312" w:hAnsi="仿宋" w:eastAsia="仿宋_GB2312" w:cs="仿宋"/>
          <w:sz w:val="32"/>
          <w:szCs w:val="32"/>
        </w:rPr>
        <w:t>浸泡过的花生种子、浸泡过的玉米种子、刀片、镊子、碘液、红墨水、小木板、培养皿、抹布、废料槽。</w:t>
      </w:r>
    </w:p>
    <w:p>
      <w:pPr>
        <w:spacing w:line="580" w:lineRule="exact"/>
        <w:rPr>
          <w:rFonts w:ascii="仿宋_GB2312" w:hAnsi="仿宋" w:eastAsia="仿宋_GB2312" w:cs="仿宋"/>
          <w:b/>
          <w:bCs/>
          <w:sz w:val="32"/>
          <w:szCs w:val="32"/>
        </w:rPr>
      </w:pPr>
      <w:r>
        <w:rPr>
          <w:rFonts w:hint="eastAsia" w:ascii="仿宋_GB2312" w:hAnsi="仿宋" w:eastAsia="仿宋_GB2312" w:cs="仿宋"/>
          <w:b/>
          <w:bCs/>
          <w:sz w:val="32"/>
          <w:szCs w:val="32"/>
        </w:rPr>
        <w:t>【实验步骤】</w:t>
      </w:r>
    </w:p>
    <w:p>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bidi="he-IL"/>
        </w:rPr>
        <w:t>．</w:t>
      </w:r>
      <w:r>
        <w:rPr>
          <w:rFonts w:hint="eastAsia" w:ascii="仿宋_GB2312" w:hAnsi="仿宋" w:eastAsia="仿宋_GB2312" w:cs="仿宋"/>
          <w:sz w:val="32"/>
          <w:szCs w:val="32"/>
        </w:rPr>
        <w:t>选取最合适的实验用品。</w:t>
      </w:r>
    </w:p>
    <w:p>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bidi="he-IL"/>
        </w:rPr>
        <w:t>．</w:t>
      </w:r>
      <w:r>
        <w:rPr>
          <w:rFonts w:hint="eastAsia" w:ascii="仿宋_GB2312" w:hAnsi="仿宋" w:eastAsia="仿宋_GB2312" w:cs="仿宋"/>
          <w:sz w:val="32"/>
          <w:szCs w:val="32"/>
        </w:rPr>
        <w:t>正确进行实验操作。</w:t>
      </w:r>
    </w:p>
    <w:p>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bidi="he-IL"/>
        </w:rPr>
        <w:t>．观察并描述实验现象，准确说出实验结论</w:t>
      </w:r>
      <w:r>
        <w:rPr>
          <w:rFonts w:hint="eastAsia" w:ascii="仿宋_GB2312" w:hAnsi="仿宋" w:eastAsia="仿宋_GB2312" w:cs="仿宋"/>
          <w:sz w:val="32"/>
          <w:szCs w:val="32"/>
        </w:rPr>
        <w:t>。</w:t>
      </w:r>
      <w:r>
        <w:rPr>
          <w:rFonts w:hint="eastAsia" w:ascii="仿宋_GB2312" w:hAnsi="仿宋" w:eastAsia="仿宋_GB2312" w:cs="仿宋"/>
          <w:kern w:val="0"/>
          <w:sz w:val="32"/>
          <w:szCs w:val="32"/>
        </w:rPr>
        <w:t xml:space="preserve"> </w:t>
      </w:r>
    </w:p>
    <w:p>
      <w:pPr>
        <w:spacing w:line="580" w:lineRule="exact"/>
        <w:rPr>
          <w:rFonts w:ascii="仿宋_GB2312" w:hAnsi="仿宋" w:eastAsia="仿宋_GB2312" w:cs="仿宋"/>
          <w:b/>
          <w:bCs/>
          <w:sz w:val="32"/>
          <w:szCs w:val="32"/>
        </w:rPr>
      </w:pPr>
      <w:r>
        <w:rPr>
          <w:rFonts w:hint="eastAsia" w:ascii="仿宋_GB2312" w:hAnsi="仿宋" w:eastAsia="仿宋_GB2312" w:cs="仿宋"/>
          <w:b/>
          <w:bCs/>
          <w:sz w:val="32"/>
          <w:szCs w:val="32"/>
        </w:rPr>
        <w:t xml:space="preserve">【实验习惯】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实验结束，将用过的种子放入废料槽中，清洗培养皿，物品归位，清洁桌面。</w:t>
      </w:r>
    </w:p>
    <w:p>
      <w:pPr>
        <w:spacing w:line="580" w:lineRule="exact"/>
        <w:ind w:firstLine="640" w:firstLineChars="200"/>
        <w:rPr>
          <w:rFonts w:ascii="仿宋_GB2312" w:eastAsia="仿宋_GB2312"/>
          <w:sz w:val="32"/>
          <w:szCs w:val="32"/>
        </w:rPr>
      </w:pPr>
      <w:r>
        <w:rPr>
          <w:rFonts w:hint="eastAsia" w:ascii="仿宋_GB2312" w:hAnsi="仿宋" w:eastAsia="仿宋_GB2312" w:cs="仿宋"/>
          <w:kern w:val="0"/>
          <w:sz w:val="32"/>
          <w:szCs w:val="32"/>
        </w:rPr>
        <w:t>举手示意实验完毕</w:t>
      </w:r>
      <w:r>
        <w:rPr>
          <w:rFonts w:hint="eastAsia" w:ascii="仿宋_GB2312" w:hAnsi="仿宋" w:eastAsia="仿宋_GB2312" w:cs="仿宋"/>
          <w:sz w:val="32"/>
          <w:szCs w:val="32"/>
        </w:rPr>
        <w:t>，确认分数并签名。</w:t>
      </w:r>
    </w:p>
    <w:p>
      <w:pPr>
        <w:spacing w:line="300" w:lineRule="auto"/>
        <w:jc w:val="center"/>
        <w:rPr>
          <w:rFonts w:eastAsia="黑体"/>
        </w:rPr>
      </w:pPr>
      <w:r>
        <w:rPr>
          <w:rFonts w:eastAsia="黑体"/>
        </w:rPr>
        <w:t>参考文献</w:t>
      </w:r>
    </w:p>
    <w:p>
      <w:pPr>
        <w:numPr>
          <w:ilvl w:val="0"/>
          <w:numId w:val="3"/>
        </w:numPr>
        <w:adjustRightInd w:val="0"/>
        <w:snapToGrid w:val="0"/>
        <w:spacing w:line="300" w:lineRule="auto"/>
        <w:ind w:left="180" w:hanging="180" w:hangingChars="100"/>
        <w:rPr>
          <w:rFonts w:eastAsia="楷体"/>
          <w:kern w:val="0"/>
          <w:sz w:val="18"/>
          <w:szCs w:val="21"/>
        </w:rPr>
      </w:pPr>
      <w:r>
        <w:rPr>
          <w:rFonts w:hAnsi="楷体" w:eastAsia="楷体"/>
          <w:kern w:val="0"/>
          <w:sz w:val="18"/>
          <w:szCs w:val="21"/>
        </w:rPr>
        <w:t>中华人民共和国教育部</w:t>
      </w:r>
      <w:r>
        <w:rPr>
          <w:rFonts w:eastAsia="楷体"/>
          <w:kern w:val="0"/>
          <w:sz w:val="18"/>
          <w:szCs w:val="21"/>
        </w:rPr>
        <w:t xml:space="preserve">. </w:t>
      </w:r>
      <w:r>
        <w:rPr>
          <w:rFonts w:hint="eastAsia" w:eastAsia="楷体"/>
          <w:kern w:val="0"/>
          <w:sz w:val="18"/>
          <w:szCs w:val="21"/>
        </w:rPr>
        <w:t>义务教育物理</w:t>
      </w:r>
      <w:r>
        <w:rPr>
          <w:rFonts w:hAnsi="楷体" w:eastAsia="楷体"/>
          <w:kern w:val="0"/>
          <w:sz w:val="18"/>
          <w:szCs w:val="21"/>
        </w:rPr>
        <w:t>课程标准（</w:t>
      </w:r>
      <w:r>
        <w:rPr>
          <w:rFonts w:eastAsia="楷体"/>
          <w:kern w:val="0"/>
          <w:sz w:val="18"/>
          <w:szCs w:val="21"/>
        </w:rPr>
        <w:t>201</w:t>
      </w:r>
      <w:r>
        <w:rPr>
          <w:rFonts w:hint="eastAsia" w:eastAsia="楷体"/>
          <w:kern w:val="0"/>
          <w:sz w:val="18"/>
          <w:szCs w:val="21"/>
        </w:rPr>
        <w:t>1</w:t>
      </w:r>
      <w:r>
        <w:rPr>
          <w:rFonts w:hAnsi="楷体" w:eastAsia="楷体"/>
          <w:kern w:val="0"/>
          <w:sz w:val="18"/>
          <w:szCs w:val="21"/>
        </w:rPr>
        <w:t>年版）</w:t>
      </w:r>
      <w:r>
        <w:rPr>
          <w:rFonts w:eastAsia="楷体"/>
          <w:kern w:val="0"/>
          <w:sz w:val="18"/>
          <w:szCs w:val="21"/>
        </w:rPr>
        <w:t xml:space="preserve">[S]. </w:t>
      </w:r>
      <w:r>
        <w:rPr>
          <w:rFonts w:hAnsi="楷体" w:eastAsia="楷体"/>
          <w:kern w:val="0"/>
          <w:sz w:val="18"/>
          <w:szCs w:val="21"/>
        </w:rPr>
        <w:t>北京</w:t>
      </w:r>
      <w:r>
        <w:rPr>
          <w:rFonts w:eastAsia="楷体"/>
          <w:kern w:val="0"/>
          <w:sz w:val="18"/>
          <w:szCs w:val="21"/>
        </w:rPr>
        <w:t xml:space="preserve">: </w:t>
      </w:r>
      <w:r>
        <w:rPr>
          <w:rFonts w:hAnsi="楷体" w:eastAsia="楷体"/>
          <w:kern w:val="0"/>
          <w:sz w:val="18"/>
          <w:szCs w:val="21"/>
        </w:rPr>
        <w:t>人民教育出版社</w:t>
      </w:r>
      <w:r>
        <w:rPr>
          <w:rFonts w:eastAsia="楷体"/>
          <w:kern w:val="0"/>
          <w:sz w:val="18"/>
          <w:szCs w:val="21"/>
        </w:rPr>
        <w:t>, 201</w:t>
      </w:r>
      <w:r>
        <w:rPr>
          <w:rFonts w:hint="eastAsia" w:eastAsia="楷体"/>
          <w:kern w:val="0"/>
          <w:sz w:val="18"/>
          <w:szCs w:val="21"/>
        </w:rPr>
        <w:t>1</w:t>
      </w:r>
      <w:r>
        <w:rPr>
          <w:rFonts w:eastAsia="楷体"/>
          <w:kern w:val="0"/>
          <w:sz w:val="18"/>
          <w:szCs w:val="21"/>
        </w:rPr>
        <w:t>.</w:t>
      </w:r>
    </w:p>
    <w:p>
      <w:pPr>
        <w:numPr>
          <w:ilvl w:val="0"/>
          <w:numId w:val="3"/>
        </w:numPr>
        <w:adjustRightInd w:val="0"/>
        <w:snapToGrid w:val="0"/>
        <w:spacing w:line="300" w:lineRule="auto"/>
        <w:ind w:left="180" w:hanging="180" w:hangingChars="100"/>
        <w:rPr>
          <w:rFonts w:eastAsia="楷体"/>
          <w:kern w:val="0"/>
          <w:sz w:val="18"/>
          <w:szCs w:val="21"/>
        </w:rPr>
      </w:pPr>
      <w:r>
        <w:rPr>
          <w:rFonts w:hAnsi="楷体" w:eastAsia="楷体"/>
          <w:kern w:val="0"/>
          <w:sz w:val="18"/>
          <w:szCs w:val="21"/>
        </w:rPr>
        <w:t>中华人民共和国教育部</w:t>
      </w:r>
      <w:r>
        <w:rPr>
          <w:rFonts w:eastAsia="楷体"/>
          <w:kern w:val="0"/>
          <w:sz w:val="18"/>
          <w:szCs w:val="21"/>
        </w:rPr>
        <w:t xml:space="preserve">. </w:t>
      </w:r>
      <w:r>
        <w:rPr>
          <w:rFonts w:hint="eastAsia" w:eastAsia="楷体"/>
          <w:kern w:val="0"/>
          <w:sz w:val="18"/>
          <w:szCs w:val="21"/>
        </w:rPr>
        <w:t>义务教育</w:t>
      </w:r>
      <w:r>
        <w:rPr>
          <w:rFonts w:hAnsi="楷体" w:eastAsia="楷体"/>
          <w:kern w:val="0"/>
          <w:sz w:val="18"/>
          <w:szCs w:val="21"/>
        </w:rPr>
        <w:t>化学课程标准（</w:t>
      </w:r>
      <w:r>
        <w:rPr>
          <w:rFonts w:eastAsia="楷体"/>
          <w:kern w:val="0"/>
          <w:sz w:val="18"/>
          <w:szCs w:val="21"/>
        </w:rPr>
        <w:t>201</w:t>
      </w:r>
      <w:r>
        <w:rPr>
          <w:rFonts w:hint="eastAsia" w:eastAsia="楷体"/>
          <w:kern w:val="0"/>
          <w:sz w:val="18"/>
          <w:szCs w:val="21"/>
        </w:rPr>
        <w:t>1</w:t>
      </w:r>
      <w:r>
        <w:rPr>
          <w:rFonts w:hAnsi="楷体" w:eastAsia="楷体"/>
          <w:kern w:val="0"/>
          <w:sz w:val="18"/>
          <w:szCs w:val="21"/>
        </w:rPr>
        <w:t>年版）</w:t>
      </w:r>
      <w:r>
        <w:rPr>
          <w:rFonts w:eastAsia="楷体"/>
          <w:kern w:val="0"/>
          <w:sz w:val="18"/>
          <w:szCs w:val="21"/>
        </w:rPr>
        <w:t xml:space="preserve">[S]. </w:t>
      </w:r>
      <w:r>
        <w:rPr>
          <w:rFonts w:hAnsi="楷体" w:eastAsia="楷体"/>
          <w:kern w:val="0"/>
          <w:sz w:val="18"/>
          <w:szCs w:val="21"/>
        </w:rPr>
        <w:t>北京</w:t>
      </w:r>
      <w:r>
        <w:rPr>
          <w:rFonts w:eastAsia="楷体"/>
          <w:kern w:val="0"/>
          <w:sz w:val="18"/>
          <w:szCs w:val="21"/>
        </w:rPr>
        <w:t xml:space="preserve">: </w:t>
      </w:r>
      <w:r>
        <w:rPr>
          <w:rFonts w:hAnsi="楷体" w:eastAsia="楷体"/>
          <w:kern w:val="0"/>
          <w:sz w:val="18"/>
          <w:szCs w:val="21"/>
        </w:rPr>
        <w:t>人民教育出版社</w:t>
      </w:r>
      <w:r>
        <w:rPr>
          <w:rFonts w:eastAsia="楷体"/>
          <w:kern w:val="0"/>
          <w:sz w:val="18"/>
          <w:szCs w:val="21"/>
        </w:rPr>
        <w:t>, 201</w:t>
      </w:r>
      <w:r>
        <w:rPr>
          <w:rFonts w:hint="eastAsia" w:eastAsia="楷体"/>
          <w:kern w:val="0"/>
          <w:sz w:val="18"/>
          <w:szCs w:val="21"/>
        </w:rPr>
        <w:t>1</w:t>
      </w:r>
      <w:r>
        <w:rPr>
          <w:rFonts w:eastAsia="楷体"/>
          <w:kern w:val="0"/>
          <w:sz w:val="18"/>
          <w:szCs w:val="21"/>
        </w:rPr>
        <w:t>.</w:t>
      </w:r>
    </w:p>
    <w:p>
      <w:pPr>
        <w:numPr>
          <w:ilvl w:val="0"/>
          <w:numId w:val="3"/>
        </w:numPr>
        <w:adjustRightInd w:val="0"/>
        <w:snapToGrid w:val="0"/>
        <w:spacing w:line="300" w:lineRule="auto"/>
        <w:ind w:left="180" w:hanging="180" w:hangingChars="100"/>
        <w:rPr>
          <w:rFonts w:eastAsia="楷体"/>
          <w:kern w:val="0"/>
          <w:sz w:val="18"/>
          <w:szCs w:val="21"/>
        </w:rPr>
      </w:pPr>
      <w:r>
        <w:rPr>
          <w:rFonts w:hAnsi="楷体" w:eastAsia="楷体"/>
          <w:kern w:val="0"/>
          <w:sz w:val="18"/>
          <w:szCs w:val="21"/>
        </w:rPr>
        <w:t>中华人民共和国教育部</w:t>
      </w:r>
      <w:r>
        <w:rPr>
          <w:rFonts w:eastAsia="楷体"/>
          <w:kern w:val="0"/>
          <w:sz w:val="18"/>
          <w:szCs w:val="21"/>
        </w:rPr>
        <w:t xml:space="preserve">. </w:t>
      </w:r>
      <w:r>
        <w:rPr>
          <w:rFonts w:hint="eastAsia" w:eastAsia="楷体"/>
          <w:kern w:val="0"/>
          <w:sz w:val="18"/>
          <w:szCs w:val="21"/>
        </w:rPr>
        <w:t>义务教育生物</w:t>
      </w:r>
      <w:r>
        <w:rPr>
          <w:rFonts w:hAnsi="楷体" w:eastAsia="楷体"/>
          <w:kern w:val="0"/>
          <w:sz w:val="18"/>
          <w:szCs w:val="21"/>
        </w:rPr>
        <w:t>学课程标准（</w:t>
      </w:r>
      <w:r>
        <w:rPr>
          <w:rFonts w:eastAsia="楷体"/>
          <w:kern w:val="0"/>
          <w:sz w:val="18"/>
          <w:szCs w:val="21"/>
        </w:rPr>
        <w:t>201</w:t>
      </w:r>
      <w:r>
        <w:rPr>
          <w:rFonts w:hint="eastAsia" w:eastAsia="楷体"/>
          <w:kern w:val="0"/>
          <w:sz w:val="18"/>
          <w:szCs w:val="21"/>
        </w:rPr>
        <w:t>1</w:t>
      </w:r>
      <w:r>
        <w:rPr>
          <w:rFonts w:hAnsi="楷体" w:eastAsia="楷体"/>
          <w:kern w:val="0"/>
          <w:sz w:val="18"/>
          <w:szCs w:val="21"/>
        </w:rPr>
        <w:t>年版）</w:t>
      </w:r>
      <w:r>
        <w:rPr>
          <w:rFonts w:eastAsia="楷体"/>
          <w:kern w:val="0"/>
          <w:sz w:val="18"/>
          <w:szCs w:val="21"/>
        </w:rPr>
        <w:t xml:space="preserve">[S]. </w:t>
      </w:r>
      <w:r>
        <w:rPr>
          <w:rFonts w:hAnsi="楷体" w:eastAsia="楷体"/>
          <w:kern w:val="0"/>
          <w:sz w:val="18"/>
          <w:szCs w:val="21"/>
        </w:rPr>
        <w:t>北京</w:t>
      </w:r>
      <w:r>
        <w:rPr>
          <w:rFonts w:eastAsia="楷体"/>
          <w:kern w:val="0"/>
          <w:sz w:val="18"/>
          <w:szCs w:val="21"/>
        </w:rPr>
        <w:t xml:space="preserve">: </w:t>
      </w:r>
      <w:r>
        <w:rPr>
          <w:rFonts w:hAnsi="楷体" w:eastAsia="楷体"/>
          <w:kern w:val="0"/>
          <w:sz w:val="18"/>
          <w:szCs w:val="21"/>
        </w:rPr>
        <w:t>人民教育出版社</w:t>
      </w:r>
      <w:r>
        <w:rPr>
          <w:rFonts w:eastAsia="楷体"/>
          <w:kern w:val="0"/>
          <w:sz w:val="18"/>
          <w:szCs w:val="21"/>
        </w:rPr>
        <w:t>, 201</w:t>
      </w:r>
      <w:r>
        <w:rPr>
          <w:rFonts w:hint="eastAsia" w:eastAsia="楷体"/>
          <w:kern w:val="0"/>
          <w:sz w:val="18"/>
          <w:szCs w:val="21"/>
        </w:rPr>
        <w:t>1</w:t>
      </w:r>
      <w:r>
        <w:rPr>
          <w:rFonts w:eastAsia="楷体"/>
          <w:kern w:val="0"/>
          <w:sz w:val="18"/>
          <w:szCs w:val="21"/>
        </w:rPr>
        <w:t>.</w:t>
      </w:r>
    </w:p>
    <w:p>
      <w:pPr>
        <w:numPr>
          <w:ilvl w:val="0"/>
          <w:numId w:val="3"/>
        </w:numPr>
        <w:adjustRightInd w:val="0"/>
        <w:snapToGrid w:val="0"/>
        <w:spacing w:line="300" w:lineRule="auto"/>
        <w:ind w:left="180" w:hanging="180" w:hangingChars="100"/>
        <w:rPr>
          <w:rFonts w:eastAsia="楷体"/>
          <w:kern w:val="0"/>
          <w:sz w:val="18"/>
          <w:szCs w:val="21"/>
        </w:rPr>
      </w:pPr>
      <w:r>
        <w:rPr>
          <w:rFonts w:hint="eastAsia" w:eastAsia="楷体"/>
          <w:kern w:val="0"/>
          <w:sz w:val="18"/>
          <w:szCs w:val="21"/>
        </w:rPr>
        <w:t>理科教学标准研究组.初中理科实验教学标准</w:t>
      </w:r>
      <w:r>
        <w:rPr>
          <w:rFonts w:eastAsia="楷体"/>
          <w:kern w:val="0"/>
          <w:sz w:val="18"/>
          <w:szCs w:val="21"/>
        </w:rPr>
        <w:t>[</w:t>
      </w:r>
      <w:r>
        <w:rPr>
          <w:rFonts w:hint="eastAsia" w:eastAsia="楷体"/>
          <w:kern w:val="0"/>
          <w:sz w:val="18"/>
          <w:szCs w:val="21"/>
        </w:rPr>
        <w:t>M</w:t>
      </w:r>
      <w:r>
        <w:rPr>
          <w:rFonts w:eastAsia="楷体"/>
          <w:kern w:val="0"/>
          <w:sz w:val="18"/>
          <w:szCs w:val="21"/>
        </w:rPr>
        <w:t>].</w:t>
      </w:r>
      <w:r>
        <w:rPr>
          <w:rFonts w:hint="eastAsia" w:eastAsia="楷体"/>
          <w:kern w:val="0"/>
          <w:sz w:val="18"/>
          <w:szCs w:val="21"/>
        </w:rPr>
        <w:t>沈阳：万卷出版公司，2020.12.</w:t>
      </w:r>
    </w:p>
    <w:p>
      <w:pPr>
        <w:numPr>
          <w:ilvl w:val="0"/>
          <w:numId w:val="3"/>
        </w:numPr>
        <w:adjustRightInd w:val="0"/>
        <w:snapToGrid w:val="0"/>
        <w:spacing w:line="300" w:lineRule="auto"/>
        <w:ind w:left="180" w:hanging="180" w:hangingChars="100"/>
        <w:rPr>
          <w:rFonts w:eastAsia="楷体"/>
          <w:kern w:val="0"/>
          <w:sz w:val="18"/>
          <w:szCs w:val="21"/>
        </w:rPr>
      </w:pPr>
      <w:r>
        <w:rPr>
          <w:rFonts w:hint="eastAsia" w:eastAsia="楷体"/>
          <w:kern w:val="0"/>
          <w:sz w:val="18"/>
          <w:szCs w:val="21"/>
        </w:rPr>
        <w:t>理科教学标准研究组.初中理科实验测评与装备标准</w:t>
      </w:r>
      <w:r>
        <w:rPr>
          <w:rFonts w:eastAsia="楷体"/>
          <w:kern w:val="0"/>
          <w:sz w:val="18"/>
          <w:szCs w:val="21"/>
        </w:rPr>
        <w:t>[</w:t>
      </w:r>
      <w:r>
        <w:rPr>
          <w:rFonts w:hint="eastAsia" w:eastAsia="楷体"/>
          <w:kern w:val="0"/>
          <w:sz w:val="18"/>
          <w:szCs w:val="21"/>
        </w:rPr>
        <w:t>M</w:t>
      </w:r>
      <w:r>
        <w:rPr>
          <w:rFonts w:eastAsia="楷体"/>
          <w:kern w:val="0"/>
          <w:sz w:val="18"/>
          <w:szCs w:val="21"/>
        </w:rPr>
        <w:t>].</w:t>
      </w:r>
      <w:r>
        <w:rPr>
          <w:rFonts w:hint="eastAsia" w:eastAsia="楷体"/>
          <w:kern w:val="0"/>
          <w:sz w:val="18"/>
          <w:szCs w:val="21"/>
        </w:rPr>
        <w:t>沈阳：万卷出版公司，2020.8.</w:t>
      </w:r>
    </w:p>
    <w:p>
      <w:pPr>
        <w:adjustRightInd w:val="0"/>
        <w:snapToGrid w:val="0"/>
        <w:spacing w:line="300" w:lineRule="auto"/>
        <w:ind w:left="-210" w:leftChars="-100"/>
        <w:rPr>
          <w:rFonts w:eastAsia="楷体"/>
          <w:kern w:val="0"/>
          <w:sz w:val="18"/>
          <w:szCs w:val="21"/>
        </w:rPr>
      </w:pPr>
    </w:p>
    <w:p>
      <w:pPr>
        <w:widowControl/>
        <w:jc w:val="lef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深圳市初中理科实验教学与测评装备标准</w:t>
      </w:r>
    </w:p>
    <w:p>
      <w:pPr>
        <w:rPr>
          <w:rFonts w:ascii="仿宋_GB2312" w:hAnsi="宋体" w:eastAsia="仿宋_GB2312" w:cs="宋体"/>
          <w:sz w:val="32"/>
          <w:szCs w:val="32"/>
        </w:rPr>
      </w:pP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为推行考生现场操作实时录像考后网上集中评分的考试方式，特制定本装备标准，包括实验台实验信息采集终端要求、实验教学与测评相关平台功能要求和其它要求。</w:t>
      </w:r>
    </w:p>
    <w:p>
      <w:pPr>
        <w:tabs>
          <w:tab w:val="left" w:pos="6328"/>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一、实验台实验信息采集终端要求</w:t>
      </w:r>
    </w:p>
    <w:p>
      <w:pPr>
        <w:spacing w:line="580" w:lineRule="exact"/>
        <w:ind w:firstLine="480"/>
        <w:rPr>
          <w:rFonts w:ascii="黑体" w:hAnsi="黑体" w:eastAsia="黑体" w:cs="黑体"/>
          <w:bCs/>
          <w:kern w:val="0"/>
          <w:sz w:val="24"/>
        </w:rPr>
      </w:pPr>
      <w:r>
        <w:rPr>
          <w:rFonts w:hint="eastAsia" w:ascii="仿宋_GB2312" w:hAnsi="宋体" w:eastAsia="仿宋_GB2312" w:cs="宋体"/>
          <w:sz w:val="32"/>
          <w:szCs w:val="32"/>
        </w:rPr>
        <w:t>为保障现考后评方式有效施行，满足实验教学与测评需求，学生实验操作台上需配备实验信息采集终端，用于采集学生实验操作过程影像，具体配置要求如表1所示。</w:t>
      </w:r>
    </w:p>
    <w:p>
      <w:pPr>
        <w:widowControl/>
        <w:jc w:val="center"/>
        <w:rPr>
          <w:rFonts w:ascii="黑体" w:hAnsi="黑体" w:eastAsia="黑体" w:cs="黑体"/>
          <w:bCs/>
          <w:kern w:val="0"/>
          <w:sz w:val="24"/>
        </w:rPr>
      </w:pPr>
      <w:r>
        <w:rPr>
          <w:rFonts w:hint="eastAsia" w:ascii="黑体" w:hAnsi="黑体" w:eastAsia="黑体" w:cs="黑体"/>
          <w:bCs/>
          <w:kern w:val="0"/>
          <w:sz w:val="24"/>
        </w:rPr>
        <w:t>表1 实验台实验信息采集终端配置要求</w:t>
      </w:r>
    </w:p>
    <w:tbl>
      <w:tblPr>
        <w:tblStyle w:val="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16"/>
        <w:gridCol w:w="55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6" w:type="dxa"/>
            <w:vAlign w:val="center"/>
          </w:tcPr>
          <w:p>
            <w:pPr>
              <w:widowControl/>
              <w:jc w:val="center"/>
              <w:rPr>
                <w:rFonts w:ascii="宋体" w:hAnsi="宋体" w:cs="宋体"/>
                <w:sz w:val="24"/>
              </w:rPr>
            </w:pPr>
            <w:r>
              <w:rPr>
                <w:rFonts w:hint="eastAsia" w:ascii="黑体" w:hAnsi="黑体" w:eastAsia="黑体" w:cs="黑体"/>
                <w:bCs/>
                <w:kern w:val="0"/>
                <w:sz w:val="24"/>
              </w:rPr>
              <w:t>序号</w:t>
            </w:r>
          </w:p>
        </w:tc>
        <w:tc>
          <w:tcPr>
            <w:tcW w:w="1216" w:type="dxa"/>
            <w:vAlign w:val="center"/>
          </w:tcPr>
          <w:p>
            <w:pPr>
              <w:widowControl/>
              <w:jc w:val="center"/>
              <w:rPr>
                <w:rFonts w:ascii="宋体" w:hAnsi="宋体" w:cs="宋体"/>
                <w:sz w:val="24"/>
              </w:rPr>
            </w:pPr>
            <w:r>
              <w:rPr>
                <w:rFonts w:hint="eastAsia" w:ascii="黑体" w:hAnsi="黑体" w:eastAsia="黑体" w:cs="黑体"/>
                <w:bCs/>
                <w:kern w:val="0"/>
                <w:sz w:val="24"/>
              </w:rPr>
              <w:t>组件名称</w:t>
            </w:r>
          </w:p>
        </w:tc>
        <w:tc>
          <w:tcPr>
            <w:tcW w:w="5571" w:type="dxa"/>
            <w:vAlign w:val="center"/>
          </w:tcPr>
          <w:p>
            <w:pPr>
              <w:widowControl/>
              <w:jc w:val="center"/>
              <w:rPr>
                <w:rFonts w:ascii="宋体" w:hAnsi="宋体" w:cs="宋体"/>
                <w:sz w:val="24"/>
              </w:rPr>
            </w:pPr>
            <w:r>
              <w:rPr>
                <w:rFonts w:hint="eastAsia" w:ascii="黑体" w:hAnsi="黑体" w:eastAsia="黑体" w:cs="黑体"/>
                <w:bCs/>
                <w:kern w:val="0"/>
                <w:sz w:val="24"/>
              </w:rPr>
              <w:t>配备标准</w:t>
            </w:r>
          </w:p>
        </w:tc>
        <w:tc>
          <w:tcPr>
            <w:tcW w:w="1473" w:type="dxa"/>
            <w:vAlign w:val="center"/>
          </w:tcPr>
          <w:p>
            <w:pPr>
              <w:widowControl/>
              <w:jc w:val="center"/>
              <w:rPr>
                <w:rFonts w:ascii="宋体" w:hAnsi="宋体" w:eastAsia="黑体" w:cs="宋体"/>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1</w:t>
            </w:r>
          </w:p>
        </w:tc>
        <w:tc>
          <w:tcPr>
            <w:tcW w:w="1216" w:type="dxa"/>
            <w:vAlign w:val="center"/>
          </w:tcPr>
          <w:p>
            <w:pPr>
              <w:jc w:val="center"/>
              <w:rPr>
                <w:rFonts w:ascii="宋体" w:hAnsi="宋体" w:cs="宋体"/>
                <w:sz w:val="24"/>
              </w:rPr>
            </w:pPr>
            <w:r>
              <w:rPr>
                <w:rFonts w:hint="eastAsia" w:ascii="宋体" w:hAnsi="宋体" w:cs="宋体"/>
                <w:sz w:val="24"/>
              </w:rPr>
              <w:t>一体化</w:t>
            </w:r>
          </w:p>
          <w:p>
            <w:pPr>
              <w:jc w:val="center"/>
              <w:rPr>
                <w:rFonts w:ascii="宋体" w:hAnsi="宋体" w:cs="宋体"/>
                <w:sz w:val="24"/>
              </w:rPr>
            </w:pPr>
            <w:r>
              <w:rPr>
                <w:rFonts w:hint="eastAsia" w:ascii="宋体" w:hAnsi="宋体" w:cs="宋体"/>
                <w:sz w:val="24"/>
              </w:rPr>
              <w:t>支架</w:t>
            </w:r>
          </w:p>
        </w:tc>
        <w:tc>
          <w:tcPr>
            <w:tcW w:w="5571" w:type="dxa"/>
            <w:vAlign w:val="center"/>
          </w:tcPr>
          <w:p>
            <w:pPr>
              <w:rPr>
                <w:rFonts w:ascii="宋体" w:hAnsi="宋体" w:cs="宋体"/>
                <w:sz w:val="24"/>
              </w:rPr>
            </w:pPr>
            <w:r>
              <w:rPr>
                <w:rFonts w:hint="eastAsia" w:ascii="宋体" w:hAnsi="宋体" w:cs="宋体"/>
                <w:sz w:val="24"/>
              </w:rPr>
              <w:t>使用过程中应稳定维持固定拍摄角度，不可自由伸缩和旋转；底座支架具备固定功能；可用于标准实验桌；宜支持折叠收纳。</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2</w:t>
            </w:r>
          </w:p>
        </w:tc>
        <w:tc>
          <w:tcPr>
            <w:tcW w:w="1216" w:type="dxa"/>
            <w:vAlign w:val="center"/>
          </w:tcPr>
          <w:p>
            <w:pPr>
              <w:jc w:val="center"/>
              <w:rPr>
                <w:rFonts w:ascii="宋体" w:hAnsi="宋体" w:cs="宋体"/>
                <w:sz w:val="24"/>
              </w:rPr>
            </w:pPr>
            <w:r>
              <w:rPr>
                <w:rFonts w:hint="eastAsia" w:ascii="宋体" w:hAnsi="宋体" w:cs="宋体"/>
                <w:sz w:val="24"/>
              </w:rPr>
              <w:t>视频采集摄像头</w:t>
            </w:r>
          </w:p>
        </w:tc>
        <w:tc>
          <w:tcPr>
            <w:tcW w:w="5571" w:type="dxa"/>
            <w:vAlign w:val="center"/>
          </w:tcPr>
          <w:p>
            <w:pPr>
              <w:rPr>
                <w:rFonts w:ascii="宋体" w:hAnsi="宋体" w:cs="宋体"/>
                <w:sz w:val="24"/>
              </w:rPr>
            </w:pPr>
            <w:r>
              <w:rPr>
                <w:rFonts w:hint="eastAsia" w:ascii="宋体" w:hAnsi="宋体" w:cs="宋体"/>
                <w:sz w:val="24"/>
              </w:rPr>
              <w:t>自动白平衡；支持多码流传输；俯视角摄像头的广角不低于86°；焦距不低于2.8mm，俯视角摄像头需能在一个画面内拍摄整个实验台，侧视角摄像头需支持拍摄核心操作区内操作和刻度细节；帧率不低于25fps；支持3D数字降噪；不低于200万像素；各摄像头视频同步偏差不高于80ms；支持H.265/H.264/MJPEG视频压缩编码；自动曝光；支持宽动态，宽动态范围不低于90dB。</w:t>
            </w:r>
          </w:p>
        </w:tc>
        <w:tc>
          <w:tcPr>
            <w:tcW w:w="1473" w:type="dxa"/>
            <w:vAlign w:val="center"/>
          </w:tcPr>
          <w:p>
            <w:pPr>
              <w:jc w:val="center"/>
              <w:rPr>
                <w:rFonts w:ascii="宋体" w:hAnsi="宋体" w:cs="宋体"/>
                <w:sz w:val="24"/>
              </w:rPr>
            </w:pPr>
            <w:r>
              <w:rPr>
                <w:rFonts w:hint="eastAsia" w:ascii="宋体" w:hAnsi="宋体" w:cs="宋体"/>
                <w:sz w:val="24"/>
              </w:rPr>
              <w:t>必配，每套终端配备至少2个摄像头，其中至少1个为俯视角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3</w:t>
            </w:r>
          </w:p>
        </w:tc>
        <w:tc>
          <w:tcPr>
            <w:tcW w:w="1216" w:type="dxa"/>
            <w:vAlign w:val="center"/>
          </w:tcPr>
          <w:p>
            <w:pPr>
              <w:jc w:val="center"/>
              <w:rPr>
                <w:rFonts w:ascii="宋体" w:hAnsi="宋体" w:cs="宋体"/>
                <w:sz w:val="24"/>
              </w:rPr>
            </w:pPr>
            <w:r>
              <w:rPr>
                <w:rFonts w:hint="eastAsia" w:ascii="宋体" w:hAnsi="宋体" w:cs="宋体"/>
                <w:sz w:val="24"/>
              </w:rPr>
              <w:t>核心操作区标识</w:t>
            </w:r>
          </w:p>
        </w:tc>
        <w:tc>
          <w:tcPr>
            <w:tcW w:w="5571" w:type="dxa"/>
            <w:vAlign w:val="center"/>
          </w:tcPr>
          <w:p>
            <w:pPr>
              <w:rPr>
                <w:rFonts w:ascii="宋体" w:hAnsi="宋体" w:cs="宋体"/>
                <w:sz w:val="24"/>
              </w:rPr>
            </w:pPr>
            <w:r>
              <w:rPr>
                <w:rFonts w:hint="eastAsia" w:ascii="宋体" w:hAnsi="宋体" w:cs="宋体"/>
                <w:sz w:val="24"/>
              </w:rPr>
              <w:t>放置或粘贴在实验桌上，用于引导学生在核心区域操作，完成整个实验。</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4</w:t>
            </w:r>
          </w:p>
        </w:tc>
        <w:tc>
          <w:tcPr>
            <w:tcW w:w="1216" w:type="dxa"/>
            <w:vAlign w:val="center"/>
          </w:tcPr>
          <w:p>
            <w:pPr>
              <w:jc w:val="center"/>
              <w:rPr>
                <w:rFonts w:ascii="宋体" w:hAnsi="宋体" w:cs="宋体"/>
                <w:sz w:val="24"/>
              </w:rPr>
            </w:pPr>
            <w:r>
              <w:rPr>
                <w:rFonts w:hint="eastAsia" w:ascii="宋体" w:hAnsi="宋体" w:cs="宋体"/>
                <w:sz w:val="24"/>
              </w:rPr>
              <w:t>显示器</w:t>
            </w:r>
          </w:p>
        </w:tc>
        <w:tc>
          <w:tcPr>
            <w:tcW w:w="5571" w:type="dxa"/>
            <w:vAlign w:val="center"/>
          </w:tcPr>
          <w:p>
            <w:pPr>
              <w:rPr>
                <w:rFonts w:ascii="宋体" w:hAnsi="宋体" w:cs="宋体"/>
                <w:sz w:val="24"/>
              </w:rPr>
            </w:pPr>
            <w:r>
              <w:rPr>
                <w:rFonts w:hint="eastAsia" w:ascii="宋体" w:hAnsi="宋体" w:cs="宋体"/>
                <w:sz w:val="24"/>
              </w:rPr>
              <w:t>尺寸不小于10英寸；分辨率不低于1920*1080；支持多点（不低于10点）触控。</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5</w:t>
            </w:r>
          </w:p>
        </w:tc>
        <w:tc>
          <w:tcPr>
            <w:tcW w:w="1216" w:type="dxa"/>
            <w:vAlign w:val="center"/>
          </w:tcPr>
          <w:p>
            <w:pPr>
              <w:jc w:val="center"/>
              <w:rPr>
                <w:rFonts w:ascii="宋体" w:hAnsi="宋体" w:cs="宋体"/>
                <w:sz w:val="24"/>
              </w:rPr>
            </w:pPr>
            <w:r>
              <w:rPr>
                <w:rFonts w:hint="eastAsia" w:ascii="宋体" w:hAnsi="宋体" w:cs="宋体"/>
                <w:sz w:val="24"/>
              </w:rPr>
              <w:t>处理器</w:t>
            </w:r>
          </w:p>
        </w:tc>
        <w:tc>
          <w:tcPr>
            <w:tcW w:w="5571" w:type="dxa"/>
            <w:vAlign w:val="center"/>
          </w:tcPr>
          <w:p>
            <w:pPr>
              <w:rPr>
                <w:rFonts w:ascii="宋体" w:hAnsi="宋体" w:cs="宋体"/>
                <w:sz w:val="24"/>
              </w:rPr>
            </w:pPr>
            <w:r>
              <w:rPr>
                <w:rFonts w:hint="eastAsia" w:ascii="宋体" w:hAnsi="宋体" w:cs="宋体"/>
                <w:sz w:val="24"/>
              </w:rPr>
              <w:t>不低于四核，</w:t>
            </w:r>
            <w:r>
              <w:rPr>
                <w:rFonts w:ascii="宋体" w:hAnsi="宋体" w:cs="宋体"/>
                <w:sz w:val="24"/>
              </w:rPr>
              <w:t>主频不低于1.6GHz</w:t>
            </w:r>
            <w:r>
              <w:rPr>
                <w:rFonts w:hint="eastAsia" w:ascii="宋体" w:hAnsi="宋体" w:cs="宋体"/>
                <w:sz w:val="24"/>
              </w:rPr>
              <w:t>。或以云桌面形式部署。</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6</w:t>
            </w:r>
          </w:p>
        </w:tc>
        <w:tc>
          <w:tcPr>
            <w:tcW w:w="1216" w:type="dxa"/>
            <w:vAlign w:val="center"/>
          </w:tcPr>
          <w:p>
            <w:pPr>
              <w:jc w:val="center"/>
              <w:rPr>
                <w:rFonts w:ascii="宋体" w:hAnsi="宋体" w:cs="宋体"/>
                <w:sz w:val="24"/>
              </w:rPr>
            </w:pPr>
            <w:r>
              <w:rPr>
                <w:rFonts w:hint="eastAsia" w:ascii="宋体" w:hAnsi="宋体" w:cs="宋体"/>
                <w:sz w:val="24"/>
              </w:rPr>
              <w:t>内存</w:t>
            </w:r>
          </w:p>
        </w:tc>
        <w:tc>
          <w:tcPr>
            <w:tcW w:w="5571" w:type="dxa"/>
            <w:vAlign w:val="center"/>
          </w:tcPr>
          <w:p>
            <w:pPr>
              <w:rPr>
                <w:rFonts w:ascii="宋体" w:hAnsi="宋体" w:cs="宋体"/>
                <w:sz w:val="24"/>
              </w:rPr>
            </w:pPr>
            <w:r>
              <w:rPr>
                <w:rFonts w:hint="eastAsia" w:ascii="宋体" w:hAnsi="宋体" w:cs="宋体"/>
                <w:sz w:val="24"/>
              </w:rPr>
              <w:t>不低于4G。</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7</w:t>
            </w:r>
          </w:p>
        </w:tc>
        <w:tc>
          <w:tcPr>
            <w:tcW w:w="1216" w:type="dxa"/>
            <w:vAlign w:val="center"/>
          </w:tcPr>
          <w:p>
            <w:pPr>
              <w:jc w:val="center"/>
              <w:rPr>
                <w:rFonts w:ascii="宋体" w:hAnsi="宋体" w:cs="宋体"/>
                <w:sz w:val="24"/>
              </w:rPr>
            </w:pPr>
            <w:r>
              <w:rPr>
                <w:rFonts w:hint="eastAsia" w:ascii="宋体" w:hAnsi="宋体" w:cs="宋体"/>
                <w:sz w:val="24"/>
              </w:rPr>
              <w:t>存储</w:t>
            </w:r>
          </w:p>
        </w:tc>
        <w:tc>
          <w:tcPr>
            <w:tcW w:w="5571" w:type="dxa"/>
            <w:vAlign w:val="center"/>
          </w:tcPr>
          <w:p>
            <w:pPr>
              <w:rPr>
                <w:rFonts w:ascii="宋体" w:hAnsi="宋体" w:cs="宋体"/>
                <w:sz w:val="24"/>
              </w:rPr>
            </w:pPr>
            <w:r>
              <w:rPr>
                <w:rFonts w:hint="eastAsia" w:ascii="宋体" w:hAnsi="宋体" w:cs="宋体"/>
                <w:sz w:val="24"/>
              </w:rPr>
              <w:t>不低于</w:t>
            </w:r>
            <w:r>
              <w:rPr>
                <w:rFonts w:ascii="宋体" w:hAnsi="宋体" w:cs="宋体"/>
                <w:sz w:val="24"/>
              </w:rPr>
              <w:t>32</w:t>
            </w:r>
            <w:r>
              <w:rPr>
                <w:rFonts w:hint="eastAsia" w:ascii="宋体" w:hAnsi="宋体" w:cs="宋体"/>
                <w:sz w:val="24"/>
              </w:rPr>
              <w:t>GB。</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8</w:t>
            </w:r>
          </w:p>
        </w:tc>
        <w:tc>
          <w:tcPr>
            <w:tcW w:w="1216" w:type="dxa"/>
            <w:vAlign w:val="center"/>
          </w:tcPr>
          <w:p>
            <w:pPr>
              <w:jc w:val="center"/>
              <w:rPr>
                <w:rFonts w:ascii="宋体" w:hAnsi="宋体" w:cs="宋体"/>
                <w:sz w:val="24"/>
              </w:rPr>
            </w:pPr>
            <w:r>
              <w:rPr>
                <w:rFonts w:hint="eastAsia" w:ascii="宋体" w:hAnsi="宋体" w:cs="宋体"/>
                <w:sz w:val="24"/>
              </w:rPr>
              <w:t>电源接口</w:t>
            </w:r>
          </w:p>
        </w:tc>
        <w:tc>
          <w:tcPr>
            <w:tcW w:w="5571" w:type="dxa"/>
            <w:vAlign w:val="center"/>
          </w:tcPr>
          <w:p>
            <w:pPr>
              <w:rPr>
                <w:rFonts w:ascii="宋体" w:hAnsi="宋体" w:cs="宋体"/>
                <w:sz w:val="24"/>
              </w:rPr>
            </w:pPr>
            <w:r>
              <w:rPr>
                <w:rFonts w:hint="eastAsia" w:ascii="宋体" w:hAnsi="宋体" w:cs="宋体"/>
                <w:sz w:val="24"/>
              </w:rPr>
              <w:t>可持续供电，或支持内置电池供电使用4小时以上。</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b/>
                <w:kern w:val="0"/>
                <w:sz w:val="24"/>
              </w:rPr>
            </w:pPr>
            <w:r>
              <w:rPr>
                <w:rFonts w:hint="eastAsia" w:ascii="宋体" w:hAnsi="宋体" w:cs="宋体"/>
                <w:sz w:val="24"/>
              </w:rPr>
              <w:t>9</w:t>
            </w:r>
          </w:p>
        </w:tc>
        <w:tc>
          <w:tcPr>
            <w:tcW w:w="1216" w:type="dxa"/>
            <w:vAlign w:val="center"/>
          </w:tcPr>
          <w:p>
            <w:pPr>
              <w:jc w:val="center"/>
              <w:rPr>
                <w:rFonts w:ascii="宋体" w:hAnsi="宋体" w:cs="宋体"/>
                <w:b/>
                <w:kern w:val="0"/>
                <w:sz w:val="24"/>
              </w:rPr>
            </w:pPr>
            <w:r>
              <w:rPr>
                <w:rFonts w:hint="eastAsia" w:ascii="宋体" w:hAnsi="宋体" w:cs="宋体"/>
                <w:sz w:val="24"/>
              </w:rPr>
              <w:t>外设接口</w:t>
            </w:r>
          </w:p>
        </w:tc>
        <w:tc>
          <w:tcPr>
            <w:tcW w:w="5571" w:type="dxa"/>
            <w:vAlign w:val="center"/>
          </w:tcPr>
          <w:p>
            <w:pPr>
              <w:rPr>
                <w:rFonts w:ascii="宋体" w:hAnsi="宋体" w:cs="宋体"/>
                <w:sz w:val="24"/>
              </w:rPr>
            </w:pPr>
            <w:r>
              <w:rPr>
                <w:rFonts w:hint="eastAsia" w:ascii="宋体" w:hAnsi="宋体" w:cs="宋体"/>
                <w:sz w:val="24"/>
              </w:rPr>
              <w:t>至少1个USB 2.0接口；支持接入电子目镜或数码显微镜图像。</w:t>
            </w:r>
          </w:p>
        </w:tc>
        <w:tc>
          <w:tcPr>
            <w:tcW w:w="1473" w:type="dxa"/>
            <w:vAlign w:val="center"/>
          </w:tcPr>
          <w:p>
            <w:pPr>
              <w:jc w:val="center"/>
              <w:rPr>
                <w:rFonts w:ascii="宋体" w:hAnsi="宋体" w:cs="宋体"/>
                <w:b/>
                <w:kern w:val="0"/>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10</w:t>
            </w:r>
          </w:p>
        </w:tc>
        <w:tc>
          <w:tcPr>
            <w:tcW w:w="1216" w:type="dxa"/>
            <w:vAlign w:val="center"/>
          </w:tcPr>
          <w:p>
            <w:pPr>
              <w:jc w:val="center"/>
              <w:rPr>
                <w:rFonts w:ascii="宋体" w:hAnsi="宋体" w:cs="宋体"/>
                <w:sz w:val="24"/>
              </w:rPr>
            </w:pPr>
            <w:r>
              <w:rPr>
                <w:rFonts w:hint="eastAsia" w:ascii="宋体" w:hAnsi="宋体" w:cs="宋体"/>
                <w:sz w:val="24"/>
              </w:rPr>
              <w:t>电子目镜</w:t>
            </w:r>
          </w:p>
        </w:tc>
        <w:tc>
          <w:tcPr>
            <w:tcW w:w="5571" w:type="dxa"/>
            <w:vAlign w:val="center"/>
          </w:tcPr>
          <w:p>
            <w:pPr>
              <w:rPr>
                <w:rFonts w:ascii="宋体" w:hAnsi="宋体" w:cs="宋体"/>
                <w:sz w:val="24"/>
              </w:rPr>
            </w:pPr>
            <w:r>
              <w:rPr>
                <w:rFonts w:hint="eastAsia" w:ascii="宋体" w:hAnsi="宋体" w:cs="宋体"/>
                <w:sz w:val="24"/>
              </w:rPr>
              <w:t>自动曝光；自动白平衡；图像传感器像素不低于200万。</w:t>
            </w:r>
          </w:p>
        </w:tc>
        <w:tc>
          <w:tcPr>
            <w:tcW w:w="1473" w:type="dxa"/>
            <w:vAlign w:val="center"/>
          </w:tcPr>
          <w:p>
            <w:pPr>
              <w:jc w:val="center"/>
              <w:rPr>
                <w:rFonts w:ascii="宋体" w:hAnsi="宋体" w:cs="宋体"/>
                <w:sz w:val="24"/>
              </w:rPr>
            </w:pPr>
            <w:r>
              <w:rPr>
                <w:rFonts w:hint="eastAsia" w:ascii="宋体" w:hAnsi="宋体" w:cs="宋体"/>
                <w:sz w:val="24"/>
              </w:rPr>
              <w:t>若无数码显微镜，必配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11</w:t>
            </w:r>
          </w:p>
        </w:tc>
        <w:tc>
          <w:tcPr>
            <w:tcW w:w="1216" w:type="dxa"/>
            <w:vAlign w:val="center"/>
          </w:tcPr>
          <w:p>
            <w:pPr>
              <w:jc w:val="center"/>
              <w:rPr>
                <w:rFonts w:ascii="宋体" w:hAnsi="宋体" w:cs="宋体"/>
                <w:sz w:val="24"/>
              </w:rPr>
            </w:pPr>
            <w:r>
              <w:rPr>
                <w:rFonts w:hint="eastAsia" w:ascii="宋体" w:hAnsi="宋体" w:cs="宋体"/>
                <w:sz w:val="24"/>
              </w:rPr>
              <w:t>网络模块</w:t>
            </w:r>
          </w:p>
        </w:tc>
        <w:tc>
          <w:tcPr>
            <w:tcW w:w="5571" w:type="dxa"/>
            <w:vAlign w:val="center"/>
          </w:tcPr>
          <w:p>
            <w:pPr>
              <w:rPr>
                <w:rFonts w:ascii="宋体" w:hAnsi="宋体" w:cs="宋体"/>
                <w:sz w:val="24"/>
              </w:rPr>
            </w:pPr>
            <w:r>
              <w:rPr>
                <w:rFonts w:hint="eastAsia" w:ascii="宋体" w:hAnsi="宋体" w:cs="宋体"/>
                <w:sz w:val="24"/>
              </w:rPr>
              <w:t>支持有线或无线联网。有线：不低于100M网卡；无线：支持2.4GHz和5GHz双频段Wi-Fi</w:t>
            </w:r>
            <w:r>
              <w:rPr>
                <w:rFonts w:ascii="宋体" w:hAnsi="宋体" w:cs="宋体"/>
                <w:sz w:val="24"/>
              </w:rPr>
              <w:t xml:space="preserve"> </w:t>
            </w:r>
            <w:r>
              <w:rPr>
                <w:rFonts w:hint="eastAsia" w:ascii="宋体" w:hAnsi="宋体" w:cs="宋体"/>
                <w:sz w:val="24"/>
              </w:rPr>
              <w:t>6或</w:t>
            </w:r>
            <w:r>
              <w:rPr>
                <w:rFonts w:ascii="宋体" w:hAnsi="宋体" w:cs="宋体"/>
                <w:sz w:val="24"/>
              </w:rPr>
              <w:t>支持</w:t>
            </w:r>
            <w:r>
              <w:rPr>
                <w:rFonts w:hint="eastAsia" w:ascii="宋体" w:hAnsi="宋体" w:cs="宋体"/>
                <w:sz w:val="24"/>
              </w:rPr>
              <w:t>5G。</w:t>
            </w:r>
          </w:p>
        </w:tc>
        <w:tc>
          <w:tcPr>
            <w:tcW w:w="147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96" w:type="dxa"/>
            <w:vAlign w:val="center"/>
          </w:tcPr>
          <w:p>
            <w:pPr>
              <w:jc w:val="center"/>
              <w:rPr>
                <w:rFonts w:ascii="宋体" w:hAnsi="宋体" w:cs="宋体"/>
                <w:sz w:val="24"/>
              </w:rPr>
            </w:pPr>
            <w:r>
              <w:rPr>
                <w:rFonts w:hint="eastAsia" w:ascii="宋体" w:hAnsi="宋体" w:cs="宋体"/>
                <w:sz w:val="24"/>
              </w:rPr>
              <w:t>12</w:t>
            </w:r>
          </w:p>
        </w:tc>
        <w:tc>
          <w:tcPr>
            <w:tcW w:w="1216" w:type="dxa"/>
            <w:vAlign w:val="center"/>
          </w:tcPr>
          <w:p>
            <w:pPr>
              <w:pStyle w:val="5"/>
              <w:jc w:val="center"/>
              <w:rPr>
                <w:rFonts w:ascii="宋体" w:hAnsi="宋体" w:cs="宋体"/>
                <w:sz w:val="24"/>
                <w:szCs w:val="24"/>
              </w:rPr>
            </w:pPr>
            <w:r>
              <w:rPr>
                <w:rFonts w:hint="eastAsia" w:ascii="宋体" w:hAnsi="宋体" w:cs="宋体"/>
                <w:sz w:val="24"/>
                <w:szCs w:val="24"/>
              </w:rPr>
              <w:t>学生实验操作平台</w:t>
            </w:r>
          </w:p>
        </w:tc>
        <w:tc>
          <w:tcPr>
            <w:tcW w:w="5571" w:type="dxa"/>
            <w:vAlign w:val="center"/>
          </w:tcPr>
          <w:p>
            <w:pPr>
              <w:rPr>
                <w:rFonts w:ascii="宋体" w:hAnsi="宋体" w:cs="宋体"/>
                <w:sz w:val="24"/>
              </w:rPr>
            </w:pPr>
            <w:r>
              <w:rPr>
                <w:rFonts w:hint="eastAsia" w:ascii="宋体" w:hAnsi="宋体" w:cs="宋体"/>
                <w:sz w:val="24"/>
              </w:rPr>
              <w:t>内置开机</w:t>
            </w:r>
            <w:r>
              <w:rPr>
                <w:rFonts w:ascii="宋体" w:hAnsi="宋体" w:cs="宋体"/>
                <w:sz w:val="24"/>
              </w:rPr>
              <w:t>自启动</w:t>
            </w:r>
            <w:r>
              <w:rPr>
                <w:rFonts w:hint="eastAsia" w:ascii="宋体" w:hAnsi="宋体" w:cs="宋体"/>
                <w:sz w:val="24"/>
              </w:rPr>
              <w:t>的实验操作平台，</w:t>
            </w:r>
            <w:r>
              <w:rPr>
                <w:rFonts w:hint="eastAsia" w:ascii="宋体" w:hAnsi="宋体" w:cs="Arial"/>
                <w:sz w:val="24"/>
              </w:rPr>
              <w:t>在使用过程中不可</w:t>
            </w:r>
            <w:r>
              <w:rPr>
                <w:rFonts w:ascii="宋体" w:hAnsi="宋体" w:cs="Arial"/>
                <w:sz w:val="24"/>
              </w:rPr>
              <w:t>操作退出</w:t>
            </w:r>
            <w:r>
              <w:rPr>
                <w:rFonts w:hint="eastAsia" w:ascii="宋体" w:hAnsi="宋体" w:cs="宋体"/>
                <w:sz w:val="24"/>
              </w:rPr>
              <w:t>。具体参见“二、实验教学与测评相关平台功能要求”。</w:t>
            </w:r>
          </w:p>
        </w:tc>
        <w:tc>
          <w:tcPr>
            <w:tcW w:w="1473" w:type="dxa"/>
            <w:vAlign w:val="center"/>
          </w:tcPr>
          <w:p>
            <w:pPr>
              <w:jc w:val="center"/>
              <w:rPr>
                <w:rFonts w:ascii="宋体" w:hAnsi="宋体" w:cs="宋体"/>
                <w:sz w:val="24"/>
              </w:rPr>
            </w:pPr>
            <w:r>
              <w:rPr>
                <w:rFonts w:hint="eastAsia" w:ascii="宋体" w:hAnsi="宋体" w:cs="宋体"/>
                <w:sz w:val="24"/>
              </w:rPr>
              <w:t>必配</w:t>
            </w:r>
          </w:p>
        </w:tc>
      </w:tr>
    </w:tbl>
    <w:p>
      <w:pPr>
        <w:numPr>
          <w:ilvl w:val="0"/>
          <w:numId w:val="4"/>
        </w:numPr>
        <w:tabs>
          <w:tab w:val="left" w:pos="6328"/>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实验教学与测评相关平台功能要求</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为保障现考后评方式有效施行，满足实验教学与测评需求，需配备数据互通的若干平台，包括实验教学与测评监管平台（市区级）、实验评卷平台（市区级）、教师实验教学平台（校级）、实验考务平台（校级）和学生实验操作平台（终端）。原则上区校级用户可获得登录权限，直接使用上级平台；对于自建平台，需根据统一数据接口标准完成与上级平台的数据对接。市区校终端四级平台关系如图1所示。</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其中，实验教学与测评监管平台用于监管市级和区级实验教学与测评相关数据，实验评卷平台用于市级或区级评卷和管理，教师实验教学平台用于学校日常教学，实验考务平台用于区级或学校考务管理，学生实验操作平台用于教学和测评过程。学生实验操作平台需内置在实验信息采集终端中，其它平台均需支持在常用浏览器中直接使用。</w:t>
      </w:r>
    </w:p>
    <w:p>
      <w:pPr>
        <w:spacing w:line="580" w:lineRule="exact"/>
        <w:ind w:firstLine="480"/>
        <w:rPr>
          <w:rFonts w:ascii="黑体" w:hAnsi="黑体" w:eastAsia="黑体" w:cs="黑体"/>
          <w:sz w:val="32"/>
          <w:szCs w:val="32"/>
        </w:rPr>
      </w:pPr>
      <w:r>
        <w:rPr>
          <w:rFonts w:hint="eastAsia" w:ascii="仿宋_GB2312" w:hAnsi="宋体" w:eastAsia="仿宋_GB2312" w:cs="宋体"/>
          <w:sz w:val="32"/>
          <w:szCs w:val="32"/>
        </w:rPr>
        <w:t>相关功能要求如表2-表7所示。</w:t>
      </w:r>
    </w:p>
    <w:p>
      <w:pPr>
        <w:jc w:val="center"/>
      </w:pPr>
      <w:r>
        <w:rPr>
          <w:rFonts w:hint="eastAsia"/>
        </w:rPr>
        <w:drawing>
          <wp:inline distT="0" distB="0" distL="114300" distR="114300">
            <wp:extent cx="5484495" cy="6290310"/>
            <wp:effectExtent l="0" t="0" r="0" b="0"/>
            <wp:docPr id="4" name="图片 1" descr="标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标准 (1)"/>
                    <pic:cNvPicPr>
                      <a:picLocks noChangeAspect="1"/>
                    </pic:cNvPicPr>
                  </pic:nvPicPr>
                  <pic:blipFill>
                    <a:blip r:embed="rId11"/>
                    <a:stretch>
                      <a:fillRect/>
                    </a:stretch>
                  </pic:blipFill>
                  <pic:spPr>
                    <a:xfrm>
                      <a:off x="0" y="0"/>
                      <a:ext cx="5484495" cy="6290310"/>
                    </a:xfrm>
                    <a:prstGeom prst="rect">
                      <a:avLst/>
                    </a:prstGeom>
                    <a:noFill/>
                    <a:ln>
                      <a:noFill/>
                    </a:ln>
                  </pic:spPr>
                </pic:pic>
              </a:graphicData>
            </a:graphic>
          </wp:inline>
        </w:drawing>
      </w:r>
    </w:p>
    <w:p>
      <w:pPr>
        <w:widowControl/>
        <w:jc w:val="center"/>
        <w:rPr>
          <w:rFonts w:ascii="宋体" w:hAnsi="宋体" w:cs="宋体"/>
          <w:sz w:val="28"/>
          <w:szCs w:val="28"/>
        </w:rPr>
      </w:pPr>
      <w:r>
        <w:rPr>
          <w:rFonts w:hint="eastAsia" w:ascii="黑体" w:hAnsi="黑体" w:eastAsia="黑体" w:cs="黑体"/>
          <w:bCs/>
          <w:kern w:val="0"/>
          <w:sz w:val="24"/>
        </w:rPr>
        <w:t>图1</w:t>
      </w:r>
      <w:r>
        <w:rPr>
          <w:rFonts w:ascii="黑体" w:hAnsi="黑体" w:eastAsia="黑体" w:cs="黑体"/>
          <w:bCs/>
          <w:kern w:val="0"/>
          <w:sz w:val="24"/>
        </w:rPr>
        <w:t xml:space="preserve"> </w:t>
      </w:r>
      <w:r>
        <w:rPr>
          <w:rFonts w:hint="eastAsia" w:ascii="黑体" w:hAnsi="黑体" w:eastAsia="黑体" w:cs="黑体"/>
          <w:bCs/>
          <w:kern w:val="0"/>
          <w:sz w:val="24"/>
        </w:rPr>
        <w:t>市区校三级平台</w:t>
      </w:r>
    </w:p>
    <w:p>
      <w:pPr>
        <w:keepNext/>
        <w:widowControl/>
        <w:jc w:val="center"/>
        <w:rPr>
          <w:rFonts w:ascii="黑体" w:hAnsi="黑体" w:eastAsia="黑体" w:cs="黑体"/>
          <w:bCs/>
          <w:kern w:val="0"/>
          <w:sz w:val="24"/>
        </w:rPr>
      </w:pPr>
    </w:p>
    <w:p>
      <w:pPr>
        <w:keepNext/>
        <w:widowControl/>
        <w:jc w:val="center"/>
        <w:rPr>
          <w:rFonts w:ascii="宋体" w:hAnsi="宋体" w:cs="宋体"/>
          <w:sz w:val="32"/>
          <w:szCs w:val="32"/>
        </w:rPr>
      </w:pPr>
      <w:r>
        <w:rPr>
          <w:rFonts w:hint="eastAsia" w:ascii="黑体" w:hAnsi="黑体" w:eastAsia="黑体" w:cs="黑体"/>
          <w:bCs/>
          <w:kern w:val="0"/>
          <w:sz w:val="24"/>
        </w:rPr>
        <w:t>表2 实验教学与测评监管平台（市区级）功能要求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645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390"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6452"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218"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390" w:type="dxa"/>
            <w:vAlign w:val="center"/>
          </w:tcPr>
          <w:p>
            <w:pPr>
              <w:jc w:val="center"/>
              <w:rPr>
                <w:rFonts w:ascii="黑体" w:hAnsi="黑体" w:cs="黑体"/>
                <w:bCs/>
                <w:kern w:val="0"/>
                <w:sz w:val="24"/>
              </w:rPr>
            </w:pPr>
            <w:r>
              <w:rPr>
                <w:rFonts w:hint="eastAsia" w:ascii="宋体" w:hAnsi="宋体" w:cs="宋体"/>
                <w:sz w:val="24"/>
              </w:rPr>
              <w:t>数据分析</w:t>
            </w:r>
          </w:p>
        </w:tc>
        <w:tc>
          <w:tcPr>
            <w:tcW w:w="6452" w:type="dxa"/>
            <w:vAlign w:val="center"/>
          </w:tcPr>
          <w:p>
            <w:pPr>
              <w:rPr>
                <w:rFonts w:ascii="黑体" w:hAnsi="黑体" w:eastAsia="黑体" w:cs="黑体"/>
                <w:bCs/>
                <w:kern w:val="0"/>
                <w:sz w:val="24"/>
              </w:rPr>
            </w:pPr>
            <w:r>
              <w:rPr>
                <w:rFonts w:hint="eastAsia" w:ascii="宋体" w:hAnsi="宋体" w:cs="宋体"/>
                <w:sz w:val="24"/>
              </w:rPr>
              <w:t>统计全市各校日常教学实验开展情况和考试成绩分布情况，具备数据分析功能。</w:t>
            </w:r>
          </w:p>
        </w:tc>
        <w:tc>
          <w:tcPr>
            <w:tcW w:w="1218" w:type="dxa"/>
            <w:vAlign w:val="center"/>
          </w:tcPr>
          <w:p>
            <w:pPr>
              <w:jc w:val="center"/>
              <w:rPr>
                <w:rFonts w:ascii="黑体" w:hAnsi="黑体" w:eastAsia="黑体" w:cs="黑体"/>
                <w:bCs/>
                <w:kern w:val="0"/>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0" w:type="dxa"/>
            <w:vAlign w:val="center"/>
          </w:tcPr>
          <w:p>
            <w:pPr>
              <w:jc w:val="center"/>
              <w:rPr>
                <w:rFonts w:ascii="宋体" w:hAnsi="宋体" w:cs="宋体"/>
                <w:sz w:val="24"/>
              </w:rPr>
            </w:pPr>
            <w:r>
              <w:rPr>
                <w:rFonts w:hint="eastAsia" w:ascii="宋体" w:hAnsi="宋体" w:cs="宋体"/>
                <w:sz w:val="24"/>
              </w:rPr>
              <w:t>权限管理</w:t>
            </w:r>
          </w:p>
        </w:tc>
        <w:tc>
          <w:tcPr>
            <w:tcW w:w="6452" w:type="dxa"/>
            <w:vAlign w:val="center"/>
          </w:tcPr>
          <w:p>
            <w:pPr>
              <w:rPr>
                <w:rFonts w:ascii="宋体" w:hAnsi="宋体" w:cs="宋体"/>
                <w:sz w:val="24"/>
              </w:rPr>
            </w:pPr>
            <w:r>
              <w:rPr>
                <w:rFonts w:hint="eastAsia" w:ascii="宋体" w:hAnsi="宋体" w:cs="宋体"/>
                <w:sz w:val="24"/>
              </w:rPr>
              <w:t>分市级管理员和区级管理员权限，设置查看范围。</w:t>
            </w:r>
          </w:p>
        </w:tc>
        <w:tc>
          <w:tcPr>
            <w:tcW w:w="1218" w:type="dxa"/>
            <w:vAlign w:val="center"/>
          </w:tcPr>
          <w:p>
            <w:pPr>
              <w:jc w:val="center"/>
              <w:rPr>
                <w:rFonts w:ascii="宋体" w:hAnsi="宋体" w:cs="宋体"/>
                <w:sz w:val="24"/>
              </w:rPr>
            </w:pPr>
            <w:r>
              <w:rPr>
                <w:rFonts w:hint="eastAsia" w:ascii="宋体" w:hAnsi="宋体" w:cs="宋体"/>
                <w:sz w:val="24"/>
              </w:rPr>
              <w:t>必配</w:t>
            </w:r>
          </w:p>
        </w:tc>
      </w:tr>
    </w:tbl>
    <w:p>
      <w:pPr>
        <w:widowControl/>
        <w:jc w:val="center"/>
        <w:rPr>
          <w:rFonts w:ascii="黑体" w:hAnsi="黑体" w:eastAsia="黑体" w:cs="黑体"/>
          <w:bCs/>
          <w:kern w:val="0"/>
          <w:sz w:val="24"/>
        </w:rPr>
      </w:pPr>
    </w:p>
    <w:p>
      <w:pPr>
        <w:keepNext/>
        <w:widowControl/>
        <w:jc w:val="center"/>
        <w:rPr>
          <w:rFonts w:ascii="宋体" w:hAnsi="宋体" w:cs="宋体"/>
          <w:sz w:val="32"/>
          <w:szCs w:val="32"/>
        </w:rPr>
      </w:pPr>
      <w:r>
        <w:rPr>
          <w:rFonts w:hint="eastAsia" w:ascii="黑体" w:hAnsi="黑体" w:eastAsia="黑体" w:cs="黑体"/>
          <w:bCs/>
          <w:kern w:val="0"/>
          <w:sz w:val="24"/>
        </w:rPr>
        <w:t>表3 实验评卷平台（市级）功能要求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63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516"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6326"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218" w:type="dxa"/>
          </w:tcPr>
          <w:p>
            <w:pPr>
              <w:keepNext/>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评卷功能</w:t>
            </w:r>
          </w:p>
        </w:tc>
        <w:tc>
          <w:tcPr>
            <w:tcW w:w="6326" w:type="dxa"/>
            <w:vAlign w:val="center"/>
          </w:tcPr>
          <w:p>
            <w:pPr>
              <w:rPr>
                <w:rFonts w:ascii="宋体" w:hAnsi="宋体" w:cs="宋体"/>
                <w:sz w:val="24"/>
              </w:rPr>
            </w:pPr>
            <w:r>
              <w:rPr>
                <w:rFonts w:hint="eastAsia" w:ascii="宋体" w:hAnsi="宋体" w:cs="宋体"/>
                <w:sz w:val="24"/>
              </w:rPr>
              <w:t>根据</w:t>
            </w:r>
            <w:r>
              <w:rPr>
                <w:rFonts w:ascii="宋体" w:hAnsi="宋体" w:cs="宋体"/>
                <w:sz w:val="24"/>
              </w:rPr>
              <w:t>考务要求，</w:t>
            </w:r>
            <w:r>
              <w:rPr>
                <w:rFonts w:hint="eastAsia" w:ascii="宋体" w:hAnsi="宋体" w:cs="宋体"/>
                <w:sz w:val="24"/>
              </w:rPr>
              <w:t>支持评分规则设置、试评、双评、仲裁规则设置、异议复核、进度管理、问题上报和查看等。</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权限管理</w:t>
            </w:r>
          </w:p>
        </w:tc>
        <w:tc>
          <w:tcPr>
            <w:tcW w:w="6326" w:type="dxa"/>
            <w:vAlign w:val="center"/>
          </w:tcPr>
          <w:p>
            <w:pPr>
              <w:rPr>
                <w:rFonts w:ascii="宋体" w:hAnsi="宋体" w:cs="宋体"/>
                <w:sz w:val="24"/>
              </w:rPr>
            </w:pPr>
            <w:r>
              <w:rPr>
                <w:rFonts w:hint="eastAsia" w:ascii="宋体" w:hAnsi="宋体" w:cs="宋体"/>
                <w:sz w:val="24"/>
              </w:rPr>
              <w:t>分市级管理员、区级管理员、阅卷组长、阅卷教师、</w:t>
            </w:r>
            <w:r>
              <w:rPr>
                <w:rFonts w:ascii="宋体" w:hAnsi="宋体" w:cs="宋体"/>
                <w:sz w:val="24"/>
              </w:rPr>
              <w:t>仲裁组长</w:t>
            </w:r>
            <w:r>
              <w:rPr>
                <w:rFonts w:hint="eastAsia" w:ascii="宋体" w:hAnsi="宋体" w:cs="宋体"/>
                <w:sz w:val="24"/>
              </w:rPr>
              <w:t>和</w:t>
            </w:r>
            <w:r>
              <w:rPr>
                <w:rFonts w:ascii="宋体" w:hAnsi="宋体" w:cs="宋体"/>
                <w:sz w:val="24"/>
              </w:rPr>
              <w:t>仲裁教师</w:t>
            </w:r>
            <w:r>
              <w:rPr>
                <w:rFonts w:hint="eastAsia" w:ascii="宋体" w:hAnsi="宋体" w:cs="宋体"/>
                <w:sz w:val="24"/>
              </w:rPr>
              <w:t>等权限，开放相应功能。</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抽查复检</w:t>
            </w:r>
          </w:p>
        </w:tc>
        <w:tc>
          <w:tcPr>
            <w:tcW w:w="6326" w:type="dxa"/>
            <w:vAlign w:val="center"/>
          </w:tcPr>
          <w:p>
            <w:pPr>
              <w:rPr>
                <w:rFonts w:ascii="宋体" w:hAnsi="宋体" w:cs="宋体"/>
                <w:sz w:val="24"/>
              </w:rPr>
            </w:pPr>
            <w:r>
              <w:rPr>
                <w:rFonts w:hint="eastAsia" w:ascii="宋体" w:hAnsi="宋体" w:cs="宋体"/>
                <w:sz w:val="24"/>
              </w:rPr>
              <w:t>对于在区级自建的实验评卷平台评阅的试卷，支持设置抽查比例和规则，进行抽查复检。</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图像处理</w:t>
            </w:r>
          </w:p>
        </w:tc>
        <w:tc>
          <w:tcPr>
            <w:tcW w:w="6326" w:type="dxa"/>
            <w:vAlign w:val="center"/>
          </w:tcPr>
          <w:p>
            <w:pPr>
              <w:rPr>
                <w:rFonts w:ascii="宋体" w:hAnsi="宋体" w:cs="宋体"/>
                <w:sz w:val="24"/>
              </w:rPr>
            </w:pPr>
            <w:r>
              <w:rPr>
                <w:rFonts w:hint="eastAsia" w:ascii="宋体" w:hAnsi="宋体" w:cs="宋体"/>
                <w:sz w:val="24"/>
              </w:rPr>
              <w:t>自动识别每一帧中出现的人脸图像并作模糊处理。</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视频同步</w:t>
            </w:r>
          </w:p>
        </w:tc>
        <w:tc>
          <w:tcPr>
            <w:tcW w:w="6326" w:type="dxa"/>
            <w:vAlign w:val="center"/>
          </w:tcPr>
          <w:p>
            <w:pPr>
              <w:rPr>
                <w:rFonts w:ascii="宋体" w:hAnsi="宋体" w:cs="宋体"/>
                <w:sz w:val="24"/>
              </w:rPr>
            </w:pPr>
            <w:r>
              <w:rPr>
                <w:rFonts w:hint="eastAsia" w:ascii="宋体" w:hAnsi="宋体" w:cs="宋体"/>
                <w:sz w:val="24"/>
              </w:rPr>
              <w:t>每个考卷的所有视频同屏显示，单控件（开始、暂停、进度条拖动）同时控制所有视频的播放。</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全屏显示</w:t>
            </w:r>
          </w:p>
        </w:tc>
        <w:tc>
          <w:tcPr>
            <w:tcW w:w="6326" w:type="dxa"/>
            <w:vAlign w:val="center"/>
          </w:tcPr>
          <w:p>
            <w:pPr>
              <w:rPr>
                <w:rFonts w:ascii="宋体" w:hAnsi="宋体" w:cs="宋体"/>
                <w:sz w:val="24"/>
              </w:rPr>
            </w:pPr>
            <w:r>
              <w:rPr>
                <w:rFonts w:hint="eastAsia" w:ascii="宋体" w:hAnsi="宋体" w:cs="宋体"/>
                <w:sz w:val="24"/>
              </w:rPr>
              <w:t>支持单个视频画面全屏。</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播放倍速</w:t>
            </w:r>
          </w:p>
        </w:tc>
        <w:tc>
          <w:tcPr>
            <w:tcW w:w="6326" w:type="dxa"/>
            <w:vAlign w:val="center"/>
          </w:tcPr>
          <w:p>
            <w:pPr>
              <w:rPr>
                <w:rFonts w:ascii="宋体" w:hAnsi="宋体" w:cs="宋体"/>
                <w:sz w:val="24"/>
              </w:rPr>
            </w:pPr>
            <w:r>
              <w:rPr>
                <w:rFonts w:hint="eastAsia" w:ascii="宋体" w:hAnsi="宋体" w:cs="宋体"/>
                <w:sz w:val="24"/>
              </w:rPr>
              <w:t>支持倍速调整范围不小于0.5倍-4倍。</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数据统计</w:t>
            </w:r>
          </w:p>
        </w:tc>
        <w:tc>
          <w:tcPr>
            <w:tcW w:w="6326" w:type="dxa"/>
            <w:vAlign w:val="center"/>
          </w:tcPr>
          <w:p>
            <w:pPr>
              <w:rPr>
                <w:rFonts w:ascii="宋体" w:hAnsi="宋体" w:cs="宋体"/>
                <w:sz w:val="24"/>
              </w:rPr>
            </w:pPr>
            <w:r>
              <w:rPr>
                <w:rFonts w:hint="eastAsia" w:ascii="宋体" w:hAnsi="宋体" w:cs="宋体"/>
                <w:sz w:val="24"/>
              </w:rPr>
              <w:t>支持实时查看评卷进程、异常情况和全市所有学校分数统计情况。</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界面自定义</w:t>
            </w:r>
          </w:p>
        </w:tc>
        <w:tc>
          <w:tcPr>
            <w:tcW w:w="6326" w:type="dxa"/>
            <w:vAlign w:val="center"/>
          </w:tcPr>
          <w:p>
            <w:pPr>
              <w:rPr>
                <w:rFonts w:ascii="宋体" w:hAnsi="宋体" w:cs="宋体"/>
                <w:sz w:val="24"/>
              </w:rPr>
            </w:pPr>
            <w:r>
              <w:rPr>
                <w:rFonts w:hint="eastAsia" w:ascii="宋体" w:hAnsi="宋体" w:cs="宋体"/>
                <w:sz w:val="24"/>
              </w:rPr>
              <w:t>教师可根据自身阅卷习惯设置页面按钮位置。</w:t>
            </w:r>
          </w:p>
        </w:tc>
        <w:tc>
          <w:tcPr>
            <w:tcW w:w="1218"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AI评分参考</w:t>
            </w:r>
          </w:p>
        </w:tc>
        <w:tc>
          <w:tcPr>
            <w:tcW w:w="6326" w:type="dxa"/>
            <w:vAlign w:val="center"/>
          </w:tcPr>
          <w:p>
            <w:pPr>
              <w:rPr>
                <w:rFonts w:ascii="宋体" w:hAnsi="宋体" w:cs="宋体"/>
                <w:sz w:val="24"/>
              </w:rPr>
            </w:pPr>
            <w:r>
              <w:rPr>
                <w:rFonts w:hint="eastAsia" w:ascii="宋体" w:hAnsi="宋体" w:cs="宋体"/>
                <w:sz w:val="24"/>
              </w:rPr>
              <w:t>系统支持自动识别学生操作步骤和实验器材，结合评分点要求显示各评分点参考分数，教师可在同一界面打分。各学科至少一个实验的AI评分准确率≥95%。</w:t>
            </w:r>
          </w:p>
        </w:tc>
        <w:tc>
          <w:tcPr>
            <w:tcW w:w="1218"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评分点跳转</w:t>
            </w:r>
          </w:p>
        </w:tc>
        <w:tc>
          <w:tcPr>
            <w:tcW w:w="6326" w:type="dxa"/>
            <w:vAlign w:val="center"/>
          </w:tcPr>
          <w:p>
            <w:pPr>
              <w:rPr>
                <w:rFonts w:ascii="宋体" w:hAnsi="宋体" w:cs="宋体"/>
                <w:sz w:val="24"/>
              </w:rPr>
            </w:pPr>
            <w:r>
              <w:rPr>
                <w:rFonts w:hint="eastAsia" w:ascii="宋体" w:hAnsi="宋体" w:cs="宋体"/>
                <w:sz w:val="24"/>
              </w:rPr>
              <w:t>支持利用AI识别，将视频根据评分点数量分解为同等数量的关键画面，供教师在评分界面预览大图和选取播放，选取时可一键跳转至对应画面后退至少5秒的位置开始播放。</w:t>
            </w:r>
          </w:p>
        </w:tc>
        <w:tc>
          <w:tcPr>
            <w:tcW w:w="1218" w:type="dxa"/>
            <w:vAlign w:val="center"/>
          </w:tcPr>
          <w:p>
            <w:pPr>
              <w:jc w:val="center"/>
              <w:rPr>
                <w:rFonts w:ascii="宋体" w:hAnsi="宋体" w:cs="宋体"/>
                <w:sz w:val="24"/>
              </w:rPr>
            </w:pPr>
            <w:r>
              <w:rPr>
                <w:rFonts w:hint="eastAsia" w:ascii="宋体" w:hAnsi="宋体" w:cs="宋体"/>
                <w:sz w:val="24"/>
              </w:rPr>
              <w:t>选配</w:t>
            </w:r>
          </w:p>
        </w:tc>
      </w:tr>
    </w:tbl>
    <w:p>
      <w:pPr>
        <w:widowControl/>
        <w:jc w:val="center"/>
        <w:rPr>
          <w:rFonts w:ascii="宋体" w:hAnsi="宋体" w:cs="宋体"/>
          <w:sz w:val="32"/>
          <w:szCs w:val="32"/>
        </w:rPr>
      </w:pPr>
      <w:r>
        <w:rPr>
          <w:rFonts w:hint="eastAsia" w:ascii="黑体" w:hAnsi="黑体" w:eastAsia="黑体" w:cs="黑体"/>
          <w:bCs/>
          <w:kern w:val="0"/>
          <w:sz w:val="24"/>
        </w:rPr>
        <w:t>表</w:t>
      </w:r>
      <w:r>
        <w:rPr>
          <w:rFonts w:ascii="黑体" w:hAnsi="黑体" w:eastAsia="黑体" w:cs="黑体"/>
          <w:bCs/>
          <w:kern w:val="0"/>
          <w:sz w:val="24"/>
        </w:rPr>
        <w:t>4</w:t>
      </w:r>
      <w:r>
        <w:rPr>
          <w:rFonts w:hint="eastAsia" w:ascii="黑体" w:hAnsi="黑体" w:eastAsia="黑体" w:cs="黑体"/>
          <w:bCs/>
          <w:kern w:val="0"/>
          <w:sz w:val="24"/>
        </w:rPr>
        <w:t xml:space="preserve"> 实验评卷平台（区级选配）功能要求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632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516" w:type="dxa"/>
          </w:tcPr>
          <w:p>
            <w:pPr>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6326" w:type="dxa"/>
          </w:tcPr>
          <w:p>
            <w:pPr>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218" w:type="dxa"/>
          </w:tcPr>
          <w:p>
            <w:pPr>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评卷功能</w:t>
            </w:r>
          </w:p>
        </w:tc>
        <w:tc>
          <w:tcPr>
            <w:tcW w:w="6326" w:type="dxa"/>
            <w:vAlign w:val="center"/>
          </w:tcPr>
          <w:p>
            <w:pPr>
              <w:rPr>
                <w:rFonts w:ascii="宋体" w:hAnsi="宋体" w:cs="宋体"/>
                <w:sz w:val="24"/>
              </w:rPr>
            </w:pPr>
            <w:r>
              <w:rPr>
                <w:rFonts w:hint="eastAsia" w:ascii="宋体" w:hAnsi="宋体" w:cs="宋体"/>
                <w:sz w:val="24"/>
              </w:rPr>
              <w:t>根据</w:t>
            </w:r>
            <w:r>
              <w:rPr>
                <w:rFonts w:ascii="宋体" w:hAnsi="宋体" w:cs="宋体"/>
                <w:sz w:val="24"/>
              </w:rPr>
              <w:t>考务要求，</w:t>
            </w:r>
            <w:r>
              <w:rPr>
                <w:rFonts w:hint="eastAsia" w:ascii="宋体" w:hAnsi="宋体" w:cs="宋体"/>
                <w:sz w:val="24"/>
              </w:rPr>
              <w:t>支持评分规则设置、试评、双评、仲裁规则设置、异议复核、进度管理、问题上报和查看等。</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权限管理</w:t>
            </w:r>
          </w:p>
        </w:tc>
        <w:tc>
          <w:tcPr>
            <w:tcW w:w="6326" w:type="dxa"/>
            <w:vAlign w:val="center"/>
          </w:tcPr>
          <w:p>
            <w:pPr>
              <w:rPr>
                <w:rFonts w:ascii="宋体" w:hAnsi="宋体" w:cs="宋体"/>
                <w:sz w:val="24"/>
              </w:rPr>
            </w:pPr>
            <w:r>
              <w:rPr>
                <w:rFonts w:hint="eastAsia" w:ascii="宋体" w:hAnsi="宋体" w:cs="宋体"/>
                <w:sz w:val="24"/>
              </w:rPr>
              <w:t>分区级管理员、阅卷组长、阅卷教师、</w:t>
            </w:r>
            <w:r>
              <w:rPr>
                <w:rFonts w:ascii="宋体" w:hAnsi="宋体" w:cs="宋体"/>
                <w:sz w:val="24"/>
              </w:rPr>
              <w:t>仲裁组长</w:t>
            </w:r>
            <w:r>
              <w:rPr>
                <w:rFonts w:hint="eastAsia" w:ascii="宋体" w:hAnsi="宋体" w:cs="宋体"/>
                <w:sz w:val="24"/>
              </w:rPr>
              <w:t>和</w:t>
            </w:r>
            <w:r>
              <w:rPr>
                <w:rFonts w:ascii="宋体" w:hAnsi="宋体" w:cs="宋体"/>
                <w:sz w:val="24"/>
              </w:rPr>
              <w:t>仲裁教师</w:t>
            </w:r>
            <w:r>
              <w:rPr>
                <w:rFonts w:hint="eastAsia" w:ascii="宋体" w:hAnsi="宋体" w:cs="宋体"/>
                <w:sz w:val="24"/>
              </w:rPr>
              <w:t>等权限，开放相应功能。</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图像处理</w:t>
            </w:r>
          </w:p>
        </w:tc>
        <w:tc>
          <w:tcPr>
            <w:tcW w:w="6326" w:type="dxa"/>
            <w:vAlign w:val="center"/>
          </w:tcPr>
          <w:p>
            <w:pPr>
              <w:rPr>
                <w:rFonts w:ascii="宋体" w:hAnsi="宋体" w:cs="宋体"/>
                <w:sz w:val="24"/>
              </w:rPr>
            </w:pPr>
            <w:r>
              <w:rPr>
                <w:rFonts w:hint="eastAsia" w:ascii="宋体" w:hAnsi="宋体" w:cs="宋体"/>
                <w:sz w:val="24"/>
              </w:rPr>
              <w:t>自动识别每一帧中出现的人脸图像并作模糊处理。</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全屏显示</w:t>
            </w:r>
          </w:p>
        </w:tc>
        <w:tc>
          <w:tcPr>
            <w:tcW w:w="6326" w:type="dxa"/>
            <w:vAlign w:val="center"/>
          </w:tcPr>
          <w:p>
            <w:pPr>
              <w:rPr>
                <w:rFonts w:ascii="宋体" w:hAnsi="宋体" w:cs="宋体"/>
                <w:sz w:val="24"/>
              </w:rPr>
            </w:pPr>
            <w:r>
              <w:rPr>
                <w:rFonts w:hint="eastAsia" w:ascii="宋体" w:hAnsi="宋体" w:cs="宋体"/>
                <w:sz w:val="24"/>
              </w:rPr>
              <w:t>支持单个视频画面全屏。</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播放倍速</w:t>
            </w:r>
          </w:p>
        </w:tc>
        <w:tc>
          <w:tcPr>
            <w:tcW w:w="6326" w:type="dxa"/>
            <w:vAlign w:val="center"/>
          </w:tcPr>
          <w:p>
            <w:pPr>
              <w:rPr>
                <w:rFonts w:ascii="宋体" w:hAnsi="宋体" w:cs="宋体"/>
                <w:sz w:val="24"/>
              </w:rPr>
            </w:pPr>
            <w:r>
              <w:rPr>
                <w:rFonts w:hint="eastAsia" w:ascii="宋体" w:hAnsi="宋体" w:cs="宋体"/>
                <w:sz w:val="24"/>
              </w:rPr>
              <w:t>支持倍速调整范围不小于0.5倍-4倍。</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数据统计</w:t>
            </w:r>
          </w:p>
        </w:tc>
        <w:tc>
          <w:tcPr>
            <w:tcW w:w="6326" w:type="dxa"/>
            <w:vAlign w:val="center"/>
          </w:tcPr>
          <w:p>
            <w:pPr>
              <w:rPr>
                <w:rFonts w:ascii="宋体" w:hAnsi="宋体" w:cs="宋体"/>
                <w:sz w:val="24"/>
              </w:rPr>
            </w:pPr>
            <w:r>
              <w:rPr>
                <w:rFonts w:hint="eastAsia" w:ascii="宋体" w:hAnsi="宋体" w:cs="宋体"/>
                <w:sz w:val="24"/>
              </w:rPr>
              <w:t xml:space="preserve">支持实时查看评卷进程、异常情况和分数统计情况。 </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数据上传</w:t>
            </w:r>
          </w:p>
        </w:tc>
        <w:tc>
          <w:tcPr>
            <w:tcW w:w="6326" w:type="dxa"/>
            <w:vAlign w:val="center"/>
          </w:tcPr>
          <w:p>
            <w:pPr>
              <w:rPr>
                <w:rFonts w:ascii="宋体" w:hAnsi="宋体" w:cs="宋体"/>
                <w:sz w:val="24"/>
              </w:rPr>
            </w:pPr>
            <w:r>
              <w:rPr>
                <w:rFonts w:hint="eastAsia" w:ascii="宋体" w:hAnsi="宋体" w:cs="宋体"/>
                <w:sz w:val="24"/>
              </w:rPr>
              <w:t>支持设置上传范围和规则，将视频数据和评阅情况上传至市级实验评卷平台。</w:t>
            </w:r>
          </w:p>
        </w:tc>
        <w:tc>
          <w:tcPr>
            <w:tcW w:w="1218"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视频同步</w:t>
            </w:r>
          </w:p>
        </w:tc>
        <w:tc>
          <w:tcPr>
            <w:tcW w:w="6326" w:type="dxa"/>
            <w:vAlign w:val="center"/>
          </w:tcPr>
          <w:p>
            <w:pPr>
              <w:rPr>
                <w:rFonts w:ascii="宋体" w:hAnsi="宋体" w:cs="宋体"/>
                <w:sz w:val="24"/>
              </w:rPr>
            </w:pPr>
            <w:r>
              <w:rPr>
                <w:rFonts w:hint="eastAsia" w:ascii="宋体" w:hAnsi="宋体" w:cs="宋体"/>
                <w:sz w:val="24"/>
              </w:rPr>
              <w:t>每个考卷的所有视频同屏显示，单控件（开始、暂停、进度条拖动）同时控制所有视频的播放。</w:t>
            </w:r>
          </w:p>
        </w:tc>
        <w:tc>
          <w:tcPr>
            <w:tcW w:w="1218"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界面自定义</w:t>
            </w:r>
          </w:p>
        </w:tc>
        <w:tc>
          <w:tcPr>
            <w:tcW w:w="6326" w:type="dxa"/>
            <w:vAlign w:val="center"/>
          </w:tcPr>
          <w:p>
            <w:pPr>
              <w:rPr>
                <w:rFonts w:ascii="宋体" w:hAnsi="宋体" w:cs="宋体"/>
                <w:sz w:val="24"/>
              </w:rPr>
            </w:pPr>
            <w:r>
              <w:rPr>
                <w:rFonts w:hint="eastAsia" w:ascii="宋体" w:hAnsi="宋体" w:cs="宋体"/>
                <w:sz w:val="24"/>
              </w:rPr>
              <w:t>教师可根据自身阅卷习惯设置页面按钮位置。</w:t>
            </w:r>
          </w:p>
        </w:tc>
        <w:tc>
          <w:tcPr>
            <w:tcW w:w="1218"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AI评分参考</w:t>
            </w:r>
          </w:p>
        </w:tc>
        <w:tc>
          <w:tcPr>
            <w:tcW w:w="6326" w:type="dxa"/>
            <w:vAlign w:val="center"/>
          </w:tcPr>
          <w:p>
            <w:pPr>
              <w:rPr>
                <w:rFonts w:ascii="宋体" w:hAnsi="宋体" w:cs="宋体"/>
                <w:sz w:val="24"/>
              </w:rPr>
            </w:pPr>
            <w:r>
              <w:rPr>
                <w:rFonts w:hint="eastAsia" w:ascii="宋体" w:hAnsi="宋体" w:cs="宋体"/>
                <w:sz w:val="24"/>
              </w:rPr>
              <w:t>系统支持自动识别学生操作步骤和实验器材，结合评分点要求给出各评分点参考分数，并显示在评卷页面上，教师可同步打分。各学科至少一个实验的AI评分准确率≥95%。</w:t>
            </w:r>
          </w:p>
        </w:tc>
        <w:tc>
          <w:tcPr>
            <w:tcW w:w="1218"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6" w:type="dxa"/>
            <w:vAlign w:val="center"/>
          </w:tcPr>
          <w:p>
            <w:pPr>
              <w:jc w:val="center"/>
              <w:rPr>
                <w:rFonts w:ascii="宋体" w:hAnsi="宋体" w:cs="宋体"/>
                <w:sz w:val="24"/>
              </w:rPr>
            </w:pPr>
            <w:r>
              <w:rPr>
                <w:rFonts w:hint="eastAsia" w:ascii="宋体" w:hAnsi="宋体" w:cs="宋体"/>
                <w:sz w:val="24"/>
              </w:rPr>
              <w:t>评分点跳转</w:t>
            </w:r>
          </w:p>
        </w:tc>
        <w:tc>
          <w:tcPr>
            <w:tcW w:w="6326" w:type="dxa"/>
            <w:vAlign w:val="center"/>
          </w:tcPr>
          <w:p>
            <w:pPr>
              <w:rPr>
                <w:rFonts w:ascii="宋体" w:hAnsi="宋体" w:cs="宋体"/>
                <w:sz w:val="24"/>
              </w:rPr>
            </w:pPr>
            <w:r>
              <w:rPr>
                <w:rFonts w:hint="eastAsia" w:ascii="宋体" w:hAnsi="宋体" w:cs="宋体"/>
                <w:sz w:val="24"/>
              </w:rPr>
              <w:t>利用AI识别，将视频根据评分点数量分成对应片段，支持教师选取跳转。</w:t>
            </w:r>
          </w:p>
        </w:tc>
        <w:tc>
          <w:tcPr>
            <w:tcW w:w="1218" w:type="dxa"/>
            <w:vAlign w:val="center"/>
          </w:tcPr>
          <w:p>
            <w:pPr>
              <w:jc w:val="center"/>
              <w:rPr>
                <w:rFonts w:ascii="宋体" w:hAnsi="宋体" w:cs="宋体"/>
                <w:sz w:val="24"/>
              </w:rPr>
            </w:pPr>
            <w:r>
              <w:rPr>
                <w:rFonts w:hint="eastAsia" w:ascii="宋体" w:hAnsi="宋体" w:cs="宋体"/>
                <w:sz w:val="24"/>
              </w:rPr>
              <w:t>选配</w:t>
            </w:r>
          </w:p>
        </w:tc>
      </w:tr>
    </w:tbl>
    <w:p>
      <w:pPr>
        <w:keepNext/>
        <w:widowControl/>
        <w:jc w:val="center"/>
        <w:rPr>
          <w:rFonts w:ascii="宋体" w:hAnsi="宋体" w:cs="宋体"/>
          <w:sz w:val="32"/>
          <w:szCs w:val="32"/>
        </w:rPr>
      </w:pPr>
      <w:r>
        <w:rPr>
          <w:rFonts w:hint="eastAsia" w:ascii="黑体" w:hAnsi="黑体" w:eastAsia="黑体" w:cs="黑体"/>
          <w:bCs/>
          <w:kern w:val="0"/>
          <w:sz w:val="24"/>
        </w:rPr>
        <w:t>表</w:t>
      </w:r>
      <w:r>
        <w:rPr>
          <w:rFonts w:ascii="黑体" w:hAnsi="黑体" w:eastAsia="黑体" w:cs="黑体"/>
          <w:bCs/>
          <w:kern w:val="0"/>
          <w:sz w:val="24"/>
        </w:rPr>
        <w:t xml:space="preserve">5 </w:t>
      </w:r>
      <w:r>
        <w:rPr>
          <w:rFonts w:hint="eastAsia" w:ascii="黑体" w:hAnsi="黑体" w:eastAsia="黑体" w:cs="黑体"/>
          <w:bCs/>
          <w:kern w:val="0"/>
          <w:sz w:val="24"/>
        </w:rPr>
        <w:t>教师实验教学平台（校级）功能要求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62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tcPr>
          <w:p>
            <w:pPr>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6625" w:type="dxa"/>
          </w:tcPr>
          <w:p>
            <w:pPr>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193" w:type="dxa"/>
          </w:tcPr>
          <w:p>
            <w:pPr>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vAlign w:val="center"/>
          </w:tcPr>
          <w:p>
            <w:pPr>
              <w:jc w:val="center"/>
              <w:rPr>
                <w:rFonts w:ascii="宋体" w:hAnsi="宋体" w:cs="宋体"/>
                <w:sz w:val="24"/>
              </w:rPr>
            </w:pPr>
            <w:r>
              <w:rPr>
                <w:rFonts w:hint="eastAsia" w:ascii="宋体" w:hAnsi="宋体" w:cs="宋体"/>
                <w:sz w:val="24"/>
              </w:rPr>
              <w:t>日常教学</w:t>
            </w:r>
          </w:p>
        </w:tc>
        <w:tc>
          <w:tcPr>
            <w:tcW w:w="6625" w:type="dxa"/>
            <w:vAlign w:val="center"/>
          </w:tcPr>
          <w:p>
            <w:pPr>
              <w:rPr>
                <w:rFonts w:ascii="宋体" w:hAnsi="宋体" w:cs="宋体"/>
                <w:sz w:val="24"/>
              </w:rPr>
            </w:pPr>
            <w:r>
              <w:rPr>
                <w:rFonts w:hint="eastAsia" w:ascii="宋体" w:hAnsi="宋体" w:cs="宋体"/>
                <w:sz w:val="24"/>
              </w:rPr>
              <w:t>支持教师根据需要自定义实验课程，可支持日常教学活动。</w:t>
            </w:r>
          </w:p>
        </w:tc>
        <w:tc>
          <w:tcPr>
            <w:tcW w:w="119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vAlign w:val="center"/>
          </w:tcPr>
          <w:p>
            <w:pPr>
              <w:jc w:val="center"/>
              <w:rPr>
                <w:rFonts w:ascii="宋体" w:hAnsi="宋体" w:cs="宋体"/>
                <w:sz w:val="24"/>
              </w:rPr>
            </w:pPr>
            <w:r>
              <w:rPr>
                <w:rFonts w:hint="eastAsia" w:ascii="宋体" w:hAnsi="宋体" w:cs="宋体"/>
                <w:sz w:val="24"/>
              </w:rPr>
              <w:t>终端</w:t>
            </w:r>
            <w:r>
              <w:rPr>
                <w:rFonts w:ascii="宋体" w:hAnsi="宋体" w:cs="宋体"/>
                <w:sz w:val="24"/>
              </w:rPr>
              <w:t>控制</w:t>
            </w:r>
          </w:p>
        </w:tc>
        <w:tc>
          <w:tcPr>
            <w:tcW w:w="6625" w:type="dxa"/>
            <w:vAlign w:val="center"/>
          </w:tcPr>
          <w:p>
            <w:pPr>
              <w:rPr>
                <w:rFonts w:ascii="宋体" w:hAnsi="宋体" w:cs="宋体"/>
                <w:sz w:val="24"/>
              </w:rPr>
            </w:pPr>
            <w:r>
              <w:rPr>
                <w:rFonts w:hint="eastAsia" w:ascii="宋体" w:hAnsi="宋体" w:cs="宋体"/>
                <w:sz w:val="24"/>
              </w:rPr>
              <w:t>支持批量查看</w:t>
            </w:r>
            <w:r>
              <w:rPr>
                <w:rFonts w:ascii="宋体" w:hAnsi="宋体" w:cs="宋体"/>
                <w:sz w:val="24"/>
              </w:rPr>
              <w:t>和</w:t>
            </w:r>
            <w:r>
              <w:rPr>
                <w:rFonts w:hint="eastAsia" w:ascii="宋体" w:hAnsi="宋体" w:cs="宋体"/>
                <w:sz w:val="24"/>
              </w:rPr>
              <w:t>控制</w:t>
            </w:r>
            <w:r>
              <w:rPr>
                <w:rFonts w:ascii="宋体" w:hAnsi="宋体" w:cs="宋体"/>
                <w:sz w:val="24"/>
              </w:rPr>
              <w:t>所有</w:t>
            </w:r>
            <w:r>
              <w:rPr>
                <w:rFonts w:hint="eastAsia" w:ascii="宋体" w:hAnsi="宋体" w:cs="宋体"/>
                <w:sz w:val="24"/>
              </w:rPr>
              <w:t>学生</w:t>
            </w:r>
            <w:r>
              <w:rPr>
                <w:rFonts w:ascii="宋体" w:hAnsi="宋体" w:cs="宋体"/>
                <w:sz w:val="24"/>
              </w:rPr>
              <w:t>终端的</w:t>
            </w:r>
            <w:r>
              <w:rPr>
                <w:rFonts w:hint="eastAsia" w:ascii="宋体" w:hAnsi="宋体" w:cs="宋体"/>
                <w:sz w:val="24"/>
              </w:rPr>
              <w:t>使用</w:t>
            </w:r>
            <w:r>
              <w:rPr>
                <w:rFonts w:ascii="宋体" w:hAnsi="宋体" w:cs="宋体"/>
                <w:sz w:val="24"/>
              </w:rPr>
              <w:t>状态。</w:t>
            </w:r>
          </w:p>
        </w:tc>
        <w:tc>
          <w:tcPr>
            <w:tcW w:w="119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vAlign w:val="center"/>
          </w:tcPr>
          <w:p>
            <w:pPr>
              <w:jc w:val="center"/>
              <w:rPr>
                <w:rFonts w:ascii="宋体" w:hAnsi="宋体" w:cs="宋体"/>
                <w:sz w:val="24"/>
              </w:rPr>
            </w:pPr>
            <w:r>
              <w:rPr>
                <w:rFonts w:hint="eastAsia" w:ascii="宋体" w:hAnsi="宋体" w:cs="宋体"/>
                <w:sz w:val="24"/>
              </w:rPr>
              <w:t>支架控制</w:t>
            </w:r>
          </w:p>
        </w:tc>
        <w:tc>
          <w:tcPr>
            <w:tcW w:w="6625" w:type="dxa"/>
            <w:vAlign w:val="center"/>
          </w:tcPr>
          <w:p>
            <w:pPr>
              <w:rPr>
                <w:rFonts w:ascii="宋体" w:hAnsi="宋体" w:cs="宋体"/>
                <w:sz w:val="24"/>
              </w:rPr>
            </w:pPr>
            <w:r>
              <w:rPr>
                <w:rFonts w:hint="eastAsia" w:ascii="宋体" w:hAnsi="宋体" w:cs="宋体"/>
                <w:sz w:val="24"/>
              </w:rPr>
              <w:t>支持批量控制所有支架的升降和收纳状态。</w:t>
            </w:r>
          </w:p>
        </w:tc>
        <w:tc>
          <w:tcPr>
            <w:tcW w:w="1193"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vAlign w:val="center"/>
          </w:tcPr>
          <w:p>
            <w:pPr>
              <w:jc w:val="center"/>
              <w:rPr>
                <w:rFonts w:ascii="宋体" w:hAnsi="宋体" w:cs="宋体"/>
                <w:sz w:val="24"/>
              </w:rPr>
            </w:pPr>
            <w:r>
              <w:rPr>
                <w:rFonts w:hint="eastAsia" w:ascii="宋体" w:hAnsi="宋体" w:cs="宋体"/>
                <w:sz w:val="24"/>
              </w:rPr>
              <w:t>演示功能</w:t>
            </w:r>
          </w:p>
        </w:tc>
        <w:tc>
          <w:tcPr>
            <w:tcW w:w="6625" w:type="dxa"/>
            <w:vAlign w:val="center"/>
          </w:tcPr>
          <w:p>
            <w:pPr>
              <w:rPr>
                <w:rFonts w:ascii="宋体" w:hAnsi="宋体" w:cs="宋体"/>
                <w:sz w:val="24"/>
              </w:rPr>
            </w:pPr>
            <w:r>
              <w:rPr>
                <w:rFonts w:hint="eastAsia" w:ascii="宋体" w:hAnsi="宋体" w:cs="宋体"/>
                <w:sz w:val="24"/>
              </w:rPr>
              <w:t xml:space="preserve">支持通过信息采集终端录制操作过程生成视频文件，用于讲台大屏讲解演示。 </w:t>
            </w:r>
          </w:p>
        </w:tc>
        <w:tc>
          <w:tcPr>
            <w:tcW w:w="1193"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2" w:type="dxa"/>
            <w:vAlign w:val="center"/>
          </w:tcPr>
          <w:p>
            <w:pPr>
              <w:jc w:val="center"/>
              <w:rPr>
                <w:rFonts w:ascii="宋体" w:hAnsi="宋体" w:cs="宋体"/>
                <w:sz w:val="24"/>
              </w:rPr>
            </w:pPr>
            <w:r>
              <w:rPr>
                <w:rFonts w:hint="eastAsia" w:ascii="宋体" w:hAnsi="宋体" w:cs="宋体"/>
                <w:sz w:val="24"/>
              </w:rPr>
              <w:t>数据统计</w:t>
            </w:r>
          </w:p>
        </w:tc>
        <w:tc>
          <w:tcPr>
            <w:tcW w:w="6625" w:type="dxa"/>
            <w:vAlign w:val="center"/>
          </w:tcPr>
          <w:p>
            <w:pPr>
              <w:rPr>
                <w:rFonts w:ascii="宋体" w:hAnsi="宋体" w:cs="宋体"/>
                <w:sz w:val="24"/>
              </w:rPr>
            </w:pPr>
            <w:r>
              <w:rPr>
                <w:rFonts w:hint="eastAsia" w:ascii="宋体" w:hAnsi="宋体" w:cs="宋体"/>
                <w:sz w:val="24"/>
              </w:rPr>
              <w:t>支持统计实验</w:t>
            </w:r>
            <w:r>
              <w:rPr>
                <w:rFonts w:ascii="宋体" w:hAnsi="宋体" w:cs="宋体"/>
                <w:sz w:val="24"/>
              </w:rPr>
              <w:t>课程开展情况</w:t>
            </w:r>
            <w:r>
              <w:rPr>
                <w:rFonts w:hint="eastAsia" w:ascii="宋体" w:hAnsi="宋体" w:cs="宋体"/>
                <w:sz w:val="24"/>
              </w:rPr>
              <w:t>、</w:t>
            </w:r>
            <w:r>
              <w:rPr>
                <w:rFonts w:ascii="宋体" w:hAnsi="宋体" w:cs="宋体"/>
                <w:sz w:val="24"/>
              </w:rPr>
              <w:t>学生操作</w:t>
            </w:r>
            <w:r>
              <w:rPr>
                <w:rFonts w:hint="eastAsia" w:ascii="宋体" w:hAnsi="宋体" w:cs="宋体"/>
                <w:sz w:val="24"/>
              </w:rPr>
              <w:t>的AI课堂</w:t>
            </w:r>
            <w:r>
              <w:rPr>
                <w:rFonts w:ascii="宋体" w:hAnsi="宋体" w:cs="宋体"/>
                <w:sz w:val="24"/>
              </w:rPr>
              <w:t>评分结果</w:t>
            </w:r>
            <w:r>
              <w:rPr>
                <w:rFonts w:hint="eastAsia" w:ascii="宋体" w:hAnsi="宋体" w:cs="宋体"/>
                <w:sz w:val="24"/>
              </w:rPr>
              <w:t>及各评分点错误率统计情况，上传至实验教学与测评监管平台。</w:t>
            </w:r>
          </w:p>
        </w:tc>
        <w:tc>
          <w:tcPr>
            <w:tcW w:w="1193" w:type="dxa"/>
            <w:vAlign w:val="center"/>
          </w:tcPr>
          <w:p>
            <w:pPr>
              <w:jc w:val="center"/>
              <w:rPr>
                <w:rFonts w:ascii="宋体" w:hAnsi="宋体" w:cs="宋体"/>
                <w:sz w:val="24"/>
              </w:rPr>
            </w:pPr>
            <w:r>
              <w:rPr>
                <w:rFonts w:hint="eastAsia" w:ascii="宋体" w:hAnsi="宋体" w:cs="宋体"/>
                <w:sz w:val="24"/>
              </w:rPr>
              <w:t>选配</w:t>
            </w:r>
          </w:p>
        </w:tc>
      </w:tr>
    </w:tbl>
    <w:p>
      <w:pPr>
        <w:widowControl/>
        <w:jc w:val="center"/>
        <w:rPr>
          <w:rFonts w:ascii="宋体" w:hAnsi="宋体" w:cs="宋体"/>
          <w:sz w:val="32"/>
          <w:szCs w:val="32"/>
        </w:rPr>
      </w:pPr>
      <w:r>
        <w:rPr>
          <w:rFonts w:hint="eastAsia" w:ascii="黑体" w:hAnsi="黑体" w:eastAsia="黑体" w:cs="黑体"/>
          <w:bCs/>
          <w:kern w:val="0"/>
          <w:sz w:val="24"/>
        </w:rPr>
        <w:t>表</w:t>
      </w:r>
      <w:r>
        <w:rPr>
          <w:rFonts w:ascii="黑体" w:hAnsi="黑体" w:eastAsia="黑体" w:cs="黑体"/>
          <w:bCs/>
          <w:kern w:val="0"/>
          <w:sz w:val="24"/>
        </w:rPr>
        <w:t>6</w:t>
      </w:r>
      <w:r>
        <w:rPr>
          <w:rFonts w:hint="eastAsia" w:ascii="黑体" w:hAnsi="黑体" w:eastAsia="黑体" w:cs="黑体"/>
          <w:bCs/>
          <w:kern w:val="0"/>
          <w:sz w:val="24"/>
        </w:rPr>
        <w:t xml:space="preserve"> 实验考务平台（校级）功能要求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66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192" w:type="dxa"/>
          </w:tcPr>
          <w:p>
            <w:pPr>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6634" w:type="dxa"/>
          </w:tcPr>
          <w:p>
            <w:pPr>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234" w:type="dxa"/>
          </w:tcPr>
          <w:p>
            <w:pPr>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考务管理</w:t>
            </w:r>
          </w:p>
        </w:tc>
        <w:tc>
          <w:tcPr>
            <w:tcW w:w="6634" w:type="dxa"/>
            <w:vAlign w:val="center"/>
          </w:tcPr>
          <w:p>
            <w:pPr>
              <w:rPr>
                <w:rFonts w:ascii="宋体" w:hAnsi="宋体" w:cs="宋体"/>
                <w:sz w:val="24"/>
              </w:rPr>
            </w:pPr>
            <w:r>
              <w:rPr>
                <w:rFonts w:hint="eastAsia" w:ascii="宋体" w:hAnsi="宋体" w:cs="宋体"/>
                <w:sz w:val="24"/>
              </w:rPr>
              <w:t>实现信息管理、考前抽签准备、开始考试、自动结束考试和考场记录等功能。</w:t>
            </w:r>
          </w:p>
        </w:tc>
        <w:tc>
          <w:tcPr>
            <w:tcW w:w="123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终端</w:t>
            </w:r>
            <w:r>
              <w:rPr>
                <w:rFonts w:ascii="宋体" w:hAnsi="宋体" w:cs="宋体"/>
                <w:sz w:val="24"/>
              </w:rPr>
              <w:t>控制</w:t>
            </w:r>
          </w:p>
        </w:tc>
        <w:tc>
          <w:tcPr>
            <w:tcW w:w="6634" w:type="dxa"/>
            <w:vAlign w:val="center"/>
          </w:tcPr>
          <w:p>
            <w:pPr>
              <w:rPr>
                <w:rFonts w:ascii="宋体" w:hAnsi="宋体" w:cs="宋体"/>
                <w:sz w:val="24"/>
              </w:rPr>
            </w:pPr>
            <w:r>
              <w:rPr>
                <w:rFonts w:hint="eastAsia" w:ascii="宋体" w:hAnsi="宋体" w:cs="宋体"/>
                <w:sz w:val="24"/>
              </w:rPr>
              <w:t>支持远程</w:t>
            </w:r>
            <w:r>
              <w:rPr>
                <w:rFonts w:ascii="宋体" w:hAnsi="宋体" w:cs="宋体"/>
                <w:sz w:val="24"/>
              </w:rPr>
              <w:t>批量升级</w:t>
            </w:r>
            <w:r>
              <w:rPr>
                <w:rFonts w:hint="eastAsia" w:ascii="宋体" w:hAnsi="宋体" w:cs="宋体"/>
                <w:sz w:val="24"/>
              </w:rPr>
              <w:t>信息采集终端软件；支持</w:t>
            </w:r>
            <w:r>
              <w:rPr>
                <w:rFonts w:hint="eastAsia" w:ascii="宋体" w:hAnsi="宋体" w:cs="Arial"/>
                <w:sz w:val="24"/>
                <w:lang w:eastAsia="zh-Hans"/>
              </w:rPr>
              <w:t>设置规则</w:t>
            </w:r>
            <w:r>
              <w:rPr>
                <w:rFonts w:hint="eastAsia" w:ascii="宋体" w:hAnsi="宋体" w:cs="宋体"/>
                <w:sz w:val="24"/>
              </w:rPr>
              <w:t>批量上传信息</w:t>
            </w:r>
            <w:r>
              <w:rPr>
                <w:rFonts w:ascii="宋体" w:hAnsi="宋体" w:cs="宋体"/>
                <w:sz w:val="24"/>
              </w:rPr>
              <w:t>采集终端的</w:t>
            </w:r>
            <w:r>
              <w:rPr>
                <w:rFonts w:hint="eastAsia" w:ascii="宋体" w:hAnsi="宋体" w:cs="宋体"/>
                <w:sz w:val="24"/>
              </w:rPr>
              <w:t>视频数据至实验评卷平台；支持</w:t>
            </w:r>
            <w:r>
              <w:rPr>
                <w:rFonts w:hint="eastAsia" w:ascii="宋体" w:hAnsi="宋体" w:cs="Arial"/>
                <w:sz w:val="24"/>
                <w:lang w:eastAsia="zh-Hans"/>
              </w:rPr>
              <w:t>设置规则</w:t>
            </w:r>
            <w:r>
              <w:rPr>
                <w:rFonts w:hint="eastAsia" w:ascii="宋体" w:hAnsi="宋体" w:cs="宋体"/>
                <w:sz w:val="24"/>
              </w:rPr>
              <w:t>批量</w:t>
            </w:r>
            <w:r>
              <w:rPr>
                <w:rFonts w:ascii="宋体" w:hAnsi="宋体" w:cs="宋体"/>
                <w:sz w:val="24"/>
              </w:rPr>
              <w:t>删除</w:t>
            </w:r>
            <w:r>
              <w:rPr>
                <w:rFonts w:hint="eastAsia" w:ascii="宋体" w:hAnsi="宋体" w:cs="宋体"/>
                <w:sz w:val="24"/>
              </w:rPr>
              <w:t>信息</w:t>
            </w:r>
            <w:r>
              <w:rPr>
                <w:rFonts w:ascii="宋体" w:hAnsi="宋体" w:cs="宋体"/>
                <w:sz w:val="24"/>
              </w:rPr>
              <w:t>采集终端的存储数据。</w:t>
            </w:r>
          </w:p>
        </w:tc>
        <w:tc>
          <w:tcPr>
            <w:tcW w:w="123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支架控制</w:t>
            </w:r>
          </w:p>
        </w:tc>
        <w:tc>
          <w:tcPr>
            <w:tcW w:w="6634" w:type="dxa"/>
            <w:vAlign w:val="center"/>
          </w:tcPr>
          <w:p>
            <w:pPr>
              <w:rPr>
                <w:rFonts w:ascii="宋体" w:hAnsi="宋体" w:cs="宋体"/>
                <w:sz w:val="24"/>
              </w:rPr>
            </w:pPr>
            <w:r>
              <w:rPr>
                <w:rFonts w:hint="eastAsia" w:ascii="宋体" w:hAnsi="宋体" w:cs="宋体"/>
                <w:sz w:val="24"/>
              </w:rPr>
              <w:t>支持批量控制所有支架的升降和收纳状态。</w:t>
            </w:r>
          </w:p>
        </w:tc>
        <w:tc>
          <w:tcPr>
            <w:tcW w:w="1234"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权限设置</w:t>
            </w:r>
          </w:p>
        </w:tc>
        <w:tc>
          <w:tcPr>
            <w:tcW w:w="6634" w:type="dxa"/>
            <w:vAlign w:val="center"/>
          </w:tcPr>
          <w:p>
            <w:pPr>
              <w:rPr>
                <w:rFonts w:ascii="宋体" w:hAnsi="宋体" w:cs="宋体"/>
                <w:sz w:val="24"/>
              </w:rPr>
            </w:pPr>
            <w:r>
              <w:rPr>
                <w:rFonts w:hint="eastAsia" w:ascii="宋体" w:hAnsi="宋体" w:cs="宋体"/>
                <w:sz w:val="24"/>
              </w:rPr>
              <w:t>分学校管理员、年级组长和任课老师等权限，开放相应功能。</w:t>
            </w:r>
          </w:p>
        </w:tc>
        <w:tc>
          <w:tcPr>
            <w:tcW w:w="123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监考功能</w:t>
            </w:r>
          </w:p>
        </w:tc>
        <w:tc>
          <w:tcPr>
            <w:tcW w:w="6634" w:type="dxa"/>
            <w:vAlign w:val="center"/>
          </w:tcPr>
          <w:p>
            <w:pPr>
              <w:rPr>
                <w:rFonts w:ascii="宋体" w:hAnsi="宋体" w:cs="宋体"/>
                <w:b/>
                <w:sz w:val="24"/>
              </w:rPr>
            </w:pPr>
            <w:r>
              <w:rPr>
                <w:rFonts w:hint="eastAsia" w:ascii="宋体" w:hAnsi="宋体" w:cs="宋体"/>
                <w:sz w:val="24"/>
              </w:rPr>
              <w:t>支持场次选择；支持学生提前交卷；支持考务信息实时同步；支持考试设备</w:t>
            </w:r>
            <w:r>
              <w:rPr>
                <w:rFonts w:ascii="宋体" w:hAnsi="宋体" w:cs="宋体"/>
                <w:sz w:val="24"/>
              </w:rPr>
              <w:t>状态</w:t>
            </w:r>
            <w:r>
              <w:rPr>
                <w:rFonts w:hint="eastAsia" w:ascii="宋体" w:hAnsi="宋体" w:cs="宋体"/>
                <w:sz w:val="24"/>
              </w:rPr>
              <w:t>实时监控；支持画面自检、异常提醒，学生端</w:t>
            </w:r>
            <w:r>
              <w:rPr>
                <w:rFonts w:ascii="宋体" w:hAnsi="宋体" w:cs="宋体"/>
                <w:sz w:val="24"/>
              </w:rPr>
              <w:t>和监考端同步</w:t>
            </w:r>
            <w:r>
              <w:rPr>
                <w:rFonts w:hint="eastAsia" w:ascii="宋体" w:hAnsi="宋体" w:cs="宋体"/>
                <w:sz w:val="24"/>
              </w:rPr>
              <w:t>提醒；支持视频完整性检查。</w:t>
            </w:r>
          </w:p>
        </w:tc>
        <w:tc>
          <w:tcPr>
            <w:tcW w:w="123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数据统计</w:t>
            </w:r>
          </w:p>
        </w:tc>
        <w:tc>
          <w:tcPr>
            <w:tcW w:w="6634" w:type="dxa"/>
            <w:vAlign w:val="center"/>
          </w:tcPr>
          <w:p>
            <w:pPr>
              <w:rPr>
                <w:rFonts w:ascii="宋体" w:hAnsi="宋体" w:cs="宋体"/>
                <w:sz w:val="24"/>
              </w:rPr>
            </w:pPr>
            <w:r>
              <w:rPr>
                <w:rFonts w:hint="eastAsia" w:ascii="宋体" w:hAnsi="宋体" w:cs="宋体"/>
                <w:sz w:val="24"/>
              </w:rPr>
              <w:t>支持考中实时查看考试进程和异常数据统计；考后查看分数统计情况；相关数据上传至实验教学与测评监管平台。</w:t>
            </w:r>
          </w:p>
        </w:tc>
        <w:tc>
          <w:tcPr>
            <w:tcW w:w="123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2" w:type="dxa"/>
            <w:vAlign w:val="center"/>
          </w:tcPr>
          <w:p>
            <w:pPr>
              <w:jc w:val="center"/>
              <w:rPr>
                <w:rFonts w:ascii="宋体" w:hAnsi="宋体" w:cs="宋体"/>
                <w:sz w:val="24"/>
              </w:rPr>
            </w:pPr>
            <w:r>
              <w:rPr>
                <w:rFonts w:hint="eastAsia" w:ascii="宋体" w:hAnsi="宋体" w:cs="宋体"/>
                <w:sz w:val="24"/>
              </w:rPr>
              <w:t>故障应急</w:t>
            </w:r>
          </w:p>
        </w:tc>
        <w:tc>
          <w:tcPr>
            <w:tcW w:w="6634" w:type="dxa"/>
            <w:vAlign w:val="center"/>
          </w:tcPr>
          <w:p>
            <w:pPr>
              <w:rPr>
                <w:rFonts w:ascii="宋体" w:hAnsi="宋体" w:cs="宋体"/>
                <w:sz w:val="24"/>
              </w:rPr>
            </w:pPr>
            <w:r>
              <w:rPr>
                <w:rFonts w:hint="eastAsia" w:ascii="宋体" w:hAnsi="宋体" w:cs="宋体"/>
                <w:sz w:val="24"/>
              </w:rPr>
              <w:t>设备故障换机时，支持在5分钟</w:t>
            </w:r>
            <w:r>
              <w:rPr>
                <w:rFonts w:ascii="宋体" w:hAnsi="宋体" w:cs="宋体"/>
                <w:sz w:val="24"/>
              </w:rPr>
              <w:t>内完成</w:t>
            </w:r>
            <w:r>
              <w:rPr>
                <w:rFonts w:hint="eastAsia" w:ascii="宋体" w:hAnsi="宋体" w:cs="宋体"/>
                <w:sz w:val="24"/>
              </w:rPr>
              <w:t>新</w:t>
            </w:r>
            <w:r>
              <w:rPr>
                <w:rFonts w:ascii="宋体" w:hAnsi="宋体" w:cs="宋体"/>
                <w:sz w:val="24"/>
              </w:rPr>
              <w:t>设备</w:t>
            </w:r>
            <w:r>
              <w:rPr>
                <w:rFonts w:hint="eastAsia" w:ascii="宋体" w:hAnsi="宋体" w:cs="宋体"/>
                <w:sz w:val="24"/>
              </w:rPr>
              <w:t>绑定</w:t>
            </w:r>
            <w:r>
              <w:rPr>
                <w:rFonts w:ascii="宋体" w:hAnsi="宋体" w:cs="宋体"/>
                <w:sz w:val="24"/>
              </w:rPr>
              <w:t>和同步</w:t>
            </w:r>
            <w:r>
              <w:rPr>
                <w:rFonts w:hint="eastAsia" w:ascii="宋体" w:hAnsi="宋体" w:cs="宋体"/>
                <w:sz w:val="24"/>
              </w:rPr>
              <w:t>。</w:t>
            </w:r>
          </w:p>
        </w:tc>
        <w:tc>
          <w:tcPr>
            <w:tcW w:w="1234" w:type="dxa"/>
            <w:vAlign w:val="center"/>
          </w:tcPr>
          <w:p>
            <w:pPr>
              <w:jc w:val="center"/>
              <w:rPr>
                <w:rFonts w:ascii="宋体" w:hAnsi="宋体" w:cs="宋体"/>
                <w:sz w:val="24"/>
              </w:rPr>
            </w:pPr>
            <w:r>
              <w:rPr>
                <w:rFonts w:hint="eastAsia" w:ascii="宋体" w:hAnsi="宋体" w:cs="宋体"/>
                <w:sz w:val="24"/>
              </w:rPr>
              <w:t>选配</w:t>
            </w:r>
          </w:p>
        </w:tc>
      </w:tr>
    </w:tbl>
    <w:p>
      <w:pPr>
        <w:widowControl/>
        <w:jc w:val="center"/>
        <w:rPr>
          <w:rFonts w:ascii="黑体" w:hAnsi="黑体" w:eastAsia="黑体" w:cs="黑体"/>
          <w:bCs/>
          <w:kern w:val="0"/>
          <w:sz w:val="24"/>
        </w:rPr>
      </w:pPr>
      <w:r>
        <w:rPr>
          <w:rFonts w:hint="eastAsia" w:ascii="黑体" w:hAnsi="黑体" w:eastAsia="黑体" w:cs="黑体"/>
          <w:bCs/>
          <w:kern w:val="0"/>
          <w:sz w:val="24"/>
        </w:rPr>
        <w:t>表</w:t>
      </w:r>
      <w:r>
        <w:rPr>
          <w:rFonts w:ascii="黑体" w:hAnsi="黑体" w:eastAsia="黑体" w:cs="黑体"/>
          <w:bCs/>
          <w:kern w:val="0"/>
          <w:sz w:val="24"/>
        </w:rPr>
        <w:t>7</w:t>
      </w:r>
      <w:r>
        <w:rPr>
          <w:rFonts w:hint="eastAsia" w:ascii="黑体" w:hAnsi="黑体" w:eastAsia="黑体" w:cs="黑体"/>
          <w:bCs/>
          <w:kern w:val="0"/>
          <w:sz w:val="24"/>
        </w:rPr>
        <w:t xml:space="preserve"> 学生实验操作平台（终端）功能要求</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588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49" w:type="dxa"/>
          </w:tcPr>
          <w:p>
            <w:pPr>
              <w:widowControl/>
              <w:jc w:val="center"/>
              <w:rPr>
                <w:rFonts w:ascii="黑体" w:hAnsi="黑体" w:eastAsia="黑体" w:cs="黑体"/>
                <w:bCs/>
                <w:kern w:val="0"/>
                <w:sz w:val="24"/>
              </w:rPr>
            </w:pPr>
            <w:r>
              <w:rPr>
                <w:rFonts w:hint="eastAsia" w:ascii="黑体" w:hAnsi="黑体" w:eastAsia="黑体" w:cs="黑体"/>
                <w:bCs/>
                <w:kern w:val="0"/>
                <w:sz w:val="24"/>
              </w:rPr>
              <w:t>配备功能</w:t>
            </w:r>
          </w:p>
        </w:tc>
        <w:tc>
          <w:tcPr>
            <w:tcW w:w="5887" w:type="dxa"/>
          </w:tcPr>
          <w:p>
            <w:pPr>
              <w:widowControl/>
              <w:jc w:val="center"/>
              <w:rPr>
                <w:rFonts w:ascii="黑体" w:hAnsi="黑体" w:eastAsia="黑体" w:cs="黑体"/>
                <w:bCs/>
                <w:kern w:val="0"/>
                <w:sz w:val="24"/>
              </w:rPr>
            </w:pPr>
            <w:r>
              <w:rPr>
                <w:rFonts w:hint="eastAsia" w:ascii="黑体" w:hAnsi="黑体" w:eastAsia="黑体" w:cs="黑体"/>
                <w:bCs/>
                <w:kern w:val="0"/>
                <w:sz w:val="24"/>
              </w:rPr>
              <w:t>配备标准</w:t>
            </w:r>
          </w:p>
        </w:tc>
        <w:tc>
          <w:tcPr>
            <w:tcW w:w="1224" w:type="dxa"/>
          </w:tcPr>
          <w:p>
            <w:pPr>
              <w:widowControl/>
              <w:jc w:val="center"/>
              <w:rPr>
                <w:rFonts w:ascii="黑体" w:hAnsi="黑体" w:eastAsia="黑体" w:cs="黑体"/>
                <w:bCs/>
                <w:kern w:val="0"/>
                <w:sz w:val="24"/>
              </w:rPr>
            </w:pPr>
            <w:r>
              <w:rPr>
                <w:rFonts w:hint="eastAsia" w:ascii="黑体" w:hAnsi="黑体" w:eastAsia="黑体" w:cs="黑体"/>
                <w:bCs/>
                <w:kern w:val="0"/>
                <w:sz w:val="24"/>
              </w:rPr>
              <w:t>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测评模式</w:t>
            </w:r>
          </w:p>
        </w:tc>
        <w:tc>
          <w:tcPr>
            <w:tcW w:w="5887" w:type="dxa"/>
            <w:vAlign w:val="center"/>
          </w:tcPr>
          <w:p>
            <w:pPr>
              <w:rPr>
                <w:rFonts w:ascii="宋体" w:hAnsi="宋体" w:cs="宋体"/>
                <w:sz w:val="24"/>
              </w:rPr>
            </w:pPr>
            <w:r>
              <w:rPr>
                <w:rFonts w:hint="eastAsia" w:ascii="宋体" w:hAnsi="宋体" w:cs="宋体"/>
                <w:sz w:val="24"/>
              </w:rPr>
              <w:t>页面操作流程符合考试流程要求。</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教学模式</w:t>
            </w:r>
          </w:p>
        </w:tc>
        <w:tc>
          <w:tcPr>
            <w:tcW w:w="5887" w:type="dxa"/>
            <w:vAlign w:val="center"/>
          </w:tcPr>
          <w:p>
            <w:pPr>
              <w:rPr>
                <w:rFonts w:ascii="宋体" w:hAnsi="宋体" w:cs="宋体"/>
                <w:sz w:val="24"/>
              </w:rPr>
            </w:pPr>
            <w:r>
              <w:rPr>
                <w:rFonts w:hint="eastAsia" w:ascii="宋体" w:hAnsi="宋体" w:cs="宋体"/>
                <w:sz w:val="24"/>
              </w:rPr>
              <w:t>支持播放教师实验教学平台中的演示视频或历史视频，录制保存学生实验操作过程。</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自学模式</w:t>
            </w:r>
          </w:p>
        </w:tc>
        <w:tc>
          <w:tcPr>
            <w:tcW w:w="5887" w:type="dxa"/>
            <w:vAlign w:val="center"/>
          </w:tcPr>
          <w:p>
            <w:pPr>
              <w:rPr>
                <w:rFonts w:ascii="宋体" w:hAnsi="宋体" w:cs="宋体"/>
                <w:sz w:val="24"/>
              </w:rPr>
            </w:pPr>
            <w:r>
              <w:rPr>
                <w:rFonts w:hint="eastAsia" w:ascii="宋体" w:hAnsi="宋体" w:cs="宋体"/>
                <w:sz w:val="24"/>
              </w:rPr>
              <w:t>支持学生自主登录，选择实验进行操作。</w:t>
            </w:r>
          </w:p>
        </w:tc>
        <w:tc>
          <w:tcPr>
            <w:tcW w:w="1224"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信息确认</w:t>
            </w:r>
          </w:p>
        </w:tc>
        <w:tc>
          <w:tcPr>
            <w:tcW w:w="5887" w:type="dxa"/>
            <w:vAlign w:val="center"/>
          </w:tcPr>
          <w:p>
            <w:pPr>
              <w:rPr>
                <w:rFonts w:ascii="宋体" w:hAnsi="宋体" w:cs="宋体"/>
                <w:sz w:val="24"/>
              </w:rPr>
            </w:pPr>
            <w:r>
              <w:rPr>
                <w:rFonts w:hint="eastAsia" w:ascii="宋体" w:hAnsi="宋体" w:cs="宋体"/>
                <w:sz w:val="24"/>
              </w:rPr>
              <w:t>学生可根据抽签结果对身份信息进行确认。</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实验数据接入</w:t>
            </w:r>
          </w:p>
        </w:tc>
        <w:tc>
          <w:tcPr>
            <w:tcW w:w="5887" w:type="dxa"/>
            <w:vAlign w:val="center"/>
          </w:tcPr>
          <w:p>
            <w:pPr>
              <w:rPr>
                <w:rFonts w:ascii="宋体" w:hAnsi="宋体" w:cs="宋体"/>
                <w:sz w:val="24"/>
              </w:rPr>
            </w:pPr>
            <w:r>
              <w:rPr>
                <w:rFonts w:hint="eastAsia" w:ascii="宋体" w:hAnsi="宋体" w:cs="宋体"/>
                <w:sz w:val="24"/>
              </w:rPr>
              <w:t>支持接入电子目镜或数码显微镜画面等实验数据。</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理化同场考试</w:t>
            </w:r>
          </w:p>
        </w:tc>
        <w:tc>
          <w:tcPr>
            <w:tcW w:w="5887" w:type="dxa"/>
            <w:vAlign w:val="center"/>
          </w:tcPr>
          <w:p>
            <w:pPr>
              <w:rPr>
                <w:rFonts w:ascii="宋体" w:hAnsi="宋体" w:cs="宋体"/>
                <w:sz w:val="24"/>
              </w:rPr>
            </w:pPr>
            <w:r>
              <w:rPr>
                <w:rFonts w:hint="eastAsia" w:ascii="宋体" w:hAnsi="宋体" w:cs="宋体"/>
                <w:sz w:val="24"/>
              </w:rPr>
              <w:t>理化考试中，学生可在规定考试时间内自主选择实验顺序和时长操作，并</w:t>
            </w:r>
            <w:r>
              <w:rPr>
                <w:rFonts w:ascii="宋体" w:hAnsi="宋体" w:cs="宋体"/>
                <w:sz w:val="24"/>
              </w:rPr>
              <w:t>按</w:t>
            </w:r>
            <w:r>
              <w:rPr>
                <w:rFonts w:hint="eastAsia" w:ascii="宋体" w:hAnsi="宋体" w:cs="宋体"/>
                <w:sz w:val="24"/>
              </w:rPr>
              <w:t>科目生成视频</w:t>
            </w:r>
            <w:r>
              <w:rPr>
                <w:rFonts w:ascii="宋体" w:hAnsi="宋体" w:cs="宋体"/>
                <w:sz w:val="24"/>
              </w:rPr>
              <w:t>文件</w:t>
            </w:r>
            <w:r>
              <w:rPr>
                <w:rFonts w:hint="eastAsia" w:ascii="宋体" w:hAnsi="宋体" w:cs="宋体"/>
                <w:sz w:val="24"/>
              </w:rPr>
              <w:t>。</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摄像头异常提醒</w:t>
            </w:r>
          </w:p>
        </w:tc>
        <w:tc>
          <w:tcPr>
            <w:tcW w:w="5887" w:type="dxa"/>
            <w:vAlign w:val="center"/>
          </w:tcPr>
          <w:p>
            <w:pPr>
              <w:rPr>
                <w:rFonts w:ascii="宋体" w:hAnsi="宋体" w:cs="宋体"/>
                <w:sz w:val="24"/>
              </w:rPr>
            </w:pPr>
            <w:r>
              <w:rPr>
                <w:rFonts w:hint="eastAsia" w:ascii="宋体" w:hAnsi="宋体" w:cs="宋体"/>
                <w:sz w:val="24"/>
              </w:rPr>
              <w:t>录制过程中如检测到摄像头拍摄范围偏离预期或被遮挡，在本机上有明显提示，并通知实验考务</w:t>
            </w:r>
            <w:r>
              <w:rPr>
                <w:rFonts w:ascii="宋体" w:hAnsi="宋体" w:cs="宋体"/>
                <w:sz w:val="24"/>
              </w:rPr>
              <w:t>平台</w:t>
            </w:r>
            <w:r>
              <w:rPr>
                <w:rFonts w:hint="eastAsia" w:ascii="宋体" w:hAnsi="宋体" w:cs="宋体"/>
                <w:sz w:val="24"/>
              </w:rPr>
              <w:t>。</w:t>
            </w:r>
          </w:p>
        </w:tc>
        <w:tc>
          <w:tcPr>
            <w:tcW w:w="1224" w:type="dxa"/>
            <w:vAlign w:val="center"/>
          </w:tcPr>
          <w:p>
            <w:pPr>
              <w:jc w:val="center"/>
              <w:rPr>
                <w:rFonts w:ascii="宋体" w:hAnsi="宋体" w:cs="宋体"/>
                <w:sz w:val="24"/>
              </w:rPr>
            </w:pPr>
            <w:r>
              <w:rPr>
                <w:rFonts w:hint="eastAsia" w:ascii="宋体" w:hAnsi="宋体" w:cs="宋体"/>
                <w:sz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学生自主抓拍</w:t>
            </w:r>
          </w:p>
        </w:tc>
        <w:tc>
          <w:tcPr>
            <w:tcW w:w="5887" w:type="dxa"/>
            <w:vAlign w:val="center"/>
          </w:tcPr>
          <w:p>
            <w:pPr>
              <w:rPr>
                <w:rFonts w:ascii="宋体" w:hAnsi="宋体" w:cs="宋体"/>
                <w:sz w:val="24"/>
              </w:rPr>
            </w:pPr>
            <w:r>
              <w:rPr>
                <w:rFonts w:hint="eastAsia" w:ascii="宋体" w:hAnsi="宋体" w:cs="宋体"/>
                <w:sz w:val="24"/>
              </w:rPr>
              <w:t>支持学生自主抓拍保存摄像头或电子</w:t>
            </w:r>
            <w:r>
              <w:rPr>
                <w:rFonts w:ascii="宋体" w:hAnsi="宋体" w:cs="宋体"/>
                <w:sz w:val="24"/>
              </w:rPr>
              <w:t>目镜</w:t>
            </w:r>
            <w:r>
              <w:rPr>
                <w:rFonts w:hint="eastAsia" w:ascii="宋体" w:hAnsi="宋体" w:cs="宋体"/>
                <w:sz w:val="24"/>
              </w:rPr>
              <w:t>数据画面。</w:t>
            </w:r>
          </w:p>
        </w:tc>
        <w:tc>
          <w:tcPr>
            <w:tcW w:w="1224" w:type="dxa"/>
            <w:vAlign w:val="center"/>
          </w:tcPr>
          <w:p>
            <w:pPr>
              <w:jc w:val="center"/>
              <w:rPr>
                <w:rFonts w:ascii="宋体" w:hAnsi="宋体" w:cs="宋体"/>
                <w:sz w:val="24"/>
              </w:rPr>
            </w:pPr>
            <w:r>
              <w:rPr>
                <w:rFonts w:hint="eastAsia" w:ascii="宋体" w:hAnsi="宋体" w:cs="宋体"/>
                <w:sz w:val="24"/>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9" w:type="dxa"/>
            <w:vAlign w:val="center"/>
          </w:tcPr>
          <w:p>
            <w:pPr>
              <w:jc w:val="center"/>
              <w:rPr>
                <w:rFonts w:ascii="宋体" w:hAnsi="宋体" w:cs="宋体"/>
                <w:sz w:val="24"/>
              </w:rPr>
            </w:pPr>
            <w:r>
              <w:rPr>
                <w:rFonts w:hint="eastAsia" w:ascii="宋体" w:hAnsi="宋体" w:cs="宋体"/>
                <w:sz w:val="24"/>
              </w:rPr>
              <w:t>人工智能</w:t>
            </w:r>
          </w:p>
          <w:p>
            <w:pPr>
              <w:jc w:val="center"/>
              <w:rPr>
                <w:rFonts w:ascii="宋体" w:hAnsi="宋体" w:cs="宋体"/>
                <w:sz w:val="24"/>
              </w:rPr>
            </w:pPr>
            <w:r>
              <w:rPr>
                <w:rFonts w:hint="eastAsia" w:ascii="宋体" w:hAnsi="宋体" w:cs="宋体"/>
                <w:sz w:val="24"/>
              </w:rPr>
              <w:t>实时评分</w:t>
            </w:r>
          </w:p>
        </w:tc>
        <w:tc>
          <w:tcPr>
            <w:tcW w:w="5887" w:type="dxa"/>
            <w:vAlign w:val="center"/>
          </w:tcPr>
          <w:p>
            <w:pPr>
              <w:rPr>
                <w:rFonts w:ascii="宋体" w:hAnsi="宋体" w:cs="宋体"/>
                <w:sz w:val="24"/>
              </w:rPr>
            </w:pPr>
            <w:r>
              <w:rPr>
                <w:rFonts w:hint="eastAsia" w:ascii="宋体" w:hAnsi="宋体" w:cs="宋体"/>
                <w:sz w:val="24"/>
              </w:rPr>
              <w:t>教学</w:t>
            </w:r>
            <w:r>
              <w:rPr>
                <w:rFonts w:ascii="宋体" w:hAnsi="宋体" w:cs="宋体"/>
                <w:sz w:val="24"/>
              </w:rPr>
              <w:t>模式</w:t>
            </w:r>
            <w:r>
              <w:rPr>
                <w:rFonts w:hint="eastAsia" w:ascii="宋体" w:hAnsi="宋体" w:cs="宋体"/>
                <w:sz w:val="24"/>
              </w:rPr>
              <w:t>下</w:t>
            </w:r>
            <w:r>
              <w:rPr>
                <w:rFonts w:ascii="宋体" w:hAnsi="宋体" w:cs="宋体"/>
                <w:sz w:val="24"/>
              </w:rPr>
              <w:t>，</w:t>
            </w:r>
            <w:r>
              <w:rPr>
                <w:rFonts w:hint="eastAsia" w:ascii="宋体" w:hAnsi="宋体" w:cs="宋体"/>
                <w:sz w:val="24"/>
              </w:rPr>
              <w:t>学生操作完毕后，系统反馈人工智能评分结果及错误原因，</w:t>
            </w:r>
            <w:r>
              <w:rPr>
                <w:rFonts w:ascii="宋体" w:hAnsi="宋体" w:cs="宋体"/>
                <w:sz w:val="24"/>
              </w:rPr>
              <w:t>并上传至</w:t>
            </w:r>
            <w:r>
              <w:rPr>
                <w:rFonts w:hint="eastAsia" w:ascii="宋体" w:hAnsi="宋体" w:cs="宋体"/>
                <w:sz w:val="24"/>
              </w:rPr>
              <w:t>教师实验教学</w:t>
            </w:r>
            <w:r>
              <w:rPr>
                <w:rFonts w:ascii="宋体" w:hAnsi="宋体" w:cs="宋体"/>
                <w:sz w:val="24"/>
              </w:rPr>
              <w:t>平台</w:t>
            </w:r>
            <w:r>
              <w:rPr>
                <w:rFonts w:hint="eastAsia" w:ascii="宋体" w:hAnsi="宋体" w:cs="宋体"/>
                <w:sz w:val="24"/>
              </w:rPr>
              <w:t>。</w:t>
            </w:r>
          </w:p>
        </w:tc>
        <w:tc>
          <w:tcPr>
            <w:tcW w:w="1224" w:type="dxa"/>
            <w:vAlign w:val="center"/>
          </w:tcPr>
          <w:p>
            <w:pPr>
              <w:jc w:val="center"/>
              <w:rPr>
                <w:rFonts w:ascii="宋体" w:hAnsi="宋体" w:cs="宋体"/>
                <w:sz w:val="24"/>
              </w:rPr>
            </w:pPr>
            <w:r>
              <w:rPr>
                <w:rFonts w:hint="eastAsia" w:ascii="宋体" w:hAnsi="宋体" w:cs="宋体"/>
                <w:sz w:val="24"/>
              </w:rPr>
              <w:t>选配</w:t>
            </w:r>
          </w:p>
        </w:tc>
      </w:tr>
    </w:tbl>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三、其它要求</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（一）理化生实验室基本设备设施配备、环境和安全卫生建设及阅卷环境均按照《深圳市义务教育学校设备设施配备标准指引》（深教函〔2020〕9号）要求执行。</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二）供电应符合《供配电系统设计规范》（GB50052-2009）和《教育建筑电气设计规范》（JGJ310-2013）有关要求，供电保障完善，并配备能自动进行切换的双回路供电系统或配有不间断电源（UPS）保障重要设备和系统的供电。发生供电故障时，维持设备运行时间不少于1小时。</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（三）考试监控存储及技术指标参考《国家教育考试网上巡查系统视频标准技术实施规范（2017版）》（JY/T-KS-JS-2017-1）。</w:t>
      </w:r>
    </w:p>
    <w:p>
      <w:pPr>
        <w:spacing w:line="580" w:lineRule="exact"/>
        <w:ind w:firstLine="480"/>
        <w:rPr>
          <w:rFonts w:ascii="仿宋_GB2312" w:hAnsi="宋体" w:eastAsia="仿宋_GB2312" w:cs="宋体"/>
          <w:sz w:val="32"/>
          <w:szCs w:val="32"/>
        </w:rPr>
      </w:pPr>
      <w:r>
        <w:rPr>
          <w:rFonts w:hint="eastAsia" w:ascii="仿宋_GB2312" w:hAnsi="宋体" w:eastAsia="仿宋_GB2312" w:cs="宋体"/>
          <w:sz w:val="32"/>
          <w:szCs w:val="32"/>
        </w:rPr>
        <w:t>（四）各平台需按照《国家网络安全法》要求，落实网络安全等级保护制度，开展网络安全等级保护定级、备案、测评、整改等相关工作。</w:t>
      </w:r>
    </w:p>
    <w:p>
      <w:pPr>
        <w:spacing w:line="580" w:lineRule="exact"/>
        <w:rPr>
          <w:rFonts w:ascii="仿宋_GB2312" w:eastAsia="仿宋_GB2312"/>
          <w:sz w:val="28"/>
          <w:szCs w:val="28"/>
        </w:rPr>
      </w:pPr>
    </w:p>
    <w:sectPr>
      <w:headerReference r:id="rId3" w:type="default"/>
      <w:footerReference r:id="rId5" w:type="default"/>
      <w:headerReference r:id="rId4" w:type="even"/>
      <w:type w:val="continuous"/>
      <w:pgSz w:w="11906" w:h="16838"/>
      <w:pgMar w:top="2098" w:right="1474" w:bottom="1928" w:left="1588" w:header="851" w:footer="1134" w:gutter="0"/>
      <w:pgNumType w:fmt="decimal"/>
      <w:cols w:space="0" w:num="1"/>
      <w:docGrid w:type="lines" w:linePitch="312" w:charSpace="12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4CE5B"/>
    <w:multiLevelType w:val="singleLevel"/>
    <w:tmpl w:val="9064CE5B"/>
    <w:lvl w:ilvl="0" w:tentative="0">
      <w:start w:val="1"/>
      <w:numFmt w:val="decimal"/>
      <w:suff w:val="nothing"/>
      <w:lvlText w:val="（%1）"/>
      <w:lvlJc w:val="left"/>
    </w:lvl>
  </w:abstractNum>
  <w:abstractNum w:abstractNumId="1">
    <w:nsid w:val="BDC7BF91"/>
    <w:multiLevelType w:val="singleLevel"/>
    <w:tmpl w:val="BDC7BF91"/>
    <w:lvl w:ilvl="0" w:tentative="0">
      <w:start w:val="2"/>
      <w:numFmt w:val="chineseCounting"/>
      <w:suff w:val="nothing"/>
      <w:lvlText w:val="%1、"/>
      <w:lvlJc w:val="left"/>
      <w:rPr>
        <w:rFonts w:hint="eastAsia"/>
      </w:rPr>
    </w:lvl>
  </w:abstractNum>
  <w:abstractNum w:abstractNumId="2">
    <w:nsid w:val="22DB4F57"/>
    <w:multiLevelType w:val="singleLevel"/>
    <w:tmpl w:val="22DB4F57"/>
    <w:lvl w:ilvl="0" w:tentative="0">
      <w:start w:val="1"/>
      <w:numFmt w:val="decimal"/>
      <w:suff w:val="space"/>
      <w:lvlText w:val="[%1]"/>
      <w:lvlJc w:val="left"/>
    </w:lvl>
  </w:abstractNum>
  <w:abstractNum w:abstractNumId="3">
    <w:nsid w:val="65E96029"/>
    <w:multiLevelType w:val="multilevel"/>
    <w:tmpl w:val="65E96029"/>
    <w:lvl w:ilvl="0" w:tentative="0">
      <w:start w:val="2"/>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1"/>
  <w:drawingGridVerticalSpacing w:val="156"/>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2B"/>
    <w:rsid w:val="000051CB"/>
    <w:rsid w:val="00011612"/>
    <w:rsid w:val="00013189"/>
    <w:rsid w:val="0001519C"/>
    <w:rsid w:val="000159A4"/>
    <w:rsid w:val="000222B8"/>
    <w:rsid w:val="00023E23"/>
    <w:rsid w:val="0003453D"/>
    <w:rsid w:val="00051D9D"/>
    <w:rsid w:val="0007299A"/>
    <w:rsid w:val="000756CE"/>
    <w:rsid w:val="00076490"/>
    <w:rsid w:val="00085BE5"/>
    <w:rsid w:val="000A7B0F"/>
    <w:rsid w:val="000D1B1A"/>
    <w:rsid w:val="000D74C7"/>
    <w:rsid w:val="000F293E"/>
    <w:rsid w:val="000F4694"/>
    <w:rsid w:val="001056D7"/>
    <w:rsid w:val="00114A37"/>
    <w:rsid w:val="00114BDF"/>
    <w:rsid w:val="00117214"/>
    <w:rsid w:val="0012376D"/>
    <w:rsid w:val="00133605"/>
    <w:rsid w:val="00141DC7"/>
    <w:rsid w:val="00147DDD"/>
    <w:rsid w:val="00151D94"/>
    <w:rsid w:val="00153DC0"/>
    <w:rsid w:val="0015477C"/>
    <w:rsid w:val="001559B7"/>
    <w:rsid w:val="0015637C"/>
    <w:rsid w:val="001648E4"/>
    <w:rsid w:val="00166B5B"/>
    <w:rsid w:val="001827AB"/>
    <w:rsid w:val="0019725B"/>
    <w:rsid w:val="001A10AF"/>
    <w:rsid w:val="001A4934"/>
    <w:rsid w:val="001A535F"/>
    <w:rsid w:val="001C02E6"/>
    <w:rsid w:val="001C68EB"/>
    <w:rsid w:val="001E05C5"/>
    <w:rsid w:val="001E73F3"/>
    <w:rsid w:val="00200FEC"/>
    <w:rsid w:val="00227324"/>
    <w:rsid w:val="00230632"/>
    <w:rsid w:val="002338DB"/>
    <w:rsid w:val="002362B1"/>
    <w:rsid w:val="0025680B"/>
    <w:rsid w:val="00260E1C"/>
    <w:rsid w:val="00273E1A"/>
    <w:rsid w:val="00273F03"/>
    <w:rsid w:val="002772BE"/>
    <w:rsid w:val="002C010F"/>
    <w:rsid w:val="002C520B"/>
    <w:rsid w:val="002C6D8D"/>
    <w:rsid w:val="002F6EC7"/>
    <w:rsid w:val="003000F8"/>
    <w:rsid w:val="0030603E"/>
    <w:rsid w:val="003216F0"/>
    <w:rsid w:val="003330B9"/>
    <w:rsid w:val="00335FAF"/>
    <w:rsid w:val="0033607F"/>
    <w:rsid w:val="00336AF7"/>
    <w:rsid w:val="003664ED"/>
    <w:rsid w:val="00367E42"/>
    <w:rsid w:val="00376E96"/>
    <w:rsid w:val="00392AF9"/>
    <w:rsid w:val="0039748B"/>
    <w:rsid w:val="003A4F65"/>
    <w:rsid w:val="003A5C76"/>
    <w:rsid w:val="003A7AF2"/>
    <w:rsid w:val="003B48C8"/>
    <w:rsid w:val="003C0B6C"/>
    <w:rsid w:val="003C62F9"/>
    <w:rsid w:val="00402812"/>
    <w:rsid w:val="00411139"/>
    <w:rsid w:val="00446DD8"/>
    <w:rsid w:val="00455D80"/>
    <w:rsid w:val="0045618C"/>
    <w:rsid w:val="004657F2"/>
    <w:rsid w:val="00475CEB"/>
    <w:rsid w:val="004947C0"/>
    <w:rsid w:val="004D0CBC"/>
    <w:rsid w:val="004D6A75"/>
    <w:rsid w:val="00502596"/>
    <w:rsid w:val="00503846"/>
    <w:rsid w:val="00521BA9"/>
    <w:rsid w:val="00521CD8"/>
    <w:rsid w:val="00526523"/>
    <w:rsid w:val="00532B9B"/>
    <w:rsid w:val="00534A30"/>
    <w:rsid w:val="005627A5"/>
    <w:rsid w:val="0057052B"/>
    <w:rsid w:val="0057127F"/>
    <w:rsid w:val="00577A85"/>
    <w:rsid w:val="00595DA7"/>
    <w:rsid w:val="005C7B81"/>
    <w:rsid w:val="005D0A03"/>
    <w:rsid w:val="005D64D2"/>
    <w:rsid w:val="00612E04"/>
    <w:rsid w:val="00613CCE"/>
    <w:rsid w:val="00620C1E"/>
    <w:rsid w:val="00644D06"/>
    <w:rsid w:val="0065379A"/>
    <w:rsid w:val="00657BC6"/>
    <w:rsid w:val="00677D04"/>
    <w:rsid w:val="00693E41"/>
    <w:rsid w:val="006A2DB8"/>
    <w:rsid w:val="006B6063"/>
    <w:rsid w:val="006D4ED2"/>
    <w:rsid w:val="006E1413"/>
    <w:rsid w:val="00715131"/>
    <w:rsid w:val="007174EA"/>
    <w:rsid w:val="00727476"/>
    <w:rsid w:val="00735253"/>
    <w:rsid w:val="0073761A"/>
    <w:rsid w:val="007408C1"/>
    <w:rsid w:val="0075162A"/>
    <w:rsid w:val="00752D09"/>
    <w:rsid w:val="00755B84"/>
    <w:rsid w:val="00761B6D"/>
    <w:rsid w:val="00762E12"/>
    <w:rsid w:val="00763B57"/>
    <w:rsid w:val="00776B3C"/>
    <w:rsid w:val="00791FE8"/>
    <w:rsid w:val="00793166"/>
    <w:rsid w:val="007A0428"/>
    <w:rsid w:val="007A6F79"/>
    <w:rsid w:val="007B2FD6"/>
    <w:rsid w:val="007B52BA"/>
    <w:rsid w:val="007C6816"/>
    <w:rsid w:val="007C7727"/>
    <w:rsid w:val="007D5B6E"/>
    <w:rsid w:val="007D6BF9"/>
    <w:rsid w:val="007F14A4"/>
    <w:rsid w:val="007F2F50"/>
    <w:rsid w:val="0080537B"/>
    <w:rsid w:val="00811445"/>
    <w:rsid w:val="00811E2A"/>
    <w:rsid w:val="0083076F"/>
    <w:rsid w:val="008308B7"/>
    <w:rsid w:val="00836392"/>
    <w:rsid w:val="008377F7"/>
    <w:rsid w:val="00841889"/>
    <w:rsid w:val="0084499A"/>
    <w:rsid w:val="00864B11"/>
    <w:rsid w:val="00865AB3"/>
    <w:rsid w:val="008764AF"/>
    <w:rsid w:val="008B0079"/>
    <w:rsid w:val="008B4710"/>
    <w:rsid w:val="008B7EED"/>
    <w:rsid w:val="008C4EE3"/>
    <w:rsid w:val="008E2A0A"/>
    <w:rsid w:val="008F400D"/>
    <w:rsid w:val="009044A5"/>
    <w:rsid w:val="00915ACA"/>
    <w:rsid w:val="009330AD"/>
    <w:rsid w:val="00934C94"/>
    <w:rsid w:val="009361E5"/>
    <w:rsid w:val="00945699"/>
    <w:rsid w:val="00961D07"/>
    <w:rsid w:val="00966B03"/>
    <w:rsid w:val="00966C4B"/>
    <w:rsid w:val="00975264"/>
    <w:rsid w:val="00981D11"/>
    <w:rsid w:val="009B3430"/>
    <w:rsid w:val="009B61C3"/>
    <w:rsid w:val="009C0E2B"/>
    <w:rsid w:val="009D4DD9"/>
    <w:rsid w:val="009F010C"/>
    <w:rsid w:val="009F2744"/>
    <w:rsid w:val="009F4ABD"/>
    <w:rsid w:val="009F6AEE"/>
    <w:rsid w:val="00A014E8"/>
    <w:rsid w:val="00A02629"/>
    <w:rsid w:val="00A039E6"/>
    <w:rsid w:val="00A05E1B"/>
    <w:rsid w:val="00A24ADF"/>
    <w:rsid w:val="00A3214C"/>
    <w:rsid w:val="00A43244"/>
    <w:rsid w:val="00A4705A"/>
    <w:rsid w:val="00A62486"/>
    <w:rsid w:val="00A75B23"/>
    <w:rsid w:val="00A951D7"/>
    <w:rsid w:val="00AA1CCE"/>
    <w:rsid w:val="00AA74E4"/>
    <w:rsid w:val="00AB2417"/>
    <w:rsid w:val="00AB7A6B"/>
    <w:rsid w:val="00AC15AE"/>
    <w:rsid w:val="00AC3B7F"/>
    <w:rsid w:val="00AD3CB2"/>
    <w:rsid w:val="00AD3F0B"/>
    <w:rsid w:val="00AE03E7"/>
    <w:rsid w:val="00B21C71"/>
    <w:rsid w:val="00B32E21"/>
    <w:rsid w:val="00B435C2"/>
    <w:rsid w:val="00B4772E"/>
    <w:rsid w:val="00B47A17"/>
    <w:rsid w:val="00B54B88"/>
    <w:rsid w:val="00B632C1"/>
    <w:rsid w:val="00B66AAE"/>
    <w:rsid w:val="00B84913"/>
    <w:rsid w:val="00B84C51"/>
    <w:rsid w:val="00BA20EC"/>
    <w:rsid w:val="00BB454D"/>
    <w:rsid w:val="00BC05C4"/>
    <w:rsid w:val="00BD7687"/>
    <w:rsid w:val="00BF1169"/>
    <w:rsid w:val="00BF28E4"/>
    <w:rsid w:val="00C107DE"/>
    <w:rsid w:val="00C15C79"/>
    <w:rsid w:val="00C21B58"/>
    <w:rsid w:val="00C26EF9"/>
    <w:rsid w:val="00C27C77"/>
    <w:rsid w:val="00C36EC0"/>
    <w:rsid w:val="00C44951"/>
    <w:rsid w:val="00C64853"/>
    <w:rsid w:val="00C64915"/>
    <w:rsid w:val="00C65358"/>
    <w:rsid w:val="00C85B2B"/>
    <w:rsid w:val="00CA6B4A"/>
    <w:rsid w:val="00CB4598"/>
    <w:rsid w:val="00CB65AE"/>
    <w:rsid w:val="00D14B2D"/>
    <w:rsid w:val="00D14FA6"/>
    <w:rsid w:val="00D429DB"/>
    <w:rsid w:val="00D47525"/>
    <w:rsid w:val="00D53C6F"/>
    <w:rsid w:val="00D705AF"/>
    <w:rsid w:val="00D81AE8"/>
    <w:rsid w:val="00D84B5C"/>
    <w:rsid w:val="00D876ED"/>
    <w:rsid w:val="00D92C6C"/>
    <w:rsid w:val="00D935FB"/>
    <w:rsid w:val="00DA5A63"/>
    <w:rsid w:val="00DA5CF0"/>
    <w:rsid w:val="00DB0E2A"/>
    <w:rsid w:val="00DC7282"/>
    <w:rsid w:val="00DD2C58"/>
    <w:rsid w:val="00DF5CF1"/>
    <w:rsid w:val="00E22093"/>
    <w:rsid w:val="00E26AA0"/>
    <w:rsid w:val="00E2718D"/>
    <w:rsid w:val="00E5588E"/>
    <w:rsid w:val="00E67250"/>
    <w:rsid w:val="00E778AD"/>
    <w:rsid w:val="00E800C1"/>
    <w:rsid w:val="00EC25E4"/>
    <w:rsid w:val="00EC3FD1"/>
    <w:rsid w:val="00EC5C8F"/>
    <w:rsid w:val="00EE0C76"/>
    <w:rsid w:val="00EE22BA"/>
    <w:rsid w:val="00F10BDD"/>
    <w:rsid w:val="00F23733"/>
    <w:rsid w:val="00F40CBE"/>
    <w:rsid w:val="00F50352"/>
    <w:rsid w:val="00F55634"/>
    <w:rsid w:val="00F56820"/>
    <w:rsid w:val="00F61C08"/>
    <w:rsid w:val="00F67018"/>
    <w:rsid w:val="00F768F5"/>
    <w:rsid w:val="00FA2830"/>
    <w:rsid w:val="00FA6BD5"/>
    <w:rsid w:val="00FB66C9"/>
    <w:rsid w:val="00FD3C5C"/>
    <w:rsid w:val="00FD799A"/>
    <w:rsid w:val="00FF15DC"/>
    <w:rsid w:val="00FF584C"/>
    <w:rsid w:val="00FF5DC9"/>
    <w:rsid w:val="04A32307"/>
    <w:rsid w:val="04E95FCD"/>
    <w:rsid w:val="054C183E"/>
    <w:rsid w:val="06382B09"/>
    <w:rsid w:val="074002B7"/>
    <w:rsid w:val="08C75F7D"/>
    <w:rsid w:val="094758C6"/>
    <w:rsid w:val="0C0414F2"/>
    <w:rsid w:val="0EB9772D"/>
    <w:rsid w:val="10E37E91"/>
    <w:rsid w:val="12040F01"/>
    <w:rsid w:val="15DF0DD3"/>
    <w:rsid w:val="166E78C9"/>
    <w:rsid w:val="1A2303F6"/>
    <w:rsid w:val="1CE72EB9"/>
    <w:rsid w:val="1F452734"/>
    <w:rsid w:val="2262332D"/>
    <w:rsid w:val="232F119F"/>
    <w:rsid w:val="27D94354"/>
    <w:rsid w:val="282C7408"/>
    <w:rsid w:val="2A14582D"/>
    <w:rsid w:val="2ADA121D"/>
    <w:rsid w:val="2E6A5D04"/>
    <w:rsid w:val="2F7E0B50"/>
    <w:rsid w:val="2FA74173"/>
    <w:rsid w:val="2FEE50CF"/>
    <w:rsid w:val="306C5411"/>
    <w:rsid w:val="33FD4164"/>
    <w:rsid w:val="35D12ECD"/>
    <w:rsid w:val="3BCB3B1A"/>
    <w:rsid w:val="3F830549"/>
    <w:rsid w:val="456422BD"/>
    <w:rsid w:val="48AB6AF9"/>
    <w:rsid w:val="48C75A14"/>
    <w:rsid w:val="493E3446"/>
    <w:rsid w:val="4E0F15A9"/>
    <w:rsid w:val="4F0A50D3"/>
    <w:rsid w:val="4F621982"/>
    <w:rsid w:val="4FB74559"/>
    <w:rsid w:val="53A36155"/>
    <w:rsid w:val="54344764"/>
    <w:rsid w:val="5511473D"/>
    <w:rsid w:val="56062F08"/>
    <w:rsid w:val="57AA01B7"/>
    <w:rsid w:val="57C174CC"/>
    <w:rsid w:val="629005F4"/>
    <w:rsid w:val="64682D89"/>
    <w:rsid w:val="6772118D"/>
    <w:rsid w:val="6A9C6ECC"/>
    <w:rsid w:val="6C495135"/>
    <w:rsid w:val="6E560596"/>
    <w:rsid w:val="716C778E"/>
    <w:rsid w:val="73931A07"/>
    <w:rsid w:val="73B72653"/>
    <w:rsid w:val="74FD5852"/>
    <w:rsid w:val="750277BC"/>
    <w:rsid w:val="755E4131"/>
    <w:rsid w:val="77CF5414"/>
    <w:rsid w:val="7A1C1C30"/>
    <w:rsid w:val="7B1D296F"/>
    <w:rsid w:val="7F0530F9"/>
    <w:rsid w:val="7F3738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
    <w:pPr>
      <w:keepNext/>
      <w:keepLines/>
      <w:spacing w:line="576" w:lineRule="auto"/>
      <w:outlineLvl w:val="0"/>
    </w:pPr>
    <w:rPr>
      <w:b/>
      <w:kern w:val="44"/>
      <w:sz w:val="44"/>
    </w:rPr>
  </w:style>
  <w:style w:type="paragraph" w:styleId="3">
    <w:name w:val="heading 2"/>
    <w:basedOn w:val="1"/>
    <w:next w:val="1"/>
    <w:link w:val="20"/>
    <w:semiHidden/>
    <w:unhideWhenUsed/>
    <w:qFormat/>
    <w:uiPriority w:val="9"/>
    <w:pPr>
      <w:keepNext/>
      <w:keepLines/>
      <w:spacing w:before="260" w:after="260"/>
      <w:jc w:val="center"/>
      <w:outlineLvl w:val="1"/>
    </w:pPr>
    <w:rPr>
      <w:rFonts w:ascii="Arial" w:hAnsi="Arial" w:eastAsia="黑体"/>
      <w:b/>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99"/>
    <w:pPr>
      <w:jc w:val="left"/>
    </w:pPr>
  </w:style>
  <w:style w:type="paragraph" w:styleId="5">
    <w:name w:val="Body Text"/>
    <w:basedOn w:val="1"/>
    <w:next w:val="1"/>
    <w:link w:val="33"/>
    <w:qFormat/>
    <w:uiPriority w:val="0"/>
    <w:pPr>
      <w:spacing w:after="120"/>
    </w:pPr>
    <w:rPr>
      <w:rFonts w:ascii="Times New Roman" w:hAnsi="Times New Roman"/>
      <w:szCs w:val="21"/>
    </w:rPr>
  </w:style>
  <w:style w:type="paragraph" w:styleId="6">
    <w:name w:val="Date"/>
    <w:basedOn w:val="1"/>
    <w:next w:val="1"/>
    <w:link w:val="32"/>
    <w:qFormat/>
    <w:uiPriority w:val="0"/>
    <w:pPr>
      <w:ind w:left="100" w:leftChars="2500"/>
    </w:pPr>
  </w:style>
  <w:style w:type="paragraph" w:styleId="7">
    <w:name w:val="Balloon Text"/>
    <w:basedOn w:val="1"/>
    <w:link w:val="22"/>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99"/>
    <w:pPr>
      <w:jc w:val="left"/>
    </w:pPr>
    <w:rPr>
      <w:kern w:val="0"/>
      <w:sz w:val="24"/>
    </w:rPr>
  </w:style>
  <w:style w:type="paragraph" w:styleId="11">
    <w:name w:val="annotation subject"/>
    <w:basedOn w:val="4"/>
    <w:next w:val="4"/>
    <w:link w:val="25"/>
    <w:qFormat/>
    <w:uiPriority w:val="99"/>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rPr>
  </w:style>
  <w:style w:type="character" w:styleId="16">
    <w:name w:val="page number"/>
    <w:qFormat/>
    <w:uiPriority w:val="99"/>
    <w:rPr>
      <w:rFonts w:eastAsia="宋体" w:cs="Times New Roman"/>
      <w:sz w:val="28"/>
    </w:rPr>
  </w:style>
  <w:style w:type="character" w:styleId="17">
    <w:name w:val="Hyperlink"/>
    <w:qFormat/>
    <w:uiPriority w:val="99"/>
    <w:rPr>
      <w:rFonts w:cs="Times New Roman"/>
      <w:color w:val="0000FF"/>
      <w:u w:val="single"/>
    </w:rPr>
  </w:style>
  <w:style w:type="character" w:styleId="18">
    <w:name w:val="annotation reference"/>
    <w:qFormat/>
    <w:uiPriority w:val="99"/>
    <w:rPr>
      <w:rFonts w:cs="Times New Roman"/>
      <w:sz w:val="21"/>
      <w:szCs w:val="21"/>
    </w:rPr>
  </w:style>
  <w:style w:type="character" w:customStyle="1" w:styleId="19">
    <w:name w:val="标题 1 字符"/>
    <w:link w:val="2"/>
    <w:qFormat/>
    <w:uiPriority w:val="9"/>
    <w:rPr>
      <w:b/>
      <w:bCs/>
      <w:kern w:val="44"/>
      <w:sz w:val="44"/>
      <w:szCs w:val="44"/>
    </w:rPr>
  </w:style>
  <w:style w:type="character" w:customStyle="1" w:styleId="20">
    <w:name w:val="标题 2 字符"/>
    <w:link w:val="3"/>
    <w:qFormat/>
    <w:uiPriority w:val="9"/>
    <w:rPr>
      <w:rFonts w:ascii="Cambria" w:hAnsi="Cambria" w:eastAsia="宋体" w:cs="Times New Roman"/>
      <w:b/>
      <w:bCs/>
      <w:sz w:val="32"/>
      <w:szCs w:val="32"/>
    </w:rPr>
  </w:style>
  <w:style w:type="character" w:customStyle="1" w:styleId="21">
    <w:name w:val="批注文字 字符"/>
    <w:link w:val="4"/>
    <w:qFormat/>
    <w:uiPriority w:val="99"/>
    <w:rPr>
      <w:rFonts w:cs="Times New Roman"/>
      <w:kern w:val="2"/>
      <w:sz w:val="24"/>
      <w:szCs w:val="24"/>
    </w:rPr>
  </w:style>
  <w:style w:type="character" w:customStyle="1" w:styleId="22">
    <w:name w:val="批注框文本 字符"/>
    <w:link w:val="7"/>
    <w:qFormat/>
    <w:uiPriority w:val="99"/>
    <w:rPr>
      <w:rFonts w:cs="Times New Roman"/>
      <w:kern w:val="2"/>
      <w:sz w:val="18"/>
      <w:szCs w:val="18"/>
    </w:rPr>
  </w:style>
  <w:style w:type="character" w:customStyle="1" w:styleId="23">
    <w:name w:val="页脚 字符"/>
    <w:link w:val="8"/>
    <w:qFormat/>
    <w:uiPriority w:val="99"/>
    <w:rPr>
      <w:rFonts w:ascii="Calibri" w:hAnsi="Calibri" w:eastAsia="宋体" w:cs="Times New Roman"/>
      <w:kern w:val="2"/>
      <w:sz w:val="24"/>
      <w:szCs w:val="24"/>
    </w:rPr>
  </w:style>
  <w:style w:type="character" w:customStyle="1" w:styleId="24">
    <w:name w:val="页眉 字符"/>
    <w:link w:val="9"/>
    <w:qFormat/>
    <w:uiPriority w:val="99"/>
    <w:rPr>
      <w:sz w:val="18"/>
      <w:szCs w:val="18"/>
    </w:rPr>
  </w:style>
  <w:style w:type="character" w:customStyle="1" w:styleId="25">
    <w:name w:val="批注主题 字符"/>
    <w:link w:val="11"/>
    <w:qFormat/>
    <w:uiPriority w:val="99"/>
    <w:rPr>
      <w:rFonts w:cs="Times New Roman"/>
      <w:b/>
      <w:bCs/>
      <w:kern w:val="2"/>
      <w:sz w:val="24"/>
      <w:szCs w:val="24"/>
    </w:rPr>
  </w:style>
  <w:style w:type="paragraph" w:styleId="26">
    <w:name w:val="List Paragraph"/>
    <w:basedOn w:val="1"/>
    <w:qFormat/>
    <w:uiPriority w:val="99"/>
    <w:pPr>
      <w:ind w:firstLine="420" w:firstLineChars="200"/>
    </w:pPr>
    <w:rPr>
      <w:szCs w:val="22"/>
    </w:rPr>
  </w:style>
  <w:style w:type="paragraph" w:customStyle="1" w:styleId="27">
    <w:name w:val="修订1"/>
    <w:qFormat/>
    <w:uiPriority w:val="99"/>
    <w:rPr>
      <w:rFonts w:ascii="Calibri" w:hAnsi="Calibri" w:eastAsia="宋体" w:cs="Times New Roman"/>
      <w:kern w:val="2"/>
      <w:sz w:val="21"/>
      <w:szCs w:val="24"/>
      <w:lang w:val="en-US" w:eastAsia="zh-CN" w:bidi="ar-SA"/>
    </w:rPr>
  </w:style>
  <w:style w:type="character" w:customStyle="1" w:styleId="28">
    <w:name w:val="font11"/>
    <w:qFormat/>
    <w:uiPriority w:val="99"/>
    <w:rPr>
      <w:rFonts w:ascii="仿宋" w:hAnsi="仿宋" w:eastAsia="仿宋" w:cs="仿宋"/>
      <w:color w:val="000000"/>
      <w:sz w:val="21"/>
      <w:szCs w:val="21"/>
      <w:u w:val="none"/>
    </w:rPr>
  </w:style>
  <w:style w:type="character" w:customStyle="1" w:styleId="29">
    <w:name w:val="font01"/>
    <w:qFormat/>
    <w:uiPriority w:val="99"/>
    <w:rPr>
      <w:rFonts w:ascii="宋体" w:hAnsi="宋体" w:eastAsia="宋体" w:cs="宋体"/>
      <w:color w:val="000000"/>
      <w:sz w:val="21"/>
      <w:szCs w:val="21"/>
      <w:u w:val="none"/>
    </w:rPr>
  </w:style>
  <w:style w:type="character" w:customStyle="1" w:styleId="30">
    <w:name w:val="font21"/>
    <w:qFormat/>
    <w:uiPriority w:val="99"/>
    <w:rPr>
      <w:rFonts w:ascii="仿宋" w:hAnsi="仿宋" w:eastAsia="仿宋" w:cs="仿宋"/>
      <w:color w:val="000000"/>
      <w:sz w:val="21"/>
      <w:szCs w:val="21"/>
      <w:u w:val="none"/>
    </w:rPr>
  </w:style>
  <w:style w:type="character" w:customStyle="1" w:styleId="31">
    <w:name w:val="font31"/>
    <w:qFormat/>
    <w:uiPriority w:val="99"/>
    <w:rPr>
      <w:rFonts w:ascii="仿宋" w:hAnsi="仿宋" w:eastAsia="仿宋" w:cs="仿宋"/>
      <w:color w:val="000000"/>
      <w:sz w:val="22"/>
      <w:szCs w:val="22"/>
      <w:u w:val="none"/>
    </w:rPr>
  </w:style>
  <w:style w:type="character" w:customStyle="1" w:styleId="32">
    <w:name w:val="日期 字符"/>
    <w:link w:val="6"/>
    <w:qFormat/>
    <w:uiPriority w:val="0"/>
    <w:rPr>
      <w:kern w:val="2"/>
      <w:sz w:val="21"/>
      <w:szCs w:val="24"/>
    </w:rPr>
  </w:style>
  <w:style w:type="character" w:customStyle="1" w:styleId="33">
    <w:name w:val="正文文本 字符"/>
    <w:basedOn w:val="14"/>
    <w:link w:val="5"/>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1C065-61FF-4B34-A8E4-BF70CB186B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17003</Words>
  <Characters>17435</Characters>
  <Lines>129</Lines>
  <Paragraphs>36</Paragraphs>
  <TotalTime>1</TotalTime>
  <ScaleCrop>false</ScaleCrop>
  <LinksUpToDate>false</LinksUpToDate>
  <CharactersWithSpaces>17638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Administrator</dc:creator>
  <cp:lastModifiedBy>好饭友</cp:lastModifiedBy>
  <cp:lastPrinted>2020-06-16T09:04:00Z</cp:lastPrinted>
  <dcterms:modified xsi:type="dcterms:W3CDTF">2021-09-23T08:18:50Z</dcterms:modified>
  <dc:title>关于深化初中阶段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4DA846D3DE19420F83D1278A16234632</vt:lpwstr>
  </property>
</Properties>
</file>