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ascii="黑体" w:hAnsi="黑体" w:eastAsia="黑体"/>
          <w:sz w:val="32"/>
          <w:szCs w:val="20"/>
        </w:rPr>
      </w:pPr>
      <w:r>
        <w:rPr>
          <w:rFonts w:hint="eastAsia" w:ascii="黑体" w:hAnsi="黑体" w:eastAsia="黑体"/>
          <w:sz w:val="32"/>
          <w:szCs w:val="20"/>
        </w:rPr>
        <w:t>附件1</w:t>
      </w:r>
    </w:p>
    <w:p>
      <w:pPr>
        <w:pStyle w:val="4"/>
        <w:tabs>
          <w:tab w:val="center" w:pos="4139"/>
          <w:tab w:val="right" w:pos="8278"/>
        </w:tabs>
        <w:spacing w:line="360" w:lineRule="auto"/>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深圳市破产事务管理署暂行办法</w:t>
      </w:r>
    </w:p>
    <w:p>
      <w:pPr>
        <w:pStyle w:val="4"/>
        <w:spacing w:line="360" w:lineRule="auto"/>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pStyle w:val="4"/>
        <w:jc w:val="center"/>
        <w:rPr>
          <w:rFonts w:ascii="宋体" w:hAnsi="宋体" w:cs="Arial"/>
          <w:b/>
          <w:bCs/>
          <w:color w:val="333333"/>
          <w:sz w:val="32"/>
          <w:szCs w:val="32"/>
          <w:shd w:val="clear" w:color="auto" w:fill="FFFFFF"/>
        </w:rPr>
      </w:pPr>
    </w:p>
    <w:p>
      <w:pPr>
        <w:pStyle w:val="4"/>
        <w:spacing w:line="360" w:lineRule="auto"/>
        <w:jc w:val="center"/>
        <w:rPr>
          <w:rFonts w:ascii="黑体" w:hAnsi="黑体" w:eastAsia="黑体"/>
          <w:color w:val="000000"/>
          <w:sz w:val="32"/>
          <w:szCs w:val="32"/>
        </w:rPr>
      </w:pPr>
      <w:r>
        <w:rPr>
          <w:rFonts w:hint="eastAsia" w:ascii="黑体" w:hAnsi="黑体" w:eastAsia="黑体"/>
          <w:color w:val="000000"/>
          <w:sz w:val="32"/>
          <w:szCs w:val="32"/>
        </w:rPr>
        <w:t>第一章　总则</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第一条【目的】</w:t>
      </w:r>
      <w:r>
        <w:rPr>
          <w:rFonts w:hint="eastAsia" w:ascii="仿宋_GB2312" w:hAnsi="Helvetica" w:eastAsia="仿宋_GB2312" w:cs="宋体"/>
          <w:color w:val="333333"/>
          <w:kern w:val="0"/>
          <w:sz w:val="32"/>
          <w:szCs w:val="32"/>
        </w:rPr>
        <w:t>为了规范深圳市破产事务管理署（以下简称市破产管理署）的管理和运作，根据《深圳经济特区个人破产条例》（以下简称《条例》）及有关规定，制定本办法。</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第二条【机构定位】</w:t>
      </w:r>
      <w:r>
        <w:rPr>
          <w:rFonts w:hint="eastAsia" w:ascii="仿宋_GB2312" w:hAnsi="Helvetica" w:eastAsia="仿宋_GB2312" w:cs="宋体"/>
          <w:color w:val="333333"/>
          <w:kern w:val="0"/>
          <w:sz w:val="32"/>
          <w:szCs w:val="32"/>
        </w:rPr>
        <w:t>市破产管理署是依照《条例》设立并按照法定机构模式运作的事业单位，根据《条例》和本办法规定履行破产事务行政管理职能。</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第三条【举办单位】</w:t>
      </w:r>
      <w:r>
        <w:rPr>
          <w:rFonts w:hint="eastAsia" w:ascii="仿宋_GB2312" w:hAnsi="Helvetica" w:eastAsia="仿宋_GB2312" w:cs="宋体"/>
          <w:color w:val="333333"/>
          <w:kern w:val="0"/>
          <w:sz w:val="32"/>
          <w:szCs w:val="32"/>
        </w:rPr>
        <w:t>深圳市司法行政部门（以下简称市司法行政部门）按照有关规定履行市破产管理署举办单位的职责。</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第四条【履职要求】</w:t>
      </w:r>
      <w:bookmarkStart w:id="0" w:name="_Hlk100755607"/>
      <w:r>
        <w:rPr>
          <w:rFonts w:hint="eastAsia" w:ascii="仿宋_GB2312" w:hAnsi="Helvetica" w:eastAsia="仿宋_GB2312" w:cs="宋体"/>
          <w:color w:val="333333"/>
          <w:kern w:val="0"/>
          <w:sz w:val="32"/>
          <w:szCs w:val="32"/>
        </w:rPr>
        <w:t>市破产管理署应当秉承勤勉、规范、高效、廉洁、诚信的理念，建立完善职责明晰、决策科学、运作高效的工作机制，提高破产事务行政管理效能，坚持创新、市场化、与国际接轨的基本原则推进破产制度改革。</w:t>
      </w:r>
      <w:bookmarkEnd w:id="0"/>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第五条【支持与协同】</w:t>
      </w:r>
      <w:r>
        <w:rPr>
          <w:rFonts w:hint="eastAsia" w:ascii="仿宋_GB2312" w:hAnsi="Helvetica" w:eastAsia="仿宋_GB2312" w:cs="宋体"/>
          <w:color w:val="333333"/>
          <w:kern w:val="0"/>
          <w:sz w:val="32"/>
          <w:szCs w:val="32"/>
        </w:rPr>
        <w:t>市、区政府及相关部门、人民法院应当按照各自职责，支持、配合市破产管理署工作。</w:t>
      </w:r>
    </w:p>
    <w:p>
      <w:pPr>
        <w:pStyle w:val="4"/>
        <w:widowControl/>
        <w:shd w:val="clear" w:color="auto" w:fill="FFFFFF"/>
        <w:ind w:firstLine="640" w:firstLineChars="200"/>
        <w:jc w:val="left"/>
        <w:rPr>
          <w:rFonts w:hint="eastAsia" w:ascii="仿宋_GB2312" w:hAnsi="Helvetica" w:eastAsia="仿宋_GB2312" w:cs="宋体"/>
          <w:color w:val="333333"/>
          <w:kern w:val="0"/>
          <w:sz w:val="32"/>
          <w:szCs w:val="32"/>
        </w:rPr>
      </w:pPr>
    </w:p>
    <w:p>
      <w:pPr>
        <w:pStyle w:val="4"/>
        <w:spacing w:line="360" w:lineRule="auto"/>
        <w:jc w:val="center"/>
        <w:rPr>
          <w:rFonts w:ascii="黑体" w:hAnsi="黑体" w:eastAsia="黑体"/>
          <w:color w:val="000000"/>
          <w:sz w:val="32"/>
          <w:szCs w:val="32"/>
        </w:rPr>
      </w:pPr>
      <w:r>
        <w:rPr>
          <w:rFonts w:hint="eastAsia" w:ascii="黑体" w:hAnsi="黑体" w:eastAsia="黑体"/>
          <w:color w:val="000000"/>
          <w:sz w:val="32"/>
          <w:szCs w:val="32"/>
        </w:rPr>
        <w:t>第二章　职责</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第六条【职责一：个人破产】</w:t>
      </w:r>
      <w:r>
        <w:rPr>
          <w:rFonts w:hint="eastAsia" w:ascii="仿宋_GB2312" w:hAnsi="Helvetica" w:eastAsia="仿宋_GB2312" w:cs="宋体"/>
          <w:color w:val="333333"/>
          <w:kern w:val="0"/>
          <w:sz w:val="32"/>
          <w:szCs w:val="32"/>
        </w:rPr>
        <w:t>市破产管理署承担以下个人破产事务行政管理职责：</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（一）确定个人破产管理人（以下简称管理人）资质，建立管理人名册；</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（二）提出管理人人选；</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（三）管理、监督管理人履行职责；</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（四）提供破产事务咨询和援助服务；</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（五）协助调查破产欺诈和相关违法行为；</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（六）实施破产信息登记和信息公开制度；</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（七）建立完善政府各相关部门办理破产事务的协调机制；</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（八）其他与《条例》实施有关的行政管理职责。</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【职责二：企业破产等】</w:t>
      </w:r>
      <w:r>
        <w:rPr>
          <w:rFonts w:hint="eastAsia" w:ascii="仿宋_GB2312" w:hAnsi="Helvetica" w:eastAsia="仿宋_GB2312" w:cs="宋体"/>
          <w:color w:val="333333"/>
          <w:kern w:val="0"/>
          <w:sz w:val="32"/>
          <w:szCs w:val="32"/>
        </w:rPr>
        <w:t>市破产管理署承担</w:t>
      </w:r>
      <w:bookmarkStart w:id="1" w:name="_Hlk100243653"/>
      <w:r>
        <w:rPr>
          <w:rFonts w:hint="eastAsia" w:ascii="仿宋_GB2312" w:hAnsi="Helvetica" w:eastAsia="仿宋_GB2312" w:cs="宋体"/>
          <w:color w:val="333333"/>
          <w:kern w:val="0"/>
          <w:sz w:val="32"/>
          <w:szCs w:val="32"/>
        </w:rPr>
        <w:t>企业破产事务行政管理职能</w:t>
      </w:r>
      <w:bookmarkEnd w:id="1"/>
      <w:r>
        <w:rPr>
          <w:rFonts w:hint="eastAsia" w:ascii="仿宋_GB2312" w:hAnsi="Helvetica" w:eastAsia="仿宋_GB2312" w:cs="宋体"/>
          <w:color w:val="333333"/>
          <w:kern w:val="0"/>
          <w:sz w:val="32"/>
          <w:szCs w:val="32"/>
        </w:rPr>
        <w:t>等前款规定之外的其他职能的，应当由市破产管理署报市人民政府批准。</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第七条【拓展职责：公职管理人】</w:t>
      </w:r>
      <w:r>
        <w:rPr>
          <w:rFonts w:hint="eastAsia" w:ascii="仿宋_GB2312" w:hAnsi="Helvetica" w:eastAsia="仿宋_GB2312" w:cs="宋体"/>
          <w:color w:val="333333"/>
          <w:kern w:val="0"/>
          <w:sz w:val="32"/>
          <w:szCs w:val="32"/>
        </w:rPr>
        <w:t>市破产管理署可以探索建立公职管理人制度，</w:t>
      </w:r>
      <w:bookmarkStart w:id="2" w:name="_Hlk101884133"/>
      <w:r>
        <w:rPr>
          <w:rFonts w:hint="eastAsia" w:ascii="仿宋_GB2312" w:hAnsi="Helvetica" w:eastAsia="仿宋_GB2312" w:cs="宋体"/>
          <w:color w:val="333333"/>
          <w:kern w:val="0"/>
          <w:sz w:val="32"/>
          <w:szCs w:val="32"/>
        </w:rPr>
        <w:t>建立专业化的公职管理人队伍，提升破产案件办理质效并降低办理成本</w:t>
      </w:r>
      <w:bookmarkEnd w:id="2"/>
      <w:r>
        <w:rPr>
          <w:rFonts w:hint="eastAsia" w:ascii="仿宋_GB2312" w:hAnsi="Helvetica" w:eastAsia="仿宋_GB2312" w:cs="宋体"/>
          <w:color w:val="333333"/>
          <w:kern w:val="0"/>
          <w:sz w:val="32"/>
          <w:szCs w:val="32"/>
        </w:rPr>
        <w:t>。以下案件及事务可以由公职管理人履行管理人职责：</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bookmarkStart w:id="3" w:name="_Hlk101884197"/>
      <w:r>
        <w:rPr>
          <w:rFonts w:hint="eastAsia" w:ascii="仿宋_GB2312" w:hAnsi="Helvetica" w:eastAsia="仿宋_GB2312" w:cs="宋体"/>
          <w:color w:val="333333"/>
          <w:kern w:val="0"/>
          <w:sz w:val="32"/>
          <w:szCs w:val="32"/>
        </w:rPr>
        <w:t>（一）人民法院委托市破产管理署组织和解但未指定管理人的；</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（二）债务人和全体债权人在庭外自行委托市破产管理署组织和解的；</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（三）其他需要任用公职管理人的情形。</w:t>
      </w:r>
    </w:p>
    <w:bookmarkEnd w:id="3"/>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公职管理人资质条件、履行管理人职责的案件及事务范围、名册编制、薪酬</w:t>
      </w:r>
      <w:r>
        <w:rPr>
          <w:rFonts w:ascii="仿宋_GB2312" w:hAnsi="Helvetica" w:eastAsia="仿宋_GB2312" w:cs="宋体"/>
          <w:color w:val="333333"/>
          <w:kern w:val="0"/>
          <w:sz w:val="32"/>
          <w:szCs w:val="32"/>
        </w:rPr>
        <w:t>保障</w:t>
      </w:r>
      <w:r>
        <w:rPr>
          <w:rFonts w:hint="eastAsia" w:ascii="仿宋_GB2312" w:hAnsi="Helvetica" w:eastAsia="仿宋_GB2312" w:cs="宋体"/>
          <w:color w:val="333333"/>
          <w:kern w:val="0"/>
          <w:sz w:val="32"/>
          <w:szCs w:val="32"/>
        </w:rPr>
        <w:t>以及规范公职管理人履行职责的具体办法由市破产管理署另行制定，</w:t>
      </w:r>
      <w:r>
        <w:rPr>
          <w:rFonts w:ascii="仿宋_GB2312" w:hAnsi="Helvetica" w:eastAsia="仿宋_GB2312" w:cs="宋体"/>
          <w:color w:val="333333"/>
          <w:kern w:val="0"/>
          <w:sz w:val="32"/>
          <w:szCs w:val="32"/>
        </w:rPr>
        <w:t>报市人民政府批准后</w:t>
      </w:r>
      <w:r>
        <w:rPr>
          <w:rFonts w:hint="eastAsia" w:ascii="仿宋_GB2312" w:hAnsi="Helvetica" w:eastAsia="仿宋_GB2312" w:cs="宋体"/>
          <w:color w:val="333333"/>
          <w:kern w:val="0"/>
          <w:sz w:val="32"/>
          <w:szCs w:val="32"/>
        </w:rPr>
        <w:t>实施。</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鼓励市破产管理署符合条件的工作人员申请编入公职管理人名册。</w:t>
      </w:r>
    </w:p>
    <w:p>
      <w:pPr>
        <w:pStyle w:val="4"/>
        <w:spacing w:line="360" w:lineRule="auto"/>
        <w:jc w:val="center"/>
        <w:rPr>
          <w:rFonts w:ascii="黑体" w:hAnsi="黑体" w:eastAsia="黑体"/>
          <w:color w:val="000000"/>
          <w:sz w:val="32"/>
          <w:szCs w:val="32"/>
        </w:rPr>
      </w:pPr>
      <w:r>
        <w:rPr>
          <w:rFonts w:hint="eastAsia" w:ascii="黑体" w:hAnsi="黑体" w:eastAsia="黑体"/>
          <w:color w:val="000000"/>
          <w:sz w:val="32"/>
          <w:szCs w:val="32"/>
        </w:rPr>
        <w:t>第三章　治理结构</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第八条【管委会】</w:t>
      </w:r>
      <w:r>
        <w:rPr>
          <w:rFonts w:hint="eastAsia" w:ascii="仿宋_GB2312" w:hAnsi="Helvetica" w:eastAsia="仿宋_GB2312" w:cs="宋体"/>
          <w:color w:val="333333"/>
          <w:kern w:val="0"/>
          <w:sz w:val="32"/>
          <w:szCs w:val="32"/>
        </w:rPr>
        <w:t>市破产管理署建</w:t>
      </w:r>
      <w:r>
        <w:rPr>
          <w:rFonts w:ascii="仿宋_GB2312" w:hAnsi="Helvetica" w:eastAsia="仿宋_GB2312" w:cs="宋体"/>
          <w:color w:val="333333"/>
          <w:kern w:val="0"/>
          <w:sz w:val="32"/>
          <w:szCs w:val="32"/>
        </w:rPr>
        <w:t>立</w:t>
      </w:r>
      <w:r>
        <w:rPr>
          <w:rFonts w:hint="eastAsia" w:ascii="仿宋_GB2312" w:hAnsi="Helvetica" w:eastAsia="仿宋_GB2312" w:cs="宋体"/>
          <w:color w:val="333333"/>
          <w:kern w:val="0"/>
          <w:sz w:val="32"/>
          <w:szCs w:val="32"/>
        </w:rPr>
        <w:t>管理委员会（以下简称管委会）为核心的法人治理结构</w:t>
      </w:r>
      <w:r>
        <w:rPr>
          <w:rFonts w:ascii="仿宋_GB2312" w:hAnsi="Helvetica" w:eastAsia="仿宋_GB2312" w:cs="宋体"/>
          <w:color w:val="333333"/>
          <w:kern w:val="0"/>
          <w:sz w:val="32"/>
          <w:szCs w:val="32"/>
        </w:rPr>
        <w:t>，</w:t>
      </w:r>
      <w:r>
        <w:rPr>
          <w:rFonts w:hint="eastAsia" w:ascii="仿宋_GB2312" w:hAnsi="Helvetica" w:eastAsia="仿宋_GB2312" w:cs="宋体"/>
          <w:color w:val="333333"/>
          <w:kern w:val="0"/>
          <w:sz w:val="32"/>
          <w:szCs w:val="32"/>
        </w:rPr>
        <w:t>实行决策、执行、监督有效制衡的治理机制</w:t>
      </w:r>
      <w:r>
        <w:rPr>
          <w:rFonts w:ascii="仿宋_GB2312" w:hAnsi="Helvetica" w:eastAsia="仿宋_GB2312" w:cs="宋体"/>
          <w:color w:val="333333"/>
          <w:kern w:val="0"/>
          <w:sz w:val="32"/>
          <w:szCs w:val="32"/>
        </w:rPr>
        <w:t>。</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第九条【管委会职责】</w:t>
      </w:r>
      <w:r>
        <w:rPr>
          <w:rFonts w:ascii="仿宋_GB2312" w:hAnsi="Helvetica" w:eastAsia="仿宋_GB2312" w:cs="宋体"/>
          <w:color w:val="333333"/>
          <w:kern w:val="0"/>
          <w:sz w:val="32"/>
          <w:szCs w:val="32"/>
        </w:rPr>
        <w:t>管委会</w:t>
      </w:r>
      <w:r>
        <w:rPr>
          <w:rFonts w:hint="eastAsia" w:ascii="仿宋_GB2312" w:hAnsi="Helvetica" w:eastAsia="仿宋_GB2312" w:cs="宋体"/>
          <w:color w:val="333333"/>
          <w:kern w:val="0"/>
          <w:sz w:val="32"/>
          <w:szCs w:val="32"/>
        </w:rPr>
        <w:t>是市破产管理署的决策机构，</w:t>
      </w:r>
      <w:r>
        <w:rPr>
          <w:rFonts w:ascii="仿宋_GB2312" w:hAnsi="Helvetica" w:eastAsia="仿宋_GB2312" w:cs="宋体"/>
          <w:color w:val="333333"/>
          <w:kern w:val="0"/>
          <w:sz w:val="32"/>
          <w:szCs w:val="32"/>
        </w:rPr>
        <w:t>履行下列职责：</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ascii="仿宋_GB2312" w:hAnsi="Helvetica" w:eastAsia="仿宋_GB2312" w:cs="宋体"/>
          <w:color w:val="333333"/>
          <w:kern w:val="0"/>
          <w:sz w:val="32"/>
          <w:szCs w:val="32"/>
        </w:rPr>
        <w:t>（一）审定和修改</w:t>
      </w:r>
      <w:r>
        <w:rPr>
          <w:rFonts w:hint="eastAsia" w:ascii="仿宋_GB2312" w:hAnsi="Helvetica" w:eastAsia="仿宋_GB2312" w:cs="宋体"/>
          <w:color w:val="333333"/>
          <w:kern w:val="0"/>
          <w:sz w:val="32"/>
          <w:szCs w:val="32"/>
        </w:rPr>
        <w:t>市破产管理署</w:t>
      </w:r>
      <w:r>
        <w:rPr>
          <w:rFonts w:ascii="仿宋_GB2312" w:hAnsi="Helvetica" w:eastAsia="仿宋_GB2312" w:cs="宋体"/>
          <w:color w:val="333333"/>
          <w:kern w:val="0"/>
          <w:sz w:val="32"/>
          <w:szCs w:val="32"/>
        </w:rPr>
        <w:t>章程、管委会议事规则以及</w:t>
      </w:r>
      <w:r>
        <w:rPr>
          <w:rFonts w:hint="eastAsia" w:ascii="仿宋_GB2312" w:hAnsi="Helvetica" w:eastAsia="仿宋_GB2312" w:cs="宋体"/>
          <w:color w:val="333333"/>
          <w:kern w:val="0"/>
          <w:sz w:val="32"/>
          <w:szCs w:val="32"/>
        </w:rPr>
        <w:t>有关破产事务的处理</w:t>
      </w:r>
      <w:r>
        <w:rPr>
          <w:rFonts w:ascii="仿宋_GB2312" w:hAnsi="Helvetica" w:eastAsia="仿宋_GB2312" w:cs="宋体"/>
          <w:color w:val="333333"/>
          <w:kern w:val="0"/>
          <w:sz w:val="32"/>
          <w:szCs w:val="32"/>
        </w:rPr>
        <w:t>规则；</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ascii="仿宋_GB2312" w:hAnsi="Helvetica" w:eastAsia="仿宋_GB2312" w:cs="宋体"/>
          <w:color w:val="333333"/>
          <w:kern w:val="0"/>
          <w:sz w:val="32"/>
          <w:szCs w:val="32"/>
        </w:rPr>
        <w:t>（二）</w:t>
      </w:r>
      <w:r>
        <w:rPr>
          <w:rFonts w:hint="eastAsia" w:ascii="仿宋_GB2312" w:hAnsi="Helvetica" w:eastAsia="仿宋_GB2312" w:cs="宋体"/>
          <w:color w:val="333333"/>
          <w:kern w:val="0"/>
          <w:sz w:val="32"/>
          <w:szCs w:val="32"/>
        </w:rPr>
        <w:t>审定市破产管理署发展战略和发展规划；</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（三）</w:t>
      </w:r>
      <w:r>
        <w:rPr>
          <w:rFonts w:ascii="仿宋_GB2312" w:hAnsi="Helvetica" w:eastAsia="仿宋_GB2312" w:cs="宋体"/>
          <w:color w:val="333333"/>
          <w:kern w:val="0"/>
          <w:sz w:val="32"/>
          <w:szCs w:val="32"/>
        </w:rPr>
        <w:t>审定</w:t>
      </w:r>
      <w:r>
        <w:rPr>
          <w:rFonts w:hint="eastAsia" w:ascii="仿宋_GB2312" w:hAnsi="Helvetica" w:eastAsia="仿宋_GB2312" w:cs="宋体"/>
          <w:color w:val="333333"/>
          <w:kern w:val="0"/>
          <w:sz w:val="32"/>
          <w:szCs w:val="32"/>
        </w:rPr>
        <w:t>市破产管理署</w:t>
      </w:r>
      <w:r>
        <w:rPr>
          <w:rFonts w:ascii="仿宋_GB2312" w:hAnsi="Helvetica" w:eastAsia="仿宋_GB2312" w:cs="宋体"/>
          <w:color w:val="333333"/>
          <w:kern w:val="0"/>
          <w:sz w:val="32"/>
          <w:szCs w:val="32"/>
        </w:rPr>
        <w:t>年度工作报告和财务预算、决算报告；</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ascii="仿宋_GB2312" w:hAnsi="Helvetica" w:eastAsia="仿宋_GB2312" w:cs="宋体"/>
          <w:color w:val="333333"/>
          <w:kern w:val="0"/>
          <w:sz w:val="32"/>
          <w:szCs w:val="32"/>
        </w:rPr>
        <w:t>（</w:t>
      </w:r>
      <w:r>
        <w:rPr>
          <w:rFonts w:hint="eastAsia" w:ascii="仿宋_GB2312" w:hAnsi="Helvetica" w:eastAsia="仿宋_GB2312" w:cs="宋体"/>
          <w:color w:val="333333"/>
          <w:kern w:val="0"/>
          <w:sz w:val="32"/>
          <w:szCs w:val="32"/>
        </w:rPr>
        <w:t>四</w:t>
      </w:r>
      <w:r>
        <w:rPr>
          <w:rFonts w:ascii="仿宋_GB2312" w:hAnsi="Helvetica" w:eastAsia="仿宋_GB2312" w:cs="宋体"/>
          <w:color w:val="333333"/>
          <w:kern w:val="0"/>
          <w:sz w:val="32"/>
          <w:szCs w:val="32"/>
        </w:rPr>
        <w:t>）审定</w:t>
      </w:r>
      <w:r>
        <w:rPr>
          <w:rFonts w:hint="eastAsia" w:ascii="仿宋_GB2312" w:hAnsi="Helvetica" w:eastAsia="仿宋_GB2312" w:cs="宋体"/>
          <w:color w:val="333333"/>
          <w:kern w:val="0"/>
          <w:sz w:val="32"/>
          <w:szCs w:val="32"/>
        </w:rPr>
        <w:t>市破产管理署</w:t>
      </w:r>
      <w:r>
        <w:rPr>
          <w:rFonts w:ascii="仿宋_GB2312" w:hAnsi="Helvetica" w:eastAsia="仿宋_GB2312" w:cs="宋体"/>
          <w:color w:val="333333"/>
          <w:kern w:val="0"/>
          <w:sz w:val="32"/>
          <w:szCs w:val="32"/>
        </w:rPr>
        <w:t>内设机构的设置和变更方案以及人员规模；</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（五）审定市破产管理署</w:t>
      </w:r>
      <w:r>
        <w:rPr>
          <w:rFonts w:ascii="仿宋_GB2312" w:hAnsi="Helvetica" w:eastAsia="仿宋_GB2312" w:cs="宋体"/>
          <w:color w:val="333333"/>
          <w:kern w:val="0"/>
          <w:sz w:val="32"/>
          <w:szCs w:val="32"/>
        </w:rPr>
        <w:t>工作人员聘用管理和薪酬制度等重要规章制度；</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ascii="仿宋_GB2312" w:hAnsi="Helvetica" w:eastAsia="仿宋_GB2312" w:cs="宋体"/>
          <w:color w:val="333333"/>
          <w:kern w:val="0"/>
          <w:sz w:val="32"/>
          <w:szCs w:val="32"/>
        </w:rPr>
        <w:t>（六）</w:t>
      </w:r>
      <w:r>
        <w:rPr>
          <w:rFonts w:hint="eastAsia" w:ascii="仿宋_GB2312" w:hAnsi="Helvetica" w:eastAsia="仿宋_GB2312" w:cs="宋体"/>
          <w:color w:val="333333"/>
          <w:kern w:val="0"/>
          <w:sz w:val="32"/>
          <w:szCs w:val="32"/>
        </w:rPr>
        <w:t>市破产管理署</w:t>
      </w:r>
      <w:r>
        <w:rPr>
          <w:rFonts w:ascii="仿宋_GB2312" w:hAnsi="Helvetica" w:eastAsia="仿宋_GB2312" w:cs="宋体"/>
          <w:color w:val="333333"/>
          <w:kern w:val="0"/>
          <w:sz w:val="32"/>
          <w:szCs w:val="32"/>
        </w:rPr>
        <w:t>章程规定的其他职责。</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第十条【管委会结构】</w:t>
      </w:r>
      <w:r>
        <w:rPr>
          <w:rFonts w:ascii="仿宋_GB2312" w:hAnsi="Helvetica" w:eastAsia="仿宋_GB2312" w:cs="宋体"/>
          <w:color w:val="333333"/>
          <w:kern w:val="0"/>
          <w:sz w:val="32"/>
          <w:szCs w:val="32"/>
        </w:rPr>
        <w:t>管委会由</w:t>
      </w:r>
      <w:r>
        <w:rPr>
          <w:rFonts w:hint="eastAsia" w:ascii="仿宋_GB2312" w:hAnsi="Helvetica" w:eastAsia="仿宋_GB2312" w:cs="宋体"/>
          <w:color w:val="333333"/>
          <w:kern w:val="0"/>
          <w:sz w:val="32"/>
          <w:szCs w:val="32"/>
        </w:rPr>
        <w:t>七</w:t>
      </w:r>
      <w:r>
        <w:rPr>
          <w:rFonts w:ascii="仿宋_GB2312" w:hAnsi="Helvetica" w:eastAsia="仿宋_GB2312" w:cs="宋体"/>
          <w:color w:val="333333"/>
          <w:kern w:val="0"/>
          <w:sz w:val="32"/>
          <w:szCs w:val="32"/>
        </w:rPr>
        <w:t>至</w:t>
      </w:r>
      <w:r>
        <w:rPr>
          <w:rFonts w:hint="eastAsia" w:ascii="仿宋_GB2312" w:hAnsi="Helvetica" w:eastAsia="仿宋_GB2312" w:cs="宋体"/>
          <w:color w:val="333333"/>
          <w:kern w:val="0"/>
          <w:sz w:val="32"/>
          <w:szCs w:val="32"/>
        </w:rPr>
        <w:t>九</w:t>
      </w:r>
      <w:r>
        <w:rPr>
          <w:rFonts w:ascii="仿宋_GB2312" w:hAnsi="Helvetica" w:eastAsia="仿宋_GB2312" w:cs="宋体"/>
          <w:color w:val="333333"/>
          <w:kern w:val="0"/>
          <w:sz w:val="32"/>
          <w:szCs w:val="32"/>
        </w:rPr>
        <w:t>名委员组成。管委会设</w:t>
      </w:r>
      <w:r>
        <w:rPr>
          <w:rFonts w:hint="eastAsia" w:ascii="仿宋_GB2312" w:hAnsi="Helvetica" w:eastAsia="仿宋_GB2312" w:cs="宋体"/>
          <w:color w:val="333333"/>
          <w:kern w:val="0"/>
          <w:sz w:val="32"/>
          <w:szCs w:val="32"/>
        </w:rPr>
        <w:t>主任委员</w:t>
      </w:r>
      <w:r>
        <w:rPr>
          <w:rFonts w:ascii="仿宋_GB2312" w:hAnsi="Helvetica" w:eastAsia="仿宋_GB2312" w:cs="宋体"/>
          <w:color w:val="333333"/>
          <w:kern w:val="0"/>
          <w:sz w:val="32"/>
          <w:szCs w:val="32"/>
        </w:rPr>
        <w:t>一名，副</w:t>
      </w:r>
      <w:r>
        <w:rPr>
          <w:rFonts w:hint="eastAsia" w:ascii="仿宋_GB2312" w:hAnsi="Helvetica" w:eastAsia="仿宋_GB2312" w:cs="宋体"/>
          <w:color w:val="333333"/>
          <w:kern w:val="0"/>
          <w:sz w:val="32"/>
          <w:szCs w:val="32"/>
        </w:rPr>
        <w:t>主任</w:t>
      </w:r>
      <w:r>
        <w:rPr>
          <w:rFonts w:ascii="仿宋_GB2312" w:hAnsi="Helvetica" w:eastAsia="仿宋_GB2312" w:cs="宋体"/>
          <w:color w:val="333333"/>
          <w:kern w:val="0"/>
          <w:sz w:val="32"/>
          <w:szCs w:val="32"/>
        </w:rPr>
        <w:t>委员</w:t>
      </w:r>
      <w:r>
        <w:rPr>
          <w:rFonts w:hint="eastAsia" w:ascii="仿宋_GB2312" w:hAnsi="Helvetica" w:eastAsia="仿宋_GB2312" w:cs="宋体"/>
          <w:color w:val="333333"/>
          <w:kern w:val="0"/>
          <w:sz w:val="32"/>
          <w:szCs w:val="32"/>
        </w:rPr>
        <w:t>一至二</w:t>
      </w:r>
      <w:r>
        <w:rPr>
          <w:rFonts w:ascii="仿宋_GB2312" w:hAnsi="Helvetica" w:eastAsia="仿宋_GB2312" w:cs="宋体"/>
          <w:color w:val="333333"/>
          <w:kern w:val="0"/>
          <w:sz w:val="32"/>
          <w:szCs w:val="32"/>
        </w:rPr>
        <w:t>名。</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管委会由市司法行政部门代表、市破产管理署代表以及熟悉破产制度的人大代表、政协委员、破产法专家学者在内的人士组成，必要时可以聘任境外破产管理机构代表担任委员。其中，非公职人员委员不少于三分之一。管委会主任委员由市司法行政部门代表担任。</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主任委员</w:t>
      </w:r>
      <w:r>
        <w:rPr>
          <w:rFonts w:ascii="仿宋_GB2312" w:hAnsi="Helvetica" w:eastAsia="仿宋_GB2312" w:cs="宋体"/>
          <w:color w:val="333333"/>
          <w:kern w:val="0"/>
          <w:sz w:val="32"/>
          <w:szCs w:val="32"/>
        </w:rPr>
        <w:t>、副</w:t>
      </w:r>
      <w:r>
        <w:rPr>
          <w:rFonts w:hint="eastAsia" w:ascii="仿宋_GB2312" w:hAnsi="Helvetica" w:eastAsia="仿宋_GB2312" w:cs="宋体"/>
          <w:color w:val="333333"/>
          <w:kern w:val="0"/>
          <w:sz w:val="32"/>
          <w:szCs w:val="32"/>
        </w:rPr>
        <w:t>主任委员</w:t>
      </w:r>
      <w:r>
        <w:rPr>
          <w:rFonts w:ascii="仿宋_GB2312" w:hAnsi="Helvetica" w:eastAsia="仿宋_GB2312" w:cs="宋体"/>
          <w:color w:val="333333"/>
          <w:kern w:val="0"/>
          <w:sz w:val="32"/>
          <w:szCs w:val="32"/>
        </w:rPr>
        <w:t>、</w:t>
      </w:r>
      <w:r>
        <w:rPr>
          <w:rFonts w:hint="eastAsia" w:ascii="仿宋_GB2312" w:hAnsi="Helvetica" w:eastAsia="仿宋_GB2312" w:cs="宋体"/>
          <w:color w:val="333333"/>
          <w:kern w:val="0"/>
          <w:sz w:val="32"/>
          <w:szCs w:val="32"/>
        </w:rPr>
        <w:t>委员</w:t>
      </w:r>
      <w:r>
        <w:rPr>
          <w:rFonts w:ascii="仿宋_GB2312" w:hAnsi="Helvetica" w:eastAsia="仿宋_GB2312" w:cs="宋体"/>
          <w:color w:val="333333"/>
          <w:kern w:val="0"/>
          <w:sz w:val="32"/>
          <w:szCs w:val="32"/>
        </w:rPr>
        <w:t>由市</w:t>
      </w:r>
      <w:r>
        <w:rPr>
          <w:rFonts w:hint="eastAsia" w:ascii="仿宋_GB2312" w:hAnsi="Helvetica" w:eastAsia="仿宋_GB2312" w:cs="宋体"/>
          <w:color w:val="333333"/>
          <w:kern w:val="0"/>
          <w:sz w:val="32"/>
          <w:szCs w:val="32"/>
        </w:rPr>
        <w:t>司法行政部门</w:t>
      </w:r>
      <w:r>
        <w:rPr>
          <w:rFonts w:ascii="仿宋_GB2312" w:hAnsi="Helvetica" w:eastAsia="仿宋_GB2312" w:cs="宋体"/>
          <w:color w:val="333333"/>
          <w:kern w:val="0"/>
          <w:sz w:val="32"/>
          <w:szCs w:val="32"/>
        </w:rPr>
        <w:t>聘任。管委会每届任期</w:t>
      </w:r>
      <w:r>
        <w:rPr>
          <w:rFonts w:hint="eastAsia" w:ascii="仿宋_GB2312" w:hAnsi="Helvetica" w:eastAsia="仿宋_GB2312" w:cs="宋体"/>
          <w:color w:val="333333"/>
          <w:kern w:val="0"/>
          <w:sz w:val="32"/>
          <w:szCs w:val="32"/>
        </w:rPr>
        <w:t>五年</w:t>
      </w:r>
      <w:r>
        <w:rPr>
          <w:rFonts w:ascii="仿宋_GB2312" w:hAnsi="Helvetica" w:eastAsia="仿宋_GB2312" w:cs="宋体"/>
          <w:color w:val="333333"/>
          <w:kern w:val="0"/>
          <w:sz w:val="32"/>
          <w:szCs w:val="32"/>
        </w:rPr>
        <w:t>，管委会成员期满可以连任。</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第十一条【解聘情形】</w:t>
      </w:r>
      <w:r>
        <w:rPr>
          <w:rFonts w:hint="eastAsia" w:ascii="仿宋_GB2312" w:hAnsi="Helvetica" w:eastAsia="仿宋_GB2312" w:cs="宋体"/>
          <w:color w:val="333333"/>
          <w:kern w:val="0"/>
          <w:sz w:val="32"/>
          <w:szCs w:val="32"/>
        </w:rPr>
        <w:t>管委会委员有下列情形之一的，由市司法行政部门解聘：</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（一）自愿辞去职务的；</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（二）因健康原因不能继续履行职务的；</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（三）被司法机关认定构成犯罪的；</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（四）被所在单位开除职务的；</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（五）无故缺席管委会会议两次的；</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（六）利用委员身份，为本人或者他人牟取不当利益的；</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（七）其他不能或者不适宜继续担任委员的情形。</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第十二条【主任委员职责】</w:t>
      </w:r>
      <w:r>
        <w:rPr>
          <w:rFonts w:hint="eastAsia" w:ascii="仿宋_GB2312" w:hAnsi="Helvetica" w:eastAsia="仿宋_GB2312" w:cs="宋体"/>
          <w:color w:val="333333"/>
          <w:kern w:val="0"/>
          <w:sz w:val="32"/>
          <w:szCs w:val="32"/>
        </w:rPr>
        <w:t>主任委员</w:t>
      </w:r>
      <w:r>
        <w:rPr>
          <w:rFonts w:ascii="仿宋_GB2312" w:hAnsi="Helvetica" w:eastAsia="仿宋_GB2312" w:cs="宋体"/>
          <w:color w:val="333333"/>
          <w:kern w:val="0"/>
          <w:sz w:val="32"/>
          <w:szCs w:val="32"/>
        </w:rPr>
        <w:t>履行下列职责：</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ascii="仿宋_GB2312" w:hAnsi="Helvetica" w:eastAsia="仿宋_GB2312" w:cs="宋体"/>
          <w:color w:val="333333"/>
          <w:kern w:val="0"/>
          <w:sz w:val="32"/>
          <w:szCs w:val="32"/>
        </w:rPr>
        <w:t>（一）召集和主持管委会会议；</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ascii="仿宋_GB2312" w:hAnsi="Helvetica" w:eastAsia="仿宋_GB2312" w:cs="宋体"/>
          <w:color w:val="333333"/>
          <w:kern w:val="0"/>
          <w:sz w:val="32"/>
          <w:szCs w:val="32"/>
        </w:rPr>
        <w:t>（二）检查管委会决议的执行情况；</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ascii="仿宋_GB2312" w:hAnsi="Helvetica" w:eastAsia="仿宋_GB2312" w:cs="宋体"/>
          <w:color w:val="333333"/>
          <w:kern w:val="0"/>
          <w:sz w:val="32"/>
          <w:szCs w:val="32"/>
        </w:rPr>
        <w:t>（三）</w:t>
      </w:r>
      <w:r>
        <w:rPr>
          <w:rFonts w:hint="eastAsia" w:ascii="仿宋_GB2312" w:hAnsi="Helvetica" w:eastAsia="仿宋_GB2312" w:cs="宋体"/>
          <w:color w:val="333333"/>
          <w:kern w:val="0"/>
          <w:sz w:val="32"/>
          <w:szCs w:val="32"/>
        </w:rPr>
        <w:t>组织拟订管委会运作的各项制度；</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（四）其他应当由主任委员履行的职责</w:t>
      </w:r>
      <w:r>
        <w:rPr>
          <w:rFonts w:ascii="仿宋_GB2312" w:hAnsi="Helvetica" w:eastAsia="仿宋_GB2312" w:cs="宋体"/>
          <w:color w:val="333333"/>
          <w:kern w:val="0"/>
          <w:sz w:val="32"/>
          <w:szCs w:val="32"/>
        </w:rPr>
        <w:t>。</w:t>
      </w:r>
    </w:p>
    <w:p>
      <w:pPr>
        <w:pStyle w:val="4"/>
        <w:widowControl/>
        <w:shd w:val="clear" w:color="auto" w:fill="FFFFFF"/>
        <w:ind w:firstLine="640" w:firstLineChars="200"/>
        <w:jc w:val="left"/>
        <w:rPr>
          <w:rFonts w:hint="eastAsia"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主任委员不能召集和主持管委会会议的，由其指定的副主任委员代为召集和主持。</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ascii="仿宋_GB2312" w:hAnsi="Helvetica" w:eastAsia="仿宋_GB2312" w:cs="宋体"/>
          <w:b/>
          <w:bCs/>
          <w:color w:val="333333"/>
          <w:kern w:val="0"/>
          <w:sz w:val="32"/>
          <w:szCs w:val="32"/>
        </w:rPr>
        <w:t>第十</w:t>
      </w:r>
      <w:r>
        <w:rPr>
          <w:rFonts w:hint="eastAsia" w:ascii="仿宋_GB2312" w:hAnsi="Helvetica" w:eastAsia="仿宋_GB2312" w:cs="宋体"/>
          <w:b/>
          <w:bCs/>
          <w:color w:val="333333"/>
          <w:kern w:val="0"/>
          <w:sz w:val="32"/>
          <w:szCs w:val="32"/>
        </w:rPr>
        <w:t>三</w:t>
      </w:r>
      <w:r>
        <w:rPr>
          <w:rFonts w:ascii="仿宋_GB2312" w:hAnsi="Helvetica" w:eastAsia="仿宋_GB2312" w:cs="宋体"/>
          <w:b/>
          <w:bCs/>
          <w:color w:val="333333"/>
          <w:kern w:val="0"/>
          <w:sz w:val="32"/>
          <w:szCs w:val="32"/>
        </w:rPr>
        <w:t>条</w:t>
      </w:r>
      <w:r>
        <w:rPr>
          <w:rFonts w:hint="eastAsia" w:ascii="仿宋_GB2312" w:hAnsi="Helvetica" w:eastAsia="仿宋_GB2312" w:cs="宋体"/>
          <w:b/>
          <w:bCs/>
          <w:color w:val="333333"/>
          <w:kern w:val="0"/>
          <w:sz w:val="32"/>
          <w:szCs w:val="32"/>
        </w:rPr>
        <w:t>【会议召开】</w:t>
      </w:r>
      <w:r>
        <w:rPr>
          <w:rFonts w:ascii="仿宋_GB2312" w:hAnsi="Helvetica" w:eastAsia="仿宋_GB2312" w:cs="宋体"/>
          <w:color w:val="333333"/>
          <w:kern w:val="0"/>
          <w:sz w:val="32"/>
          <w:szCs w:val="32"/>
        </w:rPr>
        <w:t>管委会会议至少每半年举行一次，由</w:t>
      </w:r>
      <w:r>
        <w:rPr>
          <w:rFonts w:hint="eastAsia" w:ascii="仿宋_GB2312" w:hAnsi="Helvetica" w:eastAsia="仿宋_GB2312" w:cs="宋体"/>
          <w:color w:val="333333"/>
          <w:kern w:val="0"/>
          <w:sz w:val="32"/>
          <w:szCs w:val="32"/>
        </w:rPr>
        <w:t>主任委员</w:t>
      </w:r>
      <w:r>
        <w:rPr>
          <w:rFonts w:ascii="仿宋_GB2312" w:hAnsi="Helvetica" w:eastAsia="仿宋_GB2312" w:cs="宋体"/>
          <w:color w:val="333333"/>
          <w:kern w:val="0"/>
          <w:sz w:val="32"/>
          <w:szCs w:val="32"/>
        </w:rPr>
        <w:t>根据工作需要或者三名以上委员的书面提议召集。</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ascii="仿宋_GB2312" w:hAnsi="Helvetica" w:eastAsia="仿宋_GB2312" w:cs="宋体"/>
          <w:color w:val="333333"/>
          <w:kern w:val="0"/>
          <w:sz w:val="32"/>
          <w:szCs w:val="32"/>
        </w:rPr>
        <w:t>管委会会议应当有全体委员的三分之二以上出席方可举行。管委会表决有关事项，采用</w:t>
      </w:r>
      <w:r>
        <w:rPr>
          <w:rFonts w:hint="eastAsia" w:ascii="仿宋_GB2312" w:hAnsi="Helvetica" w:eastAsia="仿宋_GB2312" w:cs="宋体"/>
          <w:color w:val="333333"/>
          <w:kern w:val="0"/>
          <w:sz w:val="32"/>
          <w:szCs w:val="32"/>
        </w:rPr>
        <w:t>投票表决</w:t>
      </w:r>
      <w:r>
        <w:rPr>
          <w:rFonts w:ascii="仿宋_GB2312" w:hAnsi="Helvetica" w:eastAsia="仿宋_GB2312" w:cs="宋体"/>
          <w:color w:val="333333"/>
          <w:kern w:val="0"/>
          <w:sz w:val="32"/>
          <w:szCs w:val="32"/>
        </w:rPr>
        <w:t>方式，经出席会议委员的三分之二以上的多数通过；修订</w:t>
      </w:r>
      <w:r>
        <w:rPr>
          <w:rFonts w:hint="eastAsia" w:ascii="仿宋_GB2312" w:hAnsi="Helvetica" w:eastAsia="仿宋_GB2312" w:cs="宋体"/>
          <w:color w:val="333333"/>
          <w:kern w:val="0"/>
          <w:sz w:val="32"/>
          <w:szCs w:val="32"/>
        </w:rPr>
        <w:t>市破产管理署</w:t>
      </w:r>
      <w:r>
        <w:rPr>
          <w:rFonts w:ascii="仿宋_GB2312" w:hAnsi="Helvetica" w:eastAsia="仿宋_GB2312" w:cs="宋体"/>
          <w:color w:val="333333"/>
          <w:kern w:val="0"/>
          <w:sz w:val="32"/>
          <w:szCs w:val="32"/>
        </w:rPr>
        <w:t>章程</w:t>
      </w:r>
      <w:r>
        <w:rPr>
          <w:rFonts w:hint="eastAsia" w:ascii="仿宋_GB2312" w:hAnsi="Helvetica" w:eastAsia="仿宋_GB2312" w:cs="宋体"/>
          <w:color w:val="333333"/>
          <w:kern w:val="0"/>
          <w:sz w:val="32"/>
          <w:szCs w:val="32"/>
        </w:rPr>
        <w:t>的，应当</w:t>
      </w:r>
      <w:r>
        <w:rPr>
          <w:rFonts w:ascii="仿宋_GB2312" w:hAnsi="Helvetica" w:eastAsia="仿宋_GB2312" w:cs="宋体"/>
          <w:color w:val="333333"/>
          <w:kern w:val="0"/>
          <w:sz w:val="32"/>
          <w:szCs w:val="32"/>
        </w:rPr>
        <w:t>经全体委员四分之三以上的多数通过。</w:t>
      </w:r>
    </w:p>
    <w:p>
      <w:pPr>
        <w:pStyle w:val="4"/>
        <w:widowControl/>
        <w:shd w:val="clear" w:color="auto" w:fill="FFFFFF"/>
        <w:ind w:firstLine="640" w:firstLineChars="200"/>
        <w:jc w:val="left"/>
        <w:rPr>
          <w:rFonts w:hint="eastAsia"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管委会决议应当报市司法行政部门备案。</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第十四条【执行机构】</w:t>
      </w:r>
      <w:r>
        <w:rPr>
          <w:rFonts w:hint="eastAsia" w:ascii="仿宋_GB2312" w:hAnsi="Helvetica" w:eastAsia="仿宋_GB2312" w:cs="宋体"/>
          <w:color w:val="333333"/>
          <w:kern w:val="0"/>
          <w:sz w:val="32"/>
          <w:szCs w:val="32"/>
        </w:rPr>
        <w:t>市破产管理署的执行机构由署长、副署长组成。</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市破产管理署设署长一名，副署长两名。正、副署长任期为五年，按照管理权限和程序任命。</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市破产管理署实行署长负责制。署长为市破产管理署的法定代表人，负责市破产管理署的日常管理工作，对管委会负责，接受管委会监督。副署长协助署长开展相关工作。</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执行机构履行以下职责：</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（一）</w:t>
      </w:r>
      <w:r>
        <w:rPr>
          <w:rFonts w:hint="eastAsia" w:ascii="仿宋_GB2312" w:hAnsi="仿宋_GB2312" w:eastAsia="仿宋_GB2312" w:cs="仿宋_GB2312"/>
          <w:color w:val="333333"/>
          <w:sz w:val="32"/>
          <w:szCs w:val="32"/>
          <w:shd w:val="clear" w:color="auto" w:fill="FFFFFF"/>
        </w:rPr>
        <w:t>组织开展破产事务行政管理工作，管理日常事务；</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（二）组织实施管委会的各项决议；</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（三）组织拟订市破产管理署章程、发展规划、年度工作计划、年度工作报告、财务预（决）算报告等，提交管委会决策；</w:t>
      </w:r>
    </w:p>
    <w:p>
      <w:pPr>
        <w:pStyle w:val="4"/>
        <w:widowControl/>
        <w:shd w:val="clear" w:color="auto" w:fill="FFFFFF"/>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Helvetica" w:eastAsia="仿宋_GB2312" w:cs="宋体"/>
          <w:color w:val="333333"/>
          <w:kern w:val="0"/>
          <w:sz w:val="32"/>
          <w:szCs w:val="32"/>
        </w:rPr>
        <w:t>（四）</w:t>
      </w:r>
      <w:r>
        <w:rPr>
          <w:rFonts w:hint="eastAsia" w:ascii="仿宋_GB2312" w:hAnsi="仿宋_GB2312" w:eastAsia="仿宋_GB2312" w:cs="仿宋_GB2312"/>
          <w:color w:val="333333"/>
          <w:sz w:val="32"/>
          <w:szCs w:val="32"/>
          <w:shd w:val="clear" w:color="auto" w:fill="FFFFFF"/>
        </w:rPr>
        <w:t>拟订市破产管理署</w:t>
      </w:r>
      <w:r>
        <w:rPr>
          <w:rFonts w:hint="eastAsia" w:ascii="仿宋_GB2312" w:hAnsi="Helvetica" w:eastAsia="仿宋_GB2312" w:cs="宋体"/>
          <w:color w:val="333333"/>
          <w:kern w:val="0"/>
          <w:sz w:val="32"/>
          <w:szCs w:val="32"/>
        </w:rPr>
        <w:t>人事、薪酬和绩效管理等</w:t>
      </w:r>
      <w:r>
        <w:rPr>
          <w:rFonts w:hint="eastAsia" w:ascii="仿宋_GB2312" w:hAnsi="仿宋_GB2312" w:eastAsia="仿宋_GB2312" w:cs="仿宋_GB2312"/>
          <w:color w:val="333333"/>
          <w:sz w:val="32"/>
          <w:szCs w:val="32"/>
          <w:shd w:val="clear" w:color="auto" w:fill="FFFFFF"/>
        </w:rPr>
        <w:t>内部制度并组织实施；</w:t>
      </w:r>
    </w:p>
    <w:p>
      <w:pPr>
        <w:pStyle w:val="4"/>
        <w:widowControl/>
        <w:shd w:val="clear" w:color="auto" w:fill="FFFFFF"/>
        <w:ind w:firstLine="640" w:firstLineChars="200"/>
        <w:jc w:val="left"/>
        <w:rPr>
          <w:rFonts w:hint="eastAsia" w:ascii="仿宋_GB2312" w:hAnsi="Helvetica" w:eastAsia="仿宋_GB2312" w:cs="宋体"/>
          <w:color w:val="333333"/>
          <w:kern w:val="0"/>
          <w:sz w:val="32"/>
          <w:szCs w:val="32"/>
        </w:rPr>
      </w:pPr>
      <w:r>
        <w:rPr>
          <w:rFonts w:hint="eastAsia" w:ascii="仿宋_GB2312" w:hAnsi="仿宋_GB2312" w:eastAsia="仿宋_GB2312" w:cs="仿宋_GB2312"/>
          <w:color w:val="333333"/>
          <w:sz w:val="32"/>
          <w:szCs w:val="32"/>
          <w:shd w:val="clear" w:color="auto" w:fill="FFFFFF"/>
        </w:rPr>
        <w:t>（五）</w:t>
      </w:r>
      <w:r>
        <w:rPr>
          <w:rFonts w:hint="eastAsia" w:ascii="仿宋_GB2312" w:hAnsi="Helvetica" w:eastAsia="仿宋_GB2312" w:cs="宋体"/>
          <w:color w:val="333333"/>
          <w:kern w:val="0"/>
          <w:sz w:val="32"/>
          <w:szCs w:val="32"/>
        </w:rPr>
        <w:t>组织市破产管理署的财务运营和资产管理；</w:t>
      </w:r>
    </w:p>
    <w:p>
      <w:pPr>
        <w:pStyle w:val="4"/>
        <w:widowControl/>
        <w:shd w:val="clear" w:color="auto" w:fill="FFFFFF"/>
        <w:ind w:firstLine="640" w:firstLineChars="200"/>
        <w:jc w:val="left"/>
        <w:rPr>
          <w:rFonts w:hint="eastAsia"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（六）组织实施市委市政府、市司法行政部门和管委会决定的其他事项。</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第十五条【咨询机构】</w:t>
      </w:r>
      <w:r>
        <w:rPr>
          <w:rFonts w:hint="eastAsia" w:ascii="仿宋_GB2312" w:hAnsi="Helvetica" w:eastAsia="仿宋_GB2312" w:cs="宋体"/>
          <w:color w:val="333333"/>
          <w:kern w:val="0"/>
          <w:sz w:val="32"/>
          <w:szCs w:val="32"/>
        </w:rPr>
        <w:t>市破产管理署可以聘请国内外知名人士、专家学者为破产事务行政管理提供咨询意见。</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第十六条【报送举办单位】</w:t>
      </w:r>
      <w:r>
        <w:rPr>
          <w:rFonts w:hint="eastAsia" w:ascii="仿宋_GB2312" w:hAnsi="Helvetica" w:eastAsia="仿宋_GB2312" w:cs="宋体"/>
          <w:color w:val="333333"/>
          <w:kern w:val="0"/>
          <w:sz w:val="32"/>
          <w:szCs w:val="32"/>
        </w:rPr>
        <w:t>市破产管理署应当将管委会决议和章程报送市司法行政部门备案，接受市司法行政部门的指导、监督和管理。经管委会表决通过的机构设置、人员聘用和薪酬等制度，由市司法行政部门审定后按照规定程序上报决策。</w:t>
      </w:r>
    </w:p>
    <w:p>
      <w:pPr>
        <w:pStyle w:val="4"/>
        <w:spacing w:line="360" w:lineRule="auto"/>
        <w:jc w:val="center"/>
        <w:rPr>
          <w:rFonts w:ascii="黑体" w:hAnsi="黑体" w:eastAsia="黑体"/>
          <w:color w:val="000000"/>
          <w:sz w:val="32"/>
          <w:szCs w:val="32"/>
        </w:rPr>
      </w:pPr>
      <w:r>
        <w:rPr>
          <w:rFonts w:hint="eastAsia" w:ascii="黑体" w:hAnsi="黑体" w:eastAsia="黑体"/>
          <w:color w:val="000000"/>
          <w:sz w:val="32"/>
          <w:szCs w:val="32"/>
        </w:rPr>
        <w:t>第四章　财务和人事管理</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第十七条【基本要求】</w:t>
      </w:r>
      <w:bookmarkStart w:id="4" w:name="_Hlk100759266"/>
      <w:r>
        <w:rPr>
          <w:rFonts w:hint="eastAsia" w:ascii="仿宋_GB2312" w:hAnsi="Helvetica" w:eastAsia="仿宋_GB2312" w:cs="宋体"/>
          <w:color w:val="333333"/>
          <w:kern w:val="0"/>
          <w:sz w:val="32"/>
          <w:szCs w:val="32"/>
        </w:rPr>
        <w:t>市破产管理署应当建立健全与法定机构相适应的财务、资产和人事管理制度</w:t>
      </w:r>
      <w:bookmarkEnd w:id="4"/>
      <w:r>
        <w:rPr>
          <w:rFonts w:hint="eastAsia" w:ascii="仿宋_GB2312" w:hAnsi="Helvetica" w:eastAsia="仿宋_GB2312" w:cs="宋体"/>
          <w:color w:val="333333"/>
          <w:kern w:val="0"/>
          <w:sz w:val="32"/>
          <w:szCs w:val="32"/>
        </w:rPr>
        <w:t>。</w:t>
      </w:r>
    </w:p>
    <w:p>
      <w:pPr>
        <w:pStyle w:val="4"/>
        <w:widowControl/>
        <w:shd w:val="clear" w:color="auto" w:fill="FFFFFF"/>
        <w:ind w:firstLine="643" w:firstLineChars="200"/>
        <w:jc w:val="left"/>
        <w:rPr>
          <w:rFonts w:ascii="仿宋_GB2312" w:hAnsi="仿宋_GB2312" w:eastAsia="仿宋_GB2312" w:cs="仿宋_GB2312"/>
          <w:color w:val="040404"/>
          <w:sz w:val="32"/>
          <w:szCs w:val="32"/>
        </w:rPr>
      </w:pPr>
      <w:r>
        <w:rPr>
          <w:rFonts w:hint="eastAsia" w:ascii="仿宋_GB2312" w:hAnsi="Helvetica" w:eastAsia="仿宋_GB2312" w:cs="宋体"/>
          <w:b/>
          <w:bCs/>
          <w:color w:val="333333"/>
          <w:kern w:val="0"/>
          <w:sz w:val="32"/>
          <w:szCs w:val="32"/>
        </w:rPr>
        <w:t>第十八条【经费来源】</w:t>
      </w:r>
      <w:r>
        <w:rPr>
          <w:rFonts w:hint="eastAsia" w:ascii="仿宋_GB2312" w:hAnsi="Helvetica" w:eastAsia="仿宋_GB2312" w:cs="宋体"/>
          <w:color w:val="333333"/>
          <w:kern w:val="0"/>
          <w:sz w:val="32"/>
          <w:szCs w:val="32"/>
        </w:rPr>
        <w:t>市破产管理署运行初期，</w:t>
      </w:r>
      <w:bookmarkStart w:id="5" w:name="_Hlk100759307"/>
      <w:r>
        <w:rPr>
          <w:rFonts w:hint="eastAsia" w:ascii="仿宋_GB2312" w:hAnsi="Helvetica" w:eastAsia="仿宋_GB2312" w:cs="宋体"/>
          <w:color w:val="333333"/>
          <w:kern w:val="0"/>
          <w:sz w:val="32"/>
          <w:szCs w:val="32"/>
        </w:rPr>
        <w:t>人员薪酬以及开展破产事务行政管理相关工作的经费由市财政部门核拨</w:t>
      </w:r>
      <w:bookmarkEnd w:id="5"/>
      <w:r>
        <w:rPr>
          <w:rFonts w:hint="eastAsia" w:ascii="仿宋_GB2312" w:hAnsi="Helvetica" w:eastAsia="仿宋_GB2312" w:cs="宋体"/>
          <w:color w:val="333333"/>
          <w:kern w:val="0"/>
          <w:sz w:val="32"/>
          <w:szCs w:val="32"/>
        </w:rPr>
        <w:t>。支持市破产管理署通过提供破产办理相关的服务产品方式，逐步建立实行财政核拨和市场化收入相结合的筹措经费机制，最终实现</w:t>
      </w:r>
      <w:r>
        <w:rPr>
          <w:rFonts w:ascii="仿宋_GB2312" w:hAnsi="Helvetica" w:eastAsia="仿宋_GB2312" w:cs="宋体"/>
          <w:color w:val="333333"/>
          <w:kern w:val="0"/>
          <w:sz w:val="32"/>
          <w:szCs w:val="32"/>
        </w:rPr>
        <w:t>经费自筹自支。</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第十九条【收费】</w:t>
      </w:r>
      <w:r>
        <w:rPr>
          <w:rFonts w:hint="eastAsia" w:ascii="仿宋_GB2312" w:hAnsi="Helvetica" w:eastAsia="仿宋_GB2312" w:cs="宋体"/>
          <w:color w:val="333333"/>
          <w:kern w:val="0"/>
          <w:sz w:val="32"/>
          <w:szCs w:val="32"/>
        </w:rPr>
        <w:t>市破产管理署</w:t>
      </w:r>
      <w:bookmarkStart w:id="6" w:name="_Hlk100759499"/>
      <w:r>
        <w:rPr>
          <w:rFonts w:hint="eastAsia" w:ascii="仿宋_GB2312" w:hAnsi="Helvetica" w:eastAsia="仿宋_GB2312" w:cs="宋体"/>
          <w:color w:val="333333"/>
          <w:kern w:val="0"/>
          <w:sz w:val="32"/>
          <w:szCs w:val="32"/>
        </w:rPr>
        <w:t>可以参考国外和香港地区破产事务管理机构运营模式，遵循非营利原则有偿提供破产事务服务</w:t>
      </w:r>
      <w:bookmarkEnd w:id="6"/>
      <w:r>
        <w:rPr>
          <w:rFonts w:ascii="仿宋_GB2312" w:hAnsi="Helvetica" w:eastAsia="仿宋_GB2312" w:cs="宋体"/>
          <w:color w:val="333333"/>
          <w:kern w:val="0"/>
          <w:sz w:val="32"/>
          <w:szCs w:val="32"/>
        </w:rPr>
        <w:t>。</w:t>
      </w:r>
      <w:r>
        <w:rPr>
          <w:rFonts w:hint="eastAsia" w:ascii="仿宋_GB2312" w:hAnsi="Helvetica" w:eastAsia="仿宋_GB2312" w:cs="宋体"/>
          <w:color w:val="333333"/>
          <w:kern w:val="0"/>
          <w:sz w:val="32"/>
          <w:szCs w:val="32"/>
        </w:rPr>
        <w:t>市破产管理署依法收取的费用，应当用于发展破产事务行政管理事业、优化工作人员薪酬激励机制以及经市政府批准的其他用途。</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第二十条【机构人事管理基本原则】</w:t>
      </w:r>
      <w:r>
        <w:rPr>
          <w:rFonts w:hint="eastAsia" w:ascii="仿宋_GB2312" w:hAnsi="Helvetica" w:eastAsia="仿宋_GB2312" w:cs="宋体"/>
          <w:color w:val="333333"/>
          <w:kern w:val="0"/>
          <w:sz w:val="32"/>
          <w:szCs w:val="32"/>
        </w:rPr>
        <w:t>市破产管理署应当</w:t>
      </w:r>
      <w:bookmarkStart w:id="7" w:name="_Hlk100757300"/>
      <w:r>
        <w:rPr>
          <w:rFonts w:hint="eastAsia" w:ascii="仿宋_GB2312" w:hAnsi="Helvetica" w:eastAsia="仿宋_GB2312" w:cs="宋体"/>
          <w:color w:val="333333"/>
          <w:kern w:val="0"/>
          <w:sz w:val="32"/>
          <w:szCs w:val="32"/>
        </w:rPr>
        <w:t>探索建立具有国际竞争力的社会化用人机制，</w:t>
      </w:r>
      <w:bookmarkStart w:id="8" w:name="_Hlk108688435"/>
      <w:bookmarkStart w:id="9" w:name="_Hlk101884612"/>
      <w:r>
        <w:rPr>
          <w:rFonts w:hint="eastAsia" w:ascii="仿宋_GB2312" w:hAnsi="Helvetica" w:eastAsia="仿宋_GB2312" w:cs="宋体"/>
          <w:color w:val="333333"/>
          <w:kern w:val="0"/>
          <w:sz w:val="32"/>
          <w:szCs w:val="32"/>
        </w:rPr>
        <w:t>根据有关法定机构的政策</w:t>
      </w:r>
      <w:bookmarkEnd w:id="8"/>
      <w:r>
        <w:rPr>
          <w:rFonts w:hint="eastAsia" w:ascii="仿宋_GB2312" w:hAnsi="Helvetica" w:eastAsia="仿宋_GB2312" w:cs="宋体"/>
          <w:color w:val="333333"/>
          <w:kern w:val="0"/>
          <w:sz w:val="32"/>
          <w:szCs w:val="32"/>
        </w:rPr>
        <w:t>拟定机构设置、岗位设置、人员聘用、薪酬标准等方案，按照规定程序批准后组织实施</w:t>
      </w:r>
      <w:bookmarkEnd w:id="7"/>
      <w:bookmarkEnd w:id="9"/>
      <w:r>
        <w:rPr>
          <w:rFonts w:hint="eastAsia" w:ascii="仿宋_GB2312" w:hAnsi="Helvetica" w:eastAsia="仿宋_GB2312" w:cs="宋体"/>
          <w:color w:val="333333"/>
          <w:kern w:val="0"/>
          <w:sz w:val="32"/>
          <w:szCs w:val="32"/>
        </w:rPr>
        <w:t>。</w:t>
      </w:r>
    </w:p>
    <w:p>
      <w:pPr>
        <w:pStyle w:val="4"/>
        <w:widowControl/>
        <w:shd w:val="clear" w:color="auto" w:fill="FFFFFF"/>
        <w:ind w:firstLine="643" w:firstLineChars="200"/>
        <w:jc w:val="left"/>
        <w:rPr>
          <w:rFonts w:ascii="仿宋_GB2312" w:hAnsi="仿宋_GB2312" w:eastAsia="仿宋_GB2312" w:cs="仿宋_GB2312"/>
          <w:sz w:val="32"/>
          <w:szCs w:val="32"/>
        </w:rPr>
      </w:pPr>
      <w:r>
        <w:rPr>
          <w:rFonts w:hint="eastAsia" w:ascii="仿宋_GB2312" w:hAnsi="Helvetica" w:eastAsia="仿宋_GB2312" w:cs="宋体"/>
          <w:b/>
          <w:bCs/>
          <w:color w:val="333333"/>
          <w:kern w:val="0"/>
          <w:sz w:val="32"/>
          <w:szCs w:val="32"/>
        </w:rPr>
        <w:t>第二十一条【合同管理及保障】</w:t>
      </w:r>
      <w:bookmarkStart w:id="10" w:name="_Hlk100758880"/>
      <w:r>
        <w:rPr>
          <w:rFonts w:hint="eastAsia" w:ascii="仿宋_GB2312" w:hAnsi="Helvetica" w:eastAsia="仿宋_GB2312" w:cs="宋体"/>
          <w:color w:val="333333"/>
          <w:kern w:val="0"/>
          <w:sz w:val="32"/>
          <w:szCs w:val="32"/>
        </w:rPr>
        <w:t>市破产管理署应当依法与聘用人员签订聘用合同，</w:t>
      </w:r>
      <w:bookmarkEnd w:id="10"/>
      <w:r>
        <w:rPr>
          <w:rFonts w:hint="eastAsia" w:ascii="仿宋_GB2312" w:hAnsi="Helvetica" w:eastAsia="仿宋_GB2312" w:cs="宋体"/>
          <w:color w:val="333333"/>
          <w:kern w:val="0"/>
          <w:sz w:val="32"/>
          <w:szCs w:val="32"/>
        </w:rPr>
        <w:t>依法参加社会保险，并按照有关规定实行住房公积金、年金等制度。</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第二十二条【培训】</w:t>
      </w:r>
      <w:r>
        <w:rPr>
          <w:rFonts w:hint="eastAsia" w:ascii="仿宋_GB2312" w:hAnsi="Helvetica" w:eastAsia="仿宋_GB2312" w:cs="宋体"/>
          <w:color w:val="333333"/>
          <w:kern w:val="0"/>
          <w:sz w:val="32"/>
          <w:szCs w:val="32"/>
        </w:rPr>
        <w:t>市破产管理署应当着眼长远发展对人力资源的需求，通过加强培训管理，提升工作人员专业能力和综合素质。培训经费在年度预算中专项列支。</w:t>
      </w:r>
    </w:p>
    <w:p>
      <w:pPr>
        <w:pStyle w:val="4"/>
        <w:spacing w:line="360" w:lineRule="auto"/>
        <w:jc w:val="center"/>
        <w:rPr>
          <w:rFonts w:ascii="黑体" w:hAnsi="黑体" w:eastAsia="黑体"/>
          <w:color w:val="000000"/>
          <w:sz w:val="32"/>
          <w:szCs w:val="32"/>
        </w:rPr>
      </w:pPr>
      <w:r>
        <w:rPr>
          <w:rFonts w:hint="eastAsia" w:ascii="黑体" w:hAnsi="黑体" w:eastAsia="黑体"/>
          <w:color w:val="000000"/>
          <w:sz w:val="32"/>
          <w:szCs w:val="32"/>
        </w:rPr>
        <w:t>第五章　管理与监督</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第二十三条【专业机构监督】</w:t>
      </w:r>
      <w:bookmarkStart w:id="11" w:name="_Hlk100759720"/>
      <w:r>
        <w:rPr>
          <w:rFonts w:hint="eastAsia" w:ascii="仿宋_GB2312" w:hAnsi="Helvetica" w:eastAsia="仿宋_GB2312" w:cs="宋体"/>
          <w:color w:val="333333"/>
          <w:kern w:val="0"/>
          <w:sz w:val="32"/>
          <w:szCs w:val="32"/>
        </w:rPr>
        <w:t>市破产管理署依法接受审计、纪检监察、财政等有关部门和市司法行政部门的监督。</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市司法行政部门每年委托独立的中介机构对市破产管理署进行财务审计，审计结果向社会公开</w:t>
      </w:r>
      <w:bookmarkEnd w:id="11"/>
      <w:r>
        <w:rPr>
          <w:rFonts w:hint="eastAsia" w:ascii="仿宋_GB2312" w:hAnsi="Helvetica" w:eastAsia="仿宋_GB2312" w:cs="宋体"/>
          <w:color w:val="333333"/>
          <w:kern w:val="0"/>
          <w:sz w:val="32"/>
          <w:szCs w:val="32"/>
        </w:rPr>
        <w:t>。</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第二十四条【社会公众监督】</w:t>
      </w:r>
      <w:bookmarkStart w:id="12" w:name="_Hlk100759749"/>
      <w:r>
        <w:rPr>
          <w:rFonts w:hint="eastAsia" w:ascii="仿宋_GB2312" w:hAnsi="Helvetica" w:eastAsia="仿宋_GB2312" w:cs="宋体"/>
          <w:color w:val="333333"/>
          <w:kern w:val="0"/>
          <w:sz w:val="32"/>
          <w:szCs w:val="32"/>
        </w:rPr>
        <w:t>市破产管理署应当将下列事项在本单位和市司法行政部门网站上公开</w:t>
      </w:r>
      <w:bookmarkEnd w:id="12"/>
      <w:r>
        <w:rPr>
          <w:rFonts w:hint="eastAsia" w:ascii="仿宋_GB2312" w:hAnsi="Helvetica" w:eastAsia="仿宋_GB2312" w:cs="宋体"/>
          <w:color w:val="333333"/>
          <w:kern w:val="0"/>
          <w:sz w:val="32"/>
          <w:szCs w:val="32"/>
        </w:rPr>
        <w:t>，</w:t>
      </w:r>
      <w:bookmarkStart w:id="13" w:name="_Hlk100759910"/>
      <w:r>
        <w:rPr>
          <w:rFonts w:hint="eastAsia" w:ascii="仿宋_GB2312" w:hAnsi="Helvetica" w:eastAsia="仿宋_GB2312" w:cs="宋体"/>
          <w:color w:val="333333"/>
          <w:kern w:val="0"/>
          <w:sz w:val="32"/>
          <w:szCs w:val="32"/>
        </w:rPr>
        <w:t>供公众查阅，接受社会监督</w:t>
      </w:r>
      <w:bookmarkEnd w:id="13"/>
      <w:r>
        <w:rPr>
          <w:rFonts w:hint="eastAsia" w:ascii="仿宋_GB2312" w:hAnsi="Helvetica" w:eastAsia="仿宋_GB2312" w:cs="宋体"/>
          <w:color w:val="333333"/>
          <w:kern w:val="0"/>
          <w:sz w:val="32"/>
          <w:szCs w:val="32"/>
        </w:rPr>
        <w:t>：</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（一）主要职责及机构设置；</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（二）管理人名册；</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（三）破产办理相关指引及法律依据；</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（四）按照规定应当主动公开的破产案件信息；</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（五）收费项目及收费标准；</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（六）依法应当公开的其他事项。</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第二十五条【年度报告】</w:t>
      </w:r>
      <w:r>
        <w:rPr>
          <w:rFonts w:hint="eastAsia" w:ascii="仿宋_GB2312" w:hAnsi="Helvetica" w:eastAsia="仿宋_GB2312" w:cs="宋体"/>
          <w:color w:val="333333"/>
          <w:kern w:val="0"/>
          <w:sz w:val="32"/>
          <w:szCs w:val="32"/>
        </w:rPr>
        <w:t>市破产管理署每年3月底前完成上年度工作报告的编制工作，详细披露单位上年度工作基本情况、重要决策、重要活动、预算执行情况、计划与目标的完成情况、主要财务状况、运作中出现的问题等信息，并确保信息的真实、准确、完整。</w:t>
      </w:r>
    </w:p>
    <w:p>
      <w:pPr>
        <w:pStyle w:val="4"/>
        <w:widowControl/>
        <w:shd w:val="clear" w:color="auto" w:fill="FFFFFF"/>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市破产管理署将年度工作报告提交市司法行政部门审定，并于每年</w:t>
      </w:r>
      <w:r>
        <w:rPr>
          <w:rFonts w:ascii="仿宋_GB2312" w:hAnsi="Helvetica" w:eastAsia="仿宋_GB2312" w:cs="宋体"/>
          <w:color w:val="333333"/>
          <w:kern w:val="0"/>
          <w:sz w:val="32"/>
          <w:szCs w:val="32"/>
        </w:rPr>
        <w:t>6</w:t>
      </w:r>
      <w:r>
        <w:rPr>
          <w:rFonts w:hint="eastAsia" w:ascii="仿宋_GB2312" w:hAnsi="Helvetica" w:eastAsia="仿宋_GB2312" w:cs="宋体"/>
          <w:color w:val="333333"/>
          <w:kern w:val="0"/>
          <w:sz w:val="32"/>
          <w:szCs w:val="32"/>
        </w:rPr>
        <w:t>月底前向公众公开，接受社会监督。</w:t>
      </w:r>
    </w:p>
    <w:p>
      <w:pPr>
        <w:pStyle w:val="4"/>
        <w:widowControl/>
        <w:shd w:val="clear" w:color="auto" w:fill="FFFFFF"/>
        <w:ind w:firstLine="643" w:firstLineChars="200"/>
        <w:jc w:val="left"/>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第二十六条【工作人员违规处理】</w:t>
      </w:r>
      <w:r>
        <w:rPr>
          <w:rFonts w:hint="eastAsia" w:ascii="仿宋_GB2312" w:hAnsi="Helvetica" w:eastAsia="仿宋_GB2312" w:cs="宋体"/>
          <w:color w:val="333333"/>
          <w:kern w:val="0"/>
          <w:sz w:val="32"/>
          <w:szCs w:val="32"/>
        </w:rPr>
        <w:t>市破产管理署及其工作人员在履行职责过程中未履行职责或者不正确履行职责的，依照有关规定和合同约定追究责任；涉嫌犯罪的，依法移送司法机关处理。</w:t>
      </w:r>
    </w:p>
    <w:p>
      <w:pPr>
        <w:pStyle w:val="4"/>
        <w:spacing w:line="360" w:lineRule="auto"/>
        <w:jc w:val="center"/>
        <w:rPr>
          <w:rFonts w:ascii="黑体" w:hAnsi="黑体" w:eastAsia="黑体"/>
          <w:color w:val="000000"/>
          <w:sz w:val="32"/>
          <w:szCs w:val="32"/>
        </w:rPr>
      </w:pPr>
      <w:r>
        <w:rPr>
          <w:rFonts w:hint="eastAsia" w:ascii="黑体" w:hAnsi="黑体" w:eastAsia="黑体"/>
          <w:color w:val="000000"/>
          <w:sz w:val="32"/>
          <w:szCs w:val="32"/>
        </w:rPr>
        <w:t>第六章　附则</w:t>
      </w:r>
    </w:p>
    <w:p>
      <w:pPr>
        <w:pStyle w:val="4"/>
        <w:widowControl/>
        <w:shd w:val="clear" w:color="auto" w:fill="FFFFFF"/>
        <w:ind w:firstLine="643" w:firstLineChars="200"/>
        <w:jc w:val="left"/>
      </w:pPr>
      <w:r>
        <w:rPr>
          <w:rFonts w:hint="eastAsia" w:ascii="仿宋_GB2312" w:hAnsi="Helvetica" w:eastAsia="仿宋_GB2312" w:cs="宋体"/>
          <w:b/>
          <w:bCs/>
          <w:color w:val="333333"/>
          <w:kern w:val="0"/>
          <w:sz w:val="32"/>
          <w:szCs w:val="32"/>
        </w:rPr>
        <w:t>第二十七条【施行时间】</w:t>
      </w:r>
      <w:r>
        <w:rPr>
          <w:rFonts w:hint="eastAsia" w:ascii="仿宋_GB2312" w:hAnsi="Helvetica" w:eastAsia="仿宋_GB2312" w:cs="宋体"/>
          <w:color w:val="333333"/>
          <w:kern w:val="0"/>
          <w:sz w:val="32"/>
          <w:szCs w:val="32"/>
        </w:rPr>
        <w:t>本办法自20XX年X月X日起施行。</w:t>
      </w:r>
    </w:p>
    <w:p>
      <w:r>
        <w:rPr>
          <w:rFonts w:ascii="仿宋_GB2312" w:hAnsi="仿宋" w:eastAsia="仿宋_GB2312" w:cs="仿宋_GB2312"/>
          <w:sz w:val="32"/>
          <w:szCs w:val="32"/>
        </w:rPr>
        <w:br w:type="page"/>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218771-39DA-4D90-8736-941FB1E22353}"/>
  </w:font>
  <w:font w:name="黑体">
    <w:panose1 w:val="02010609060101010101"/>
    <w:charset w:val="86"/>
    <w:family w:val="auto"/>
    <w:pitch w:val="default"/>
    <w:sig w:usb0="800002BF" w:usb1="38CF7CFA" w:usb2="00000016" w:usb3="00000000" w:csb0="00040001" w:csb1="00000000"/>
    <w:embedRegular r:id="rId2" w:fontKey="{213C457F-C517-428C-9425-3706AFDA8A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DFDA689-F334-4ADB-96D8-3F5C124AD526}"/>
  </w:font>
  <w:font w:name="方正小标宋_GBK">
    <w:panose1 w:val="02000000000000000000"/>
    <w:charset w:val="86"/>
    <w:family w:val="script"/>
    <w:pitch w:val="default"/>
    <w:sig w:usb0="A00002BF" w:usb1="38CF7CFA" w:usb2="00082016" w:usb3="00000000" w:csb0="00040001" w:csb1="00000000"/>
    <w:embedRegular r:id="rId4" w:fontKey="{20B5BC06-4C08-4EB7-B123-78A82CE0D5AB}"/>
  </w:font>
  <w:font w:name="楷体_GB2312">
    <w:altName w:val="楷体"/>
    <w:panose1 w:val="02010609030101010101"/>
    <w:charset w:val="86"/>
    <w:family w:val="modern"/>
    <w:pitch w:val="default"/>
    <w:sig w:usb0="00000000" w:usb1="00000000" w:usb2="00000010" w:usb3="00000000" w:csb0="00040000" w:csb1="00000000"/>
    <w:embedRegular r:id="rId5" w:fontKey="{4B211F6C-9E48-4A4E-9DFA-F896F5EC0D62}"/>
  </w:font>
  <w:font w:name="仿宋_GB2312">
    <w:altName w:val="仿宋"/>
    <w:panose1 w:val="02010609030101010101"/>
    <w:charset w:val="86"/>
    <w:family w:val="modern"/>
    <w:pitch w:val="default"/>
    <w:sig w:usb0="00000000" w:usb1="00000000" w:usb2="00000010" w:usb3="00000000" w:csb0="00040000" w:csb1="00000000"/>
    <w:embedRegular r:id="rId6" w:fontKey="{EFB7674B-09B5-4EC2-BD10-958C8C9F0B4C}"/>
  </w:font>
  <w:font w:name="Helvetica">
    <w:altName w:val="Arial"/>
    <w:panose1 w:val="020B0604020202020204"/>
    <w:charset w:val="00"/>
    <w:family w:val="swiss"/>
    <w:pitch w:val="default"/>
    <w:sig w:usb0="00000000" w:usb1="00000000" w:usb2="00000009" w:usb3="00000000" w:csb0="000001FF" w:csb1="00000000"/>
    <w:embedRegular r:id="rId7" w:fontKey="{E0BD895C-37CA-44CF-A165-7F58633EBC2C}"/>
  </w:font>
  <w:font w:name="仿宋">
    <w:panose1 w:val="02010609060101010101"/>
    <w:charset w:val="86"/>
    <w:family w:val="auto"/>
    <w:pitch w:val="default"/>
    <w:sig w:usb0="800002BF" w:usb1="38CF7CFA" w:usb2="00000016" w:usb3="00000000" w:csb0="00040001" w:csb1="00000000"/>
    <w:embedRegular r:id="rId8" w:fontKey="{3B8B1917-54E6-4321-A4A1-E60A209995D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10AA049A"/>
    <w:rsid w:val="10AA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2022-07-18T03:40:00Z</dcterms:created>
  <dc:creator>阿营</dc:creator>
  <cp:lastModifiedBy>阿营</cp:lastModifiedBy>
  <dcterms:modified xsi:type="dcterms:W3CDTF">2022-07-18T03:41:40Z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23064D7BC2D6415C966845A2E7211D38</vt:lpwstr>
  </property>
</Properties>
</file>