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ascii="Times New Roman" w:hAnsi="Times New Roman" w:eastAsia="黑体"/>
                <w:sz w:val="21"/>
                <w:szCs w:val="21"/>
              </w:rPr>
            </w:pPr>
            <w:bookmarkStart w:id="499" w:name="_GoBack"/>
            <w:bookmarkEnd w:id="499"/>
            <w:r>
              <w:rPr>
                <w:rFonts w:hint="eastAsia" w:ascii="Times New Roman" w:hAnsi="Times New Roman" w:eastAsia="黑体"/>
                <w:sz w:val="21"/>
                <w:szCs w:val="21"/>
              </w:rPr>
              <w:t xml:space="preserve">CCS  </w:t>
            </w:r>
          </w:p>
        </w:tc>
        <w:tc>
          <w:tcPr>
            <w:tcW w:w="8855" w:type="dxa"/>
          </w:tcPr>
          <w:p>
            <w:pPr>
              <w:pStyle w:val="19"/>
              <w:framePr w:wrap="notBeside" w:vAnchor="page" w:hAnchor="page" w:x="1372" w:y="568"/>
              <w:tabs>
                <w:tab w:val="clear" w:pos="4153"/>
                <w:tab w:val="clear" w:pos="8306"/>
              </w:tabs>
              <w:spacing w:line="240" w:lineRule="auto"/>
              <w:jc w:val="both"/>
              <w:rPr>
                <w:rFonts w:ascii="Times New Roman" w:hAnsi="Times New Roman" w:eastAsia="黑体"/>
                <w:sz w:val="21"/>
                <w:szCs w:val="21"/>
              </w:rPr>
            </w:pPr>
            <w:r>
              <w:rPr>
                <w:rFonts w:hint="eastAsia" w:ascii="Times New Roman" w:hAnsi="Times New Roman" w:eastAsia="黑体"/>
                <w:sz w:val="21"/>
                <w:szCs w:val="21"/>
              </w:rPr>
              <w:t>A</w:t>
            </w:r>
            <w:r>
              <w:rPr>
                <w:rFonts w:ascii="Times New Roman" w:hAnsi="Times New Roman" w:eastAsia="黑体"/>
                <w:sz w:val="21"/>
                <w:szCs w:val="21"/>
              </w:rPr>
              <w:t>90</w:t>
            </w:r>
          </w:p>
        </w:tc>
      </w:tr>
    </w:tbl>
    <w:tbl>
      <w:tblPr>
        <w:tblStyle w:val="30"/>
        <w:tblpPr w:leftFromText="181" w:rightFromText="181" w:vertAnchor="text" w:horzAnchor="margin" w:tblpX="568" w:tblpY="579"/>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05"/>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05" w:type="dxa"/>
          </w:tcPr>
          <w:p>
            <w:pPr>
              <w:pStyle w:val="53"/>
              <w:framePr w:w="0" w:hRule="auto" w:wrap="auto" w:vAnchor="margin" w:hAnchor="text" w:xAlign="left" w:yAlign="inline"/>
              <w:rPr>
                <w:rFonts w:ascii="宋体" w:hAnsi="宋体"/>
                <w:sz w:val="28"/>
                <w:szCs w:val="28"/>
              </w:rPr>
            </w:pPr>
            <w:bookmarkStart w:id="0" w:name="_Hlk26473981"/>
            <w:r>
              <w:rPr>
                <w:rFonts w:hint="eastAsia"/>
              </w:rPr>
              <w:drawing>
                <wp:inline distT="0" distB="0" distL="0" distR="0">
                  <wp:extent cx="431800" cy="444500"/>
                  <wp:effectExtent l="0" t="0" r="635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8">
                            <a:extLst>
                              <a:ext uri="{28A0092B-C50C-407E-A947-70E740481C1C}">
                                <a14:useLocalDpi xmlns:a14="http://schemas.microsoft.com/office/drawing/2010/main" val="false"/>
                              </a:ext>
                            </a:extLst>
                          </a:blip>
                          <a:stretch>
                            <a:fillRect/>
                          </a:stretch>
                        </pic:blipFill>
                        <pic:spPr>
                          <a:xfrm>
                            <a:off x="0" y="0"/>
                            <a:ext cx="431800" cy="444500"/>
                          </a:xfrm>
                          <a:prstGeom prst="rect">
                            <a:avLst/>
                          </a:prstGeom>
                        </pic:spPr>
                      </pic:pic>
                    </a:graphicData>
                  </a:graphic>
                </wp:inline>
              </w:drawing>
            </w:r>
            <w:r>
              <w:rPr>
                <w:rFonts w:hint="eastAsia"/>
              </w:rPr>
              <w:t>/</w:t>
            </w:r>
            <w:r>
              <w:rPr>
                <w:rFonts w:hint="eastAsia"/>
              </w:rPr>
              <w:fldChar w:fldCharType="begin">
                <w:ffData>
                  <w:name w:val="c1"/>
                  <w:enabled/>
                  <w:calcOnExit w:val="0"/>
                  <w:textInput>
                    <w:default w:val="BAAS"/>
                    <w:maxLength w:val="7"/>
                  </w:textInput>
                </w:ffData>
              </w:fldChar>
            </w:r>
            <w:bookmarkStart w:id="1" w:name="c1"/>
            <w:r>
              <w:rPr>
                <w:rFonts w:hint="eastAsia"/>
              </w:rPr>
              <w:instrText xml:space="preserve"> FORMTEXT </w:instrText>
            </w:r>
            <w:r>
              <w:rPr>
                <w:rFonts w:hint="eastAsia"/>
              </w:rPr>
              <w:fldChar w:fldCharType="separate"/>
            </w:r>
            <w:r>
              <w:rPr>
                <w:rFonts w:hint="eastAsia"/>
              </w:rPr>
              <w:t>BAAS</w:t>
            </w:r>
            <w:r>
              <w:rPr>
                <w:rFonts w:hint="eastAsia"/>
              </w:rPr>
              <w:fldChar w:fldCharType="end"/>
            </w:r>
            <w:bookmarkEnd w:id="1"/>
          </w:p>
        </w:tc>
      </w:tr>
    </w:tbl>
    <w:p>
      <w:pPr>
        <w:pStyle w:val="54"/>
        <w:framePr w:w="9639" w:h="624" w:hRule="exact" w:hSpace="181" w:vSpace="181"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default w:val="深圳市破产事务管理署"/>
            </w:textInput>
          </w:ffData>
        </w:fldChar>
      </w:r>
      <w:bookmarkStart w:id="2"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深圳市破产事务管理署</w:t>
      </w:r>
      <w:r>
        <w:rPr>
          <w:rFonts w:ascii="黑体" w:eastAsia="黑体"/>
          <w:b w:val="0"/>
          <w:w w:val="100"/>
          <w:sz w:val="48"/>
        </w:rPr>
        <w:fldChar w:fldCharType="end"/>
      </w:r>
      <w:bookmarkEnd w:id="2"/>
      <w:r>
        <w:rPr>
          <w:rFonts w:hint="eastAsia" w:ascii="黑体" w:hAnsi="黑体" w:eastAsia="黑体"/>
          <w:b w:val="0"/>
          <w:bCs w:val="0"/>
          <w:w w:val="100"/>
          <w:sz w:val="48"/>
          <w:szCs w:val="48"/>
        </w:rPr>
        <w:t>标准</w:t>
      </w:r>
    </w:p>
    <w:bookmarkEnd w:id="0"/>
    <w:p>
      <w:pPr>
        <w:pStyle w:val="199"/>
      </w:pPr>
      <w:r>
        <w:t>Q/</w:t>
      </w:r>
      <w:r>
        <w:fldChar w:fldCharType="begin">
          <w:ffData>
            <w:name w:val="文字1"/>
            <w:enabled/>
            <w:calcOnExit w:val="0"/>
            <w:textInput>
              <w:default w:val="BAAS"/>
            </w:textInput>
          </w:ffData>
        </w:fldChar>
      </w:r>
      <w:bookmarkStart w:id="3" w:name="文字1"/>
      <w:r>
        <w:instrText xml:space="preserve"> FORMTEXT </w:instrText>
      </w:r>
      <w:r>
        <w:fldChar w:fldCharType="separate"/>
      </w:r>
      <w:r>
        <w:t>BAAS</w:t>
      </w:r>
      <w:r>
        <w:fldChar w:fldCharType="end"/>
      </w:r>
      <w:bookmarkEnd w:id="3"/>
      <w:r>
        <w:rPr>
          <w:rFonts w:hint="eastAsia"/>
        </w:rPr>
        <w:t xml:space="preserve"> </w:t>
      </w:r>
      <w:r>
        <w:fldChar w:fldCharType="begin">
          <w:ffData>
            <w:name w:val="NSTD_CODE_F"/>
            <w:enabled/>
            <w:calcOnExit w:val="0"/>
            <w:textInput>
              <w:default w:val="005"/>
            </w:textInput>
          </w:ffData>
        </w:fldChar>
      </w:r>
      <w:bookmarkStart w:id="4" w:name="NSTD_CODE_F"/>
      <w:r>
        <w:instrText xml:space="preserve"> </w:instrText>
      </w:r>
      <w:r>
        <w:rPr>
          <w:rFonts w:hint="eastAsia"/>
        </w:rPr>
        <w:instrText xml:space="preserve">FORMTEXT</w:instrText>
      </w:r>
      <w:r>
        <w:instrText xml:space="preserve"> </w:instrText>
      </w:r>
      <w:r>
        <w:fldChar w:fldCharType="separate"/>
      </w:r>
      <w:r>
        <w:t>005</w:t>
      </w:r>
      <w:r>
        <w:fldChar w:fldCharType="end"/>
      </w:r>
      <w:bookmarkEnd w:id="4"/>
      <w:r>
        <w:rPr>
          <w:rFonts w:hAnsi="黑体"/>
        </w:rPr>
        <w:t>—</w:t>
      </w:r>
      <w:r>
        <w:fldChar w:fldCharType="begin">
          <w:ffData>
            <w:name w:val="NSTD_CODE_B"/>
            <w:enabled/>
            <w:calcOnExit w:val="0"/>
            <w:textInput>
              <w:default w:val="XXXX"/>
            </w:textInput>
          </w:ffData>
        </w:fldChar>
      </w:r>
      <w:r>
        <w:instrText xml:space="preserve"> </w:instrText>
      </w:r>
      <w:bookmarkStart w:id="5" w:name="NSTD_CODE_B"/>
      <w:r>
        <w:instrText xml:space="preserve">FORMTEXT </w:instrText>
      </w:r>
      <w:r>
        <w:fldChar w:fldCharType="separate"/>
      </w:r>
      <w:r>
        <w:t>XXXX</w:t>
      </w:r>
      <w:r>
        <w:fldChar w:fldCharType="end"/>
      </w:r>
      <w:bookmarkEnd w:id="5"/>
    </w:p>
    <w:p>
      <w:pPr>
        <w:pStyle w:val="200"/>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6"/>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FBgAAAAAAAAAAAAAAAAAAAAAAAFBLAwQKAAAAAACHTuJAAAAAAAAAAAAAAAAABAAAAGRycy9Q&#10;SwMEFAAAAAgAh07iQCeDSZbYAAAADAEAAA8AAABkcnMvZG93bnJldi54bWxNj0tPwzAQhO9I/Adr&#10;kbhU1E76UBXi9ADkxoXSius23iYR8TqN3Qf8+roSUjnOzmjm23x5tp040uBbxxqSsQJBXDnTcq1h&#10;/Vk+LUD4gGywc0wafsjDsri/yzEz7sQfdFyFWsQS9hlqaELoMyl91ZBFP3Y9cfR2brAYohxqaQY8&#10;xXLbyVSpubTYclxosKeXhqrv1cFq8OWG9uXvqBqpr0ntKN2/vr+h1o8PiXoGEegcbmG44kd0KCLT&#10;1h3YeNFFPU0ietAwTWcTENdEomZzENu/kyxy+f+J4gJQSwMEFAAAAAgAh07iQOoQp33QAQAAbwMA&#10;AA4AAABkcnMvZTJvRG9jLnhtbK1TwY7TMBC9I/EPlu80adEuEDXdQ1fLZYFKu3yA6ziNhe2xxm6T&#10;/gQ/gMQNThy58zcsn8HYbbq7cEPkMIo9M29m3hvPLwZr2E5h0OBqPp2UnCknodFuU/P3t1fPXnIW&#10;onCNMOBUzfcq8IvF0yfz3ldqBh2YRiEjEBeq3te8i9FXRRFkp6wIE/DKkbMFtCLSETdFg6IndGuK&#10;WVmeFz1g4xGkCoFuLw9Ovsj4batkfNe2QUVmak69xWwx23WyxWIuqg0K32l5bEP8QxdWaEdFT1CX&#10;Igq2Rf0XlNUSIUAbJxJsAW2rpcoz0DTT8o9pbjrhVZ6FyAn+RFP4f7Dy7W6FTDc1f/GcMycsaXT3&#10;6fvPj19+/fhM9u7bV0Yeoqn3oaLopVthGlQO7sZfg/wQmINlJ9xG5XZv954gIm5VSioeZaVD8FRv&#10;3b+BhsLENkKmbWjRJlQihA1Znf1JHTVEJunyfEqClySiHH2FqMZEjyG+VmBZ+qm50S4RJyqxuw4x&#10;NSKqMSRdO7jSxmTxjWN9zV+dzc5yQgCjm+RMYQE366VBthNpffKXpyLPwzCErWsORYxLeSpv3rHy&#10;OPWBwjU0+xWO1JCqubfjBqa1eXjOBN6/k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J4NJltgA&#10;AAAMAQAADwAAAAAAAAABACAAAAA4AAAAZHJzL2Rvd25yZXYueG1sUEsBAhQAFAAAAAgAh07iQOoQ&#10;p33QAQAAbwMAAA4AAAAAAAAAAQAgAAAAPQEAAGRycy9lMm9Eb2MueG1sUEsFBgAAAAAGAAYAWQEA&#10;AH8FAAAAAA==&#10;">
                <v:fill on="f" focussize="0,0"/>
                <v:stroke color="#000000" joinstyle="round"/>
                <v:imagedata o:title=""/>
                <o:lock v:ext="edit" aspectratio="f"/>
              </v:line>
            </w:pict>
          </mc:Fallback>
        </mc:AlternateContent>
      </w:r>
    </w:p>
    <w:p>
      <w:pPr>
        <w:pStyle w:val="54"/>
        <w:framePr w:w="9639" w:h="6976" w:hRule="exact" w:hSpace="0" w:vSpace="0" w:hAnchor="page" w:y="6408"/>
        <w:jc w:val="center"/>
        <w:rPr>
          <w:rFonts w:ascii="黑体" w:hAnsi="黑体" w:eastAsia="黑体"/>
          <w:b w:val="0"/>
          <w:bCs w:val="0"/>
          <w:w w:val="100"/>
        </w:rPr>
      </w:pPr>
    </w:p>
    <w:p>
      <w:pPr>
        <w:pStyle w:val="201"/>
        <w:framePr w:h="6974" w:hRule="exact" w:wrap="around" w:x="1419" w:anchorLock="1"/>
      </w:pPr>
      <w:bookmarkStart w:id="7" w:name="CSTD_NAME"/>
      <w:r>
        <w:fldChar w:fldCharType="begin">
          <w:ffData>
            <w:name w:val="CSTD_NAME"/>
            <w:enabled/>
            <w:calcOnExit w:val="0"/>
            <w:textInput>
              <w:default w:val="个人破产债务人监督工作规程"/>
            </w:textInput>
          </w:ffData>
        </w:fldChar>
      </w:r>
      <w:r>
        <w:instrText xml:space="preserve">FORMTEXT</w:instrText>
      </w:r>
      <w:r>
        <w:fldChar w:fldCharType="separate"/>
      </w:r>
      <w:r>
        <w:t>个人破产债务人监督工作规程</w:t>
      </w:r>
      <w:r>
        <w:fldChar w:fldCharType="end"/>
      </w:r>
      <w:bookmarkEnd w:id="7"/>
    </w:p>
    <w:p>
      <w:pPr>
        <w:framePr w:w="9639" w:h="6974" w:hRule="exact" w:wrap="around" w:vAnchor="page" w:hAnchor="page" w:x="1419" w:y="6408" w:anchorLock="1"/>
        <w:ind w:left="-1418"/>
      </w:pPr>
    </w:p>
    <w:p>
      <w:pPr>
        <w:pStyle w:val="129"/>
        <w:framePr w:w="9639" w:h="6974" w:hRule="exact" w:wrap="around" w:vAnchor="page" w:hAnchor="page" w:x="1419" w:y="6408" w:anchorLock="1"/>
        <w:textAlignment w:val="bottom"/>
        <w:rPr>
          <w:rFonts w:eastAsia="黑体"/>
          <w:szCs w:val="28"/>
        </w:rPr>
      </w:pPr>
      <w:bookmarkStart w:id="8" w:name="ESTD_NAME"/>
      <w:r>
        <w:rPr>
          <w:rFonts w:eastAsia="黑体"/>
          <w:szCs w:val="28"/>
        </w:rPr>
        <w:fldChar w:fldCharType="begin">
          <w:ffData>
            <w:name w:val="ESTD_NAME"/>
            <w:enabled/>
            <w:calcOnExit w:val="0"/>
            <w:textInput>
              <w:default w:val="Supervision work Procedures for personal bankruptcy debtor"/>
            </w:textInput>
          </w:ffData>
        </w:fldChar>
      </w:r>
      <w:r>
        <w:rPr>
          <w:rFonts w:eastAsia="黑体"/>
          <w:szCs w:val="28"/>
        </w:rPr>
        <w:instrText xml:space="preserve">FORMTEXT</w:instrText>
      </w:r>
      <w:r>
        <w:rPr>
          <w:rFonts w:eastAsia="黑体"/>
          <w:szCs w:val="28"/>
        </w:rPr>
        <w:fldChar w:fldCharType="separate"/>
      </w:r>
      <w:r>
        <w:rPr>
          <w:rFonts w:eastAsia="黑体"/>
          <w:szCs w:val="28"/>
        </w:rPr>
        <w:t xml:space="preserve">Supervision work </w:t>
      </w:r>
      <w:r>
        <w:rPr>
          <w:rFonts w:hint="eastAsia" w:eastAsia="黑体"/>
          <w:szCs w:val="28"/>
        </w:rPr>
        <w:t>p</w:t>
      </w:r>
      <w:r>
        <w:rPr>
          <w:rFonts w:eastAsia="黑体"/>
          <w:szCs w:val="28"/>
        </w:rPr>
        <w:t>rocedures for personal bankruptcy debtor</w:t>
      </w:r>
      <w:r>
        <w:rPr>
          <w:rFonts w:eastAsia="黑体"/>
          <w:szCs w:val="28"/>
        </w:rPr>
        <w:fldChar w:fldCharType="end"/>
      </w:r>
      <w:bookmarkEnd w:id="8"/>
    </w:p>
    <w:p>
      <w:pPr>
        <w:framePr w:w="9639" w:h="6974" w:hRule="exact" w:wrap="around" w:vAnchor="page" w:hAnchor="page" w:x="1419" w:y="6408" w:anchorLock="1"/>
        <w:spacing w:line="760" w:lineRule="exact"/>
        <w:ind w:left="-1418"/>
      </w:pPr>
    </w:p>
    <w:p>
      <w:pPr>
        <w:pStyle w:val="129"/>
        <w:framePr w:w="9639" w:h="6974" w:hRule="exact" w:wrap="around" w:vAnchor="page" w:hAnchor="page" w:x="1419" w:y="6408" w:anchorLock="1"/>
        <w:textAlignment w:val="bottom"/>
        <w:rPr>
          <w:rFonts w:eastAsia="黑体"/>
          <w:szCs w:val="28"/>
        </w:rPr>
      </w:pPr>
    </w:p>
    <w:p>
      <w:pPr>
        <w:pStyle w:val="129"/>
        <w:framePr w:w="9639" w:h="6974" w:hRule="exact" w:wrap="around" w:vAnchor="page" w:hAnchor="page" w:x="1419" w:y="6408" w:anchorLock="1"/>
        <w:spacing w:before="440" w:after="160"/>
        <w:textAlignment w:val="bottom"/>
        <w:rPr>
          <w:sz w:val="24"/>
          <w:szCs w:val="28"/>
        </w:rPr>
      </w:pPr>
      <w:bookmarkStart w:id="9" w:name="下拉1"/>
      <w:r>
        <w:rPr>
          <w:rFonts w:hint="eastAsia"/>
          <w:sz w:val="24"/>
          <w:szCs w:val="28"/>
        </w:rPr>
        <w:t>（征求意见稿）</w:t>
      </w:r>
      <w:bookmarkEnd w:id="9"/>
    </w:p>
    <w:p>
      <w:pPr>
        <w:pStyle w:val="129"/>
        <w:framePr w:w="9639" w:h="6974" w:hRule="exact" w:wrap="around" w:vAnchor="page" w:hAnchor="page" w:x="1419" w:y="6408" w:anchorLock="1"/>
        <w:spacing w:before="180" w:line="240" w:lineRule="atLeast"/>
        <w:textAlignment w:val="bottom"/>
        <w:rPr>
          <w:sz w:val="21"/>
          <w:szCs w:val="28"/>
        </w:rPr>
      </w:pPr>
    </w:p>
    <w:p>
      <w:pPr>
        <w:pStyle w:val="129"/>
        <w:framePr w:w="9639" w:h="6974" w:hRule="exact" w:wrap="around" w:vAnchor="page" w:hAnchor="page" w:x="1419" w:y="6408" w:anchorLock="1"/>
        <w:spacing w:before="720" w:beforeLines="300" w:after="72" w:afterLines="30" w:line="240" w:lineRule="auto"/>
        <w:textAlignment w:val="bottom"/>
        <w:rPr>
          <w:b/>
          <w:sz w:val="21"/>
          <w:szCs w:val="28"/>
        </w:rPr>
      </w:pPr>
    </w:p>
    <w:p>
      <w:pPr>
        <w:pStyle w:val="197"/>
        <w:framePr w:y="14176"/>
      </w:pPr>
      <w:r>
        <w:rPr>
          <w:rFonts w:ascii="黑体"/>
        </w:rPr>
        <w:fldChar w:fldCharType="begin">
          <w:ffData>
            <w:name w:val="PLSH_DATE_Y"/>
            <w:enabled/>
            <w:calcOnExit w:val="0"/>
            <w:textInput>
              <w:default w:val="XXXX"/>
              <w:maxLength w:val="4"/>
            </w:textInput>
          </w:ffData>
        </w:fldChar>
      </w:r>
      <w:bookmarkStart w:id="10"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0"/>
      <w:r>
        <w:rPr>
          <w:rFonts w:ascii="黑体"/>
        </w:rPr>
        <w:t>-</w:t>
      </w:r>
      <w:r>
        <w:rPr>
          <w:rFonts w:ascii="黑体"/>
        </w:rPr>
        <w:fldChar w:fldCharType="begin">
          <w:ffData>
            <w:name w:val="PLSH_DATE_M"/>
            <w:enabled/>
            <w:calcOnExit w:val="0"/>
            <w:textInput>
              <w:default w:val="XX"/>
              <w:maxLength w:val="2"/>
            </w:textInput>
          </w:ffData>
        </w:fldChar>
      </w:r>
      <w:bookmarkStart w:id="11"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rPr>
          <w:rFonts w:ascii="黑体"/>
        </w:rPr>
        <w:t>-</w:t>
      </w:r>
      <w:r>
        <w:rPr>
          <w:rFonts w:ascii="黑体"/>
        </w:rPr>
        <w:fldChar w:fldCharType="begin">
          <w:ffData>
            <w:name w:val="PLSH_DATE_D"/>
            <w:enabled/>
            <w:calcOnExit w:val="0"/>
            <w:textInput>
              <w:default w:val="XX"/>
              <w:maxLength w:val="2"/>
            </w:textInput>
          </w:ffData>
        </w:fldChar>
      </w:r>
      <w:bookmarkStart w:id="12"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rPr>
          <w:rFonts w:hint="eastAsia"/>
        </w:rPr>
        <w:t>发布</w:t>
      </w:r>
    </w:p>
    <w:p>
      <w:pPr>
        <w:pStyle w:val="198"/>
        <w:framePr w:y="14176"/>
      </w:pPr>
      <w:r>
        <w:rPr>
          <w:rFonts w:ascii="黑体"/>
        </w:rPr>
        <w:fldChar w:fldCharType="begin">
          <w:ffData>
            <w:name w:val="CROT_DATE_Y"/>
            <w:enabled/>
            <w:calcOnExit w:val="0"/>
            <w:textInput>
              <w:default w:val="XXXX"/>
              <w:maxLength w:val="4"/>
            </w:textInput>
          </w:ffData>
        </w:fldChar>
      </w:r>
      <w:bookmarkStart w:id="13"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3"/>
      <w:r>
        <w:rPr>
          <w:rFonts w:ascii="黑体"/>
        </w:rPr>
        <w:t>-</w:t>
      </w:r>
      <w:r>
        <w:rPr>
          <w:rFonts w:ascii="黑体"/>
        </w:rPr>
        <w:fldChar w:fldCharType="begin">
          <w:ffData>
            <w:name w:val="CROT_DATE_M"/>
            <w:enabled/>
            <w:calcOnExit w:val="0"/>
            <w:textInput>
              <w:default w:val="XX"/>
              <w:maxLength w:val="2"/>
            </w:textInput>
          </w:ffData>
        </w:fldChar>
      </w:r>
      <w:bookmarkStart w:id="14"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ascii="黑体"/>
        </w:rPr>
        <w:t>-</w:t>
      </w:r>
      <w:r>
        <w:rPr>
          <w:rFonts w:ascii="黑体"/>
        </w:rPr>
        <w:fldChar w:fldCharType="begin">
          <w:ffData>
            <w:name w:val="CROT_DATE_D"/>
            <w:enabled/>
            <w:calcOnExit w:val="0"/>
            <w:textInput>
              <w:default w:val="XX"/>
              <w:maxLength w:val="2"/>
            </w:textInput>
          </w:ffData>
        </w:fldChar>
      </w:r>
      <w:bookmarkStart w:id="15"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实施</w:t>
      </w:r>
    </w:p>
    <w:p>
      <w:pPr>
        <w:pStyle w:val="155"/>
        <w:framePr w:h="584" w:hRule="exact" w:hSpace="181" w:vSpace="181" w:y="15027"/>
        <w:rPr>
          <w:rFonts w:hAnsi="黑体"/>
        </w:rPr>
      </w:pPr>
      <w:r>
        <w:rPr>
          <w:rFonts w:hAnsi="黑体"/>
          <w:w w:val="100"/>
          <w:sz w:val="28"/>
        </w:rPr>
        <w:fldChar w:fldCharType="begin">
          <w:ffData>
            <w:name w:val="fm"/>
            <w:enabled/>
            <w:calcOnExit w:val="0"/>
            <w:textInput>
              <w:default w:val="深圳市破产事务管理署"/>
            </w:textInput>
          </w:ffData>
        </w:fldChar>
      </w:r>
      <w:bookmarkStart w:id="16" w:name="fm"/>
      <w:r>
        <w:rPr>
          <w:rFonts w:hAnsi="黑体"/>
          <w:w w:val="100"/>
          <w:sz w:val="28"/>
        </w:rPr>
        <w:instrText xml:space="preserve"> FORMTEXT </w:instrText>
      </w:r>
      <w:r>
        <w:rPr>
          <w:rFonts w:hAnsi="黑体"/>
          <w:w w:val="100"/>
          <w:sz w:val="28"/>
        </w:rPr>
        <w:fldChar w:fldCharType="separate"/>
      </w:r>
      <w:r>
        <w:rPr>
          <w:rFonts w:hAnsi="黑体"/>
          <w:w w:val="100"/>
          <w:sz w:val="28"/>
        </w:rPr>
        <w:t>深圳市破产事务管理署</w:t>
      </w:r>
      <w:r>
        <w:rPr>
          <w:rFonts w:hAnsi="黑体"/>
          <w:w w:val="100"/>
          <w:sz w:val="28"/>
        </w:rPr>
        <w:fldChar w:fldCharType="end"/>
      </w:r>
      <w:bookmarkEnd w:id="16"/>
      <w:r>
        <w:rPr>
          <w:rFonts w:ascii="Times New Roman"/>
          <w:w w:val="100"/>
          <w:sz w:val="28"/>
        </w:rPr>
        <w:t>  </w:t>
      </w:r>
      <w:r>
        <w:rPr>
          <w:rStyle w:val="233"/>
          <w:rFonts w:hint="eastAsia" w:hAnsi="黑体"/>
          <w:position w:val="0"/>
        </w:rPr>
        <w:t>发</w:t>
      </w:r>
      <w:r>
        <w:rPr>
          <w:rStyle w:val="233"/>
          <w:rFonts w:hint="eastAsia" w:hAnsi="黑体"/>
          <w:spacing w:val="0"/>
          <w:position w:val="0"/>
        </w:rPr>
        <w:t>布</w:t>
      </w:r>
    </w:p>
    <w:p>
      <w:pPr>
        <w:rPr>
          <w:rFonts w:ascii="宋体" w:hAnsi="宋体"/>
          <w:sz w:val="28"/>
          <w:szCs w:val="28"/>
        </w:rPr>
        <w:sectPr>
          <w:headerReference r:id="rId6" w:type="first"/>
          <w:footerReference r:id="rId9" w:type="first"/>
          <w:headerReference r:id="rId5" w:type="default"/>
          <w:footerReference r:id="rId7" w:type="default"/>
          <w:footerReference r:id="rId8" w:type="even"/>
          <w:type w:val="continuous"/>
          <w:pgSz w:w="11906" w:h="16838"/>
          <w:pgMar w:top="-338" w:right="1134" w:bottom="1021" w:left="1134" w:header="0" w:footer="0" w:gutter="284"/>
          <w:cols w:space="425" w:num="1"/>
          <w:titlePg/>
          <w:docGrid w:linePitch="312" w:charSpace="0"/>
        </w:sectPr>
      </w:pPr>
      <w:r>
        <w:rPr>
          <w:rFonts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0" r="0" b="0"/>
                <wp:wrapNone/>
                <wp:docPr id="2" name="直接连接符 5"/>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直接连接符 5" o:spid="_x0000_s1026" o:spt="20" style="position:absolute;left:0pt;margin-left:70.85pt;margin-top:728.6pt;height:0pt;width:481.9pt;mso-position-horizontal-relative:page;mso-position-vertical-relative:page;z-index:251661312;mso-width-relative:page;mso-height-relative:page;" filled="f" stroked="t" coordsize="21600,21600" o:gfxdata="UEsFBgAAAAAAAAAAAAAAAAAAAAAAAFBLAwQKAAAAAACHTuJAAAAAAAAAAAAAAAAABAAAAGRycy9Q&#10;SwMEFAAAAAgAh07iQKszHPvXAAAADgEAAA8AAABkcnMvZG93bnJldi54bWxNj81OwzAQhO9IvIO1&#10;SFyq1k4gLQpxegBy40IBcd3GSxIRr9PY/YGnxzlUcNvZHc1+U6xPthcHGn3nWEOyUCCIa2c6bjS8&#10;vVbzOxA+IBvsHZOGb/KwLi8vCsyNO/ILHTahETGEfY4a2hCGXEpft2TRL9xAHG+fbrQYohwbaUY8&#10;xnDby1SppbTYcfzQ4kAPLdVfm73V4Kt32lU/s3qmPm4aR+nu8fkJtb6+StQ9iECn8GeGCT+iQxmZ&#10;tm7Pxos+6ttkFa3TkK1SEJMlUVkGYnveybKQ/2uUv1BLAwQUAAAACACHTuJAS27Nl84BAABtAwAA&#10;DgAAAGRycy9lMm9Eb2MueG1srVPBjtMwEL0j8Q+W7zRppa4garqHrpbLApV2+YCp4yQWtsey3ab9&#10;CX4AiRucOHLnb1g+g7HblGX3hshhFHtm3sy8N15c7o1mO+mDQlvz6aTkTFqBjbJdzd/fXb94yVmI&#10;YBvQaGXNDzLwy+XzZ4vBVXKGPepGekYgNlSDq3kfo6uKIoheGggTdNKSs0VvINLRd0XjYSB0o4tZ&#10;WV4UA/rGeRQyBLq9Ojr5MuO3rRTxXdsGGZmuOfUWs/XZbpItlguoOg+uV+LUBvxDFwaUpaJnqCuI&#10;wLZePYEySngM2MaJQFNg2yoh8ww0zbR8NM1tD07mWYic4M40hf8HK97u1p6ppuYzziwYkuj+0/ef&#10;H7/8+vGZ7P23r2yeSBpcqCh2Zdc+jSn29tbdoPgQmMVVD7aTudm7gyOE6LcyJRV/ZaVDcFRtM7zB&#10;hsJgGzGTtm+9SahEB9tnbQ5nbeQ+MkGXF1OSuyQJxegroBoTnQ/xtUTD0k/NtbKJNqhgdxNiagSq&#10;MSRdW7xWWmfptWVDzV/NZ/OcEFCrJjlTWPDdZqU920FanvzlqcjzMMzj1jbHItqmPJn37lR5nPpI&#10;4Qabw9qP1JCmubfT/qWleXjOBP55J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qzMc+9cAAAAO&#10;AQAADwAAAAAAAAABACAAAAA4AAAAZHJzL2Rvd25yZXYueG1sUEsBAhQAFAAAAAgAh07iQEtuzZfO&#10;AQAAbQMAAA4AAAAAAAAAAQAgAAAAPAEAAGRycy9lMm9Eb2MueG1sUEsFBgAAAAAGAAYAWQEAAHwF&#10;AAAAAA==&#10;">
                <v:fill on="f" focussize="0,0"/>
                <v:stroke color="#000000" joinstyle="round"/>
                <v:imagedata o:title=""/>
                <o:lock v:ext="edit" aspectratio="f"/>
                <w10:anchorlock/>
              </v:line>
            </w:pict>
          </mc:Fallback>
        </mc:AlternateContent>
      </w:r>
    </w:p>
    <w:p>
      <w:pPr>
        <w:pStyle w:val="95"/>
        <w:spacing w:after="468"/>
      </w:pPr>
      <w:bookmarkStart w:id="17" w:name="BookMark1"/>
      <w:bookmarkStart w:id="18" w:name="_Toc122084627"/>
      <w:bookmarkStart w:id="19" w:name="_Toc31338"/>
      <w:bookmarkStart w:id="20" w:name="_Toc58052351"/>
      <w:bookmarkStart w:id="21" w:name="_Toc152335797"/>
      <w:bookmarkStart w:id="22" w:name="_Toc148539947"/>
      <w:bookmarkStart w:id="23" w:name="_Toc152941277"/>
      <w:bookmarkStart w:id="24" w:name="_Toc24570"/>
      <w:bookmarkStart w:id="25" w:name="_Toc2040515570"/>
      <w:bookmarkStart w:id="26" w:name="_Toc11113"/>
      <w:bookmarkStart w:id="27" w:name="_Toc152936602"/>
      <w:bookmarkStart w:id="28" w:name="_Toc152936655"/>
      <w:r>
        <w:rPr>
          <w:rFonts w:hint="eastAsia"/>
          <w:spacing w:val="320"/>
        </w:rPr>
        <w:t>目</w:t>
      </w:r>
      <w:r>
        <w:rPr>
          <w:rFonts w:hint="eastAsia"/>
        </w:rPr>
        <w:t>次</w:t>
      </w:r>
    </w:p>
    <w:p>
      <w:pPr>
        <w:pStyle w:val="20"/>
        <w:tabs>
          <w:tab w:val="right" w:leader="dot" w:pos="9354"/>
        </w:tabs>
      </w:pPr>
      <w:r>
        <w:rPr>
          <w:rFonts w:hint="eastAsia"/>
          <w:lang w:val="en-US" w:eastAsia="zh-CN"/>
        </w:rPr>
        <w:t>前言</w:t>
      </w:r>
      <w:r>
        <w:fldChar w:fldCharType="begin"/>
      </w:r>
      <w:r>
        <w:instrText xml:space="preserve"> TOC \o "1-1" \h \t "标准文件_一级条标题,2,标准文件_附录一级条标题,2," </w:instrText>
      </w:r>
      <w:r>
        <w:fldChar w:fldCharType="separate"/>
      </w:r>
      <w:r>
        <w:fldChar w:fldCharType="begin"/>
      </w:r>
      <w:r>
        <w:instrText xml:space="preserve"> HYPERLINK \l "_Toc1148450426" </w:instrText>
      </w:r>
      <w:r>
        <w:fldChar w:fldCharType="separate"/>
      </w:r>
      <w:r>
        <w:tab/>
      </w:r>
      <w:r>
        <w:fldChar w:fldCharType="begin"/>
      </w:r>
      <w:r>
        <w:instrText xml:space="preserve"> PAGEREF _Toc1148450426 </w:instrText>
      </w:r>
      <w:r>
        <w:fldChar w:fldCharType="separate"/>
      </w:r>
      <w:r>
        <w:t>III</w:t>
      </w:r>
      <w:r>
        <w:fldChar w:fldCharType="end"/>
      </w:r>
      <w:r>
        <w:fldChar w:fldCharType="end"/>
      </w:r>
    </w:p>
    <w:p>
      <w:pPr>
        <w:pStyle w:val="20"/>
        <w:tabs>
          <w:tab w:val="right" w:leader="dot" w:pos="9354"/>
        </w:tabs>
      </w:pPr>
      <w:r>
        <w:fldChar w:fldCharType="begin"/>
      </w:r>
      <w:r>
        <w:instrText xml:space="preserve"> HYPERLINK \l "_Toc1356422825" </w:instrText>
      </w:r>
      <w:r>
        <w:fldChar w:fldCharType="separate"/>
      </w:r>
      <w:r>
        <w:rPr>
          <w:rFonts w:hint="eastAsia" w:ascii="黑体" w:eastAsia="黑体"/>
        </w:rPr>
        <w:t xml:space="preserve">1 </w:t>
      </w:r>
      <w:r>
        <w:rPr>
          <w:rFonts w:hint="eastAsia"/>
        </w:rPr>
        <w:t>范围</w:t>
      </w:r>
      <w:r>
        <w:tab/>
      </w:r>
      <w:r>
        <w:fldChar w:fldCharType="begin"/>
      </w:r>
      <w:r>
        <w:instrText xml:space="preserve"> PAGEREF _Toc1356422825 </w:instrText>
      </w:r>
      <w:r>
        <w:fldChar w:fldCharType="separate"/>
      </w:r>
      <w:r>
        <w:t>1</w:t>
      </w:r>
      <w:r>
        <w:fldChar w:fldCharType="end"/>
      </w:r>
      <w:r>
        <w:fldChar w:fldCharType="end"/>
      </w:r>
    </w:p>
    <w:p>
      <w:pPr>
        <w:pStyle w:val="20"/>
        <w:tabs>
          <w:tab w:val="right" w:leader="dot" w:pos="9354"/>
        </w:tabs>
      </w:pPr>
      <w:r>
        <w:fldChar w:fldCharType="begin"/>
      </w:r>
      <w:r>
        <w:instrText xml:space="preserve"> HYPERLINK \l "_Toc1674584679" </w:instrText>
      </w:r>
      <w:r>
        <w:fldChar w:fldCharType="separate"/>
      </w:r>
      <w:r>
        <w:rPr>
          <w:rFonts w:hint="eastAsia" w:ascii="黑体" w:eastAsia="黑体"/>
        </w:rPr>
        <w:t xml:space="preserve">2 </w:t>
      </w:r>
      <w:r>
        <w:rPr>
          <w:rFonts w:hint="eastAsia"/>
        </w:rPr>
        <w:t>规范性引用文件</w:t>
      </w:r>
      <w:r>
        <w:tab/>
      </w:r>
      <w:r>
        <w:fldChar w:fldCharType="begin"/>
      </w:r>
      <w:r>
        <w:instrText xml:space="preserve"> PAGEREF _Toc1674584679 </w:instrText>
      </w:r>
      <w:r>
        <w:fldChar w:fldCharType="separate"/>
      </w:r>
      <w:r>
        <w:t>1</w:t>
      </w:r>
      <w:r>
        <w:fldChar w:fldCharType="end"/>
      </w:r>
      <w:r>
        <w:fldChar w:fldCharType="end"/>
      </w:r>
    </w:p>
    <w:p>
      <w:pPr>
        <w:pStyle w:val="20"/>
        <w:tabs>
          <w:tab w:val="right" w:leader="dot" w:pos="9354"/>
        </w:tabs>
      </w:pPr>
      <w:r>
        <w:fldChar w:fldCharType="begin"/>
      </w:r>
      <w:r>
        <w:instrText xml:space="preserve"> HYPERLINK \l "_Toc1408516906" </w:instrText>
      </w:r>
      <w:r>
        <w:fldChar w:fldCharType="separate"/>
      </w:r>
      <w:r>
        <w:rPr>
          <w:rFonts w:hint="eastAsia" w:ascii="黑体" w:eastAsia="黑体"/>
        </w:rPr>
        <w:t xml:space="preserve">3 </w:t>
      </w:r>
      <w:r>
        <w:rPr>
          <w:rFonts w:hint="eastAsia"/>
        </w:rPr>
        <w:t>术语和定义</w:t>
      </w:r>
      <w:r>
        <w:tab/>
      </w:r>
      <w:r>
        <w:fldChar w:fldCharType="begin"/>
      </w:r>
      <w:r>
        <w:instrText xml:space="preserve"> PAGEREF _Toc1408516906 </w:instrText>
      </w:r>
      <w:r>
        <w:fldChar w:fldCharType="separate"/>
      </w:r>
      <w:r>
        <w:t>1</w:t>
      </w:r>
      <w:r>
        <w:fldChar w:fldCharType="end"/>
      </w:r>
      <w:r>
        <w:fldChar w:fldCharType="end"/>
      </w:r>
    </w:p>
    <w:p>
      <w:pPr>
        <w:pStyle w:val="20"/>
        <w:tabs>
          <w:tab w:val="right" w:leader="dot" w:pos="9354"/>
        </w:tabs>
      </w:pPr>
      <w:r>
        <w:fldChar w:fldCharType="begin"/>
      </w:r>
      <w:r>
        <w:instrText xml:space="preserve"> HYPERLINK \l "_Toc410589393" </w:instrText>
      </w:r>
      <w:r>
        <w:fldChar w:fldCharType="separate"/>
      </w:r>
      <w:r>
        <w:rPr>
          <w:rFonts w:hint="eastAsia" w:ascii="黑体" w:eastAsia="黑体"/>
        </w:rPr>
        <w:t xml:space="preserve">4 </w:t>
      </w:r>
      <w:r>
        <w:rPr>
          <w:rFonts w:hint="eastAsia"/>
        </w:rPr>
        <w:t>基本原则</w:t>
      </w:r>
      <w:r>
        <w:tab/>
      </w:r>
      <w:r>
        <w:fldChar w:fldCharType="begin"/>
      </w:r>
      <w:r>
        <w:instrText xml:space="preserve"> PAGEREF _Toc410589393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"_Toc1972173991" </w:instrText>
      </w:r>
      <w:r>
        <w:fldChar w:fldCharType="separate"/>
      </w:r>
      <w:r>
        <w:rPr>
          <w:rFonts w:hint="eastAsia" w:ascii="黑体" w:hAnsi="Times New Roman" w:eastAsia="黑体"/>
          <w:kern w:val="0"/>
        </w:rPr>
        <w:t xml:space="preserve">4.1 </w:t>
      </w:r>
      <w:r>
        <w:rPr>
          <w:rFonts w:hint="eastAsia"/>
        </w:rPr>
        <w:t>公平公正原则</w:t>
      </w:r>
      <w:r>
        <w:tab/>
      </w:r>
      <w:r>
        <w:fldChar w:fldCharType="begin"/>
      </w:r>
      <w:r>
        <w:instrText xml:space="preserve"> PAGEREF _Toc1972173991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"_Toc630562792" </w:instrText>
      </w:r>
      <w:r>
        <w:fldChar w:fldCharType="separate"/>
      </w:r>
      <w:r>
        <w:rPr>
          <w:rFonts w:hint="eastAsia" w:ascii="黑体" w:hAnsi="Times New Roman" w:eastAsia="黑体"/>
          <w:kern w:val="0"/>
        </w:rPr>
        <w:t xml:space="preserve">4.2 </w:t>
      </w:r>
      <w:r>
        <w:rPr>
          <w:rFonts w:hint="eastAsia"/>
        </w:rPr>
        <w:t>风险防范原则</w:t>
      </w:r>
      <w:r>
        <w:tab/>
      </w:r>
      <w:r>
        <w:fldChar w:fldCharType="begin"/>
      </w:r>
      <w:r>
        <w:instrText xml:space="preserve"> PAGEREF _Toc630562792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"_Toc1056437050" </w:instrText>
      </w:r>
      <w:r>
        <w:fldChar w:fldCharType="separate"/>
      </w:r>
      <w:r>
        <w:rPr>
          <w:rFonts w:hint="eastAsia" w:ascii="黑体" w:hAnsi="Times New Roman" w:eastAsia="黑体"/>
          <w:kern w:val="0"/>
        </w:rPr>
        <w:t xml:space="preserve">4.3 </w:t>
      </w:r>
      <w:r>
        <w:rPr>
          <w:rFonts w:hint="eastAsia"/>
        </w:rPr>
        <w:t>高效便民原则</w:t>
      </w:r>
      <w:r>
        <w:tab/>
      </w:r>
      <w:r>
        <w:fldChar w:fldCharType="begin"/>
      </w:r>
      <w:r>
        <w:instrText xml:space="preserve"> PAGEREF _Toc1056437050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"_Toc680628371" </w:instrText>
      </w:r>
      <w:r>
        <w:fldChar w:fldCharType="separate"/>
      </w:r>
      <w:r>
        <w:rPr>
          <w:rFonts w:hint="eastAsia" w:ascii="黑体" w:hAnsi="Times New Roman" w:eastAsia="黑体"/>
          <w:kern w:val="0"/>
        </w:rPr>
        <w:t xml:space="preserve">4.4 </w:t>
      </w:r>
      <w:r>
        <w:rPr>
          <w:rFonts w:hint="eastAsia"/>
        </w:rPr>
        <w:t>突出重点原则</w:t>
      </w:r>
      <w:r>
        <w:tab/>
      </w:r>
      <w:r>
        <w:fldChar w:fldCharType="begin"/>
      </w:r>
      <w:r>
        <w:instrText xml:space="preserve"> PAGEREF _Toc680628371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"_Toc261524368" </w:instrText>
      </w:r>
      <w:r>
        <w:fldChar w:fldCharType="separate"/>
      </w:r>
      <w:r>
        <w:rPr>
          <w:rFonts w:hint="eastAsia" w:ascii="黑体" w:hAnsi="Times New Roman" w:eastAsia="黑体"/>
          <w:kern w:val="0"/>
        </w:rPr>
        <w:t xml:space="preserve">4.5 </w:t>
      </w:r>
      <w:r>
        <w:rPr>
          <w:rFonts w:hint="eastAsia"/>
          <w:lang w:bidi="ar"/>
        </w:rPr>
        <w:t>教育引导原则</w:t>
      </w:r>
      <w:r>
        <w:tab/>
      </w:r>
      <w:r>
        <w:fldChar w:fldCharType="begin"/>
      </w:r>
      <w:r>
        <w:instrText xml:space="preserve"> PAGEREF _Toc261524368 </w:instrText>
      </w:r>
      <w:r>
        <w:fldChar w:fldCharType="separate"/>
      </w:r>
      <w:r>
        <w:t>2</w:t>
      </w:r>
      <w:r>
        <w:fldChar w:fldCharType="end"/>
      </w:r>
      <w:r>
        <w:fldChar w:fldCharType="end"/>
      </w:r>
    </w:p>
    <w:p>
      <w:pPr>
        <w:pStyle w:val="20"/>
        <w:tabs>
          <w:tab w:val="right" w:leader="dot" w:pos="9354"/>
        </w:tabs>
      </w:pPr>
      <w:r>
        <w:fldChar w:fldCharType="begin"/>
      </w:r>
      <w:r>
        <w:instrText xml:space="preserve"> HYPERLINK \l "_Toc1494792329" </w:instrText>
      </w:r>
      <w:r>
        <w:fldChar w:fldCharType="separate"/>
      </w:r>
      <w:r>
        <w:rPr>
          <w:rFonts w:hint="eastAsia" w:ascii="黑体" w:eastAsia="黑体"/>
        </w:rPr>
        <w:t xml:space="preserve">5 </w:t>
      </w:r>
      <w:r>
        <w:rPr>
          <w:rFonts w:hint="eastAsia"/>
        </w:rPr>
        <w:t>监督类型</w:t>
      </w:r>
      <w:r>
        <w:tab/>
      </w:r>
      <w:r>
        <w:fldChar w:fldCharType="begin"/>
      </w:r>
      <w:r>
        <w:instrText xml:space="preserve"> PAGEREF _Toc1494792329 </w:instrText>
      </w:r>
      <w:r>
        <w:fldChar w:fldCharType="separate"/>
      </w:r>
      <w:r>
        <w:t>2</w:t>
      </w:r>
      <w:r>
        <w:fldChar w:fldCharType="end"/>
      </w:r>
      <w:r>
        <w:fldChar w:fldCharType="end"/>
      </w:r>
    </w:p>
    <w:p>
      <w:pPr>
        <w:pStyle w:val="20"/>
        <w:tabs>
          <w:tab w:val="right" w:leader="dot" w:pos="9354"/>
        </w:tabs>
      </w:pPr>
      <w:r>
        <w:fldChar w:fldCharType="begin"/>
      </w:r>
      <w:r>
        <w:instrText xml:space="preserve"> HYPERLINK \l "_Toc1318891981" </w:instrText>
      </w:r>
      <w:r>
        <w:fldChar w:fldCharType="separate"/>
      </w:r>
      <w:r>
        <w:rPr>
          <w:rFonts w:hint="eastAsia" w:ascii="黑体" w:eastAsia="黑体"/>
        </w:rPr>
        <w:t xml:space="preserve">6 </w:t>
      </w:r>
      <w:r>
        <w:rPr>
          <w:rFonts w:hint="eastAsia"/>
        </w:rPr>
        <w:t>日常监督</w:t>
      </w:r>
      <w:r>
        <w:tab/>
      </w:r>
      <w:r>
        <w:fldChar w:fldCharType="begin"/>
      </w:r>
      <w:r>
        <w:instrText xml:space="preserve"> PAGEREF _Toc1318891981 </w:instrText>
      </w:r>
      <w:r>
        <w:fldChar w:fldCharType="separate"/>
      </w:r>
      <w:r>
        <w:t>3</w:t>
      </w:r>
      <w:r>
        <w:fldChar w:fldCharType="end"/>
      </w:r>
      <w:r>
        <w:fldChar w:fldCharType="end"/>
      </w:r>
    </w:p>
    <w:p>
      <w:pPr>
        <w:pStyle w:val="25"/>
        <w:tabs>
          <w:tab w:val="right" w:leader="dot" w:pos="9354"/>
          <w:tab w:val="clear" w:pos="9344"/>
        </w:tabs>
      </w:pPr>
      <w:r>
        <w:fldChar w:fldCharType="begin"/>
      </w:r>
      <w:r>
        <w:instrText xml:space="preserve"> HYPERLINK \l "_Toc1146633367" </w:instrText>
      </w:r>
      <w:r>
        <w:fldChar w:fldCharType="separate"/>
      </w:r>
      <w:r>
        <w:rPr>
          <w:rFonts w:hint="eastAsia" w:ascii="黑体" w:hAnsi="Times New Roman" w:eastAsia="黑体"/>
          <w:kern w:val="0"/>
        </w:rPr>
        <w:t xml:space="preserve">6.1 </w:t>
      </w:r>
      <w:r>
        <w:rPr>
          <w:rFonts w:hint="eastAsia"/>
        </w:rPr>
        <w:t>监督对象</w:t>
      </w:r>
      <w:r>
        <w:tab/>
      </w:r>
      <w:r>
        <w:fldChar w:fldCharType="begin"/>
      </w:r>
      <w:r>
        <w:instrText xml:space="preserve"> PAGEREF _Toc1146633367 </w:instrText>
      </w:r>
      <w:r>
        <w:fldChar w:fldCharType="separate"/>
      </w:r>
      <w:r>
        <w:t>3</w:t>
      </w:r>
      <w:r>
        <w:fldChar w:fldCharType="end"/>
      </w:r>
      <w:r>
        <w:fldChar w:fldCharType="end"/>
      </w:r>
    </w:p>
    <w:p>
      <w:pPr>
        <w:pStyle w:val="25"/>
        <w:tabs>
          <w:tab w:val="right" w:leader="dot" w:pos="9354"/>
          <w:tab w:val="clear" w:pos="9344"/>
        </w:tabs>
      </w:pPr>
      <w:r>
        <w:fldChar w:fldCharType="begin"/>
      </w:r>
      <w:r>
        <w:instrText xml:space="preserve"> HYPERLINK \l "_Toc423961491" </w:instrText>
      </w:r>
      <w:r>
        <w:fldChar w:fldCharType="separate"/>
      </w:r>
      <w:r>
        <w:rPr>
          <w:rFonts w:hint="eastAsia" w:ascii="黑体" w:hAnsi="Times New Roman" w:eastAsia="黑体"/>
          <w:kern w:val="0"/>
        </w:rPr>
        <w:t xml:space="preserve">6.2 </w:t>
      </w:r>
      <w:r>
        <w:rPr>
          <w:rFonts w:hint="eastAsia"/>
        </w:rPr>
        <w:t>监督频次</w:t>
      </w:r>
      <w:r>
        <w:tab/>
      </w:r>
      <w:r>
        <w:fldChar w:fldCharType="begin"/>
      </w:r>
      <w:r>
        <w:instrText xml:space="preserve"> PAGEREF _Toc423961491 </w:instrText>
      </w:r>
      <w:r>
        <w:fldChar w:fldCharType="separate"/>
      </w:r>
      <w:r>
        <w:t>3</w:t>
      </w:r>
      <w:r>
        <w:fldChar w:fldCharType="end"/>
      </w:r>
      <w:r>
        <w:fldChar w:fldCharType="end"/>
      </w:r>
    </w:p>
    <w:p>
      <w:pPr>
        <w:pStyle w:val="25"/>
        <w:tabs>
          <w:tab w:val="right" w:leader="dot" w:pos="9354"/>
          <w:tab w:val="clear" w:pos="9344"/>
        </w:tabs>
      </w:pPr>
      <w:r>
        <w:fldChar w:fldCharType="begin"/>
      </w:r>
      <w:r>
        <w:instrText xml:space="preserve"> HYPERLINK \l "_Toc461683911" </w:instrText>
      </w:r>
      <w:r>
        <w:fldChar w:fldCharType="separate"/>
      </w:r>
      <w:r>
        <w:rPr>
          <w:rFonts w:hint="eastAsia" w:ascii="黑体" w:hAnsi="Times New Roman" w:eastAsia="黑体"/>
          <w:kern w:val="0"/>
        </w:rPr>
        <w:t xml:space="preserve">6.3 </w:t>
      </w:r>
      <w:r>
        <w:rPr>
          <w:rFonts w:hint="eastAsia"/>
        </w:rPr>
        <w:t>监督事项</w:t>
      </w:r>
      <w:r>
        <w:tab/>
      </w:r>
      <w:r>
        <w:fldChar w:fldCharType="begin"/>
      </w:r>
      <w:r>
        <w:instrText xml:space="preserve"> PAGEREF _Toc461683911 </w:instrText>
      </w:r>
      <w:r>
        <w:fldChar w:fldCharType="separate"/>
      </w:r>
      <w:r>
        <w:t>3</w:t>
      </w:r>
      <w:r>
        <w:fldChar w:fldCharType="end"/>
      </w:r>
      <w:r>
        <w:fldChar w:fldCharType="end"/>
      </w:r>
    </w:p>
    <w:p>
      <w:pPr>
        <w:pStyle w:val="25"/>
        <w:tabs>
          <w:tab w:val="right" w:leader="dot" w:pos="9354"/>
          <w:tab w:val="clear" w:pos="9344"/>
        </w:tabs>
      </w:pPr>
      <w:r>
        <w:fldChar w:fldCharType="begin"/>
      </w:r>
      <w:r>
        <w:instrText xml:space="preserve"> HYPERLINK \l "_Toc692097610" </w:instrText>
      </w:r>
      <w:r>
        <w:fldChar w:fldCharType="separate"/>
      </w:r>
      <w:r>
        <w:rPr>
          <w:rFonts w:hint="eastAsia" w:ascii="黑体" w:hAnsi="Times New Roman" w:eastAsia="黑体"/>
          <w:kern w:val="0"/>
        </w:rPr>
        <w:t xml:space="preserve">6.4 </w:t>
      </w:r>
      <w:r>
        <w:rPr>
          <w:rFonts w:hint="eastAsia"/>
        </w:rPr>
        <w:t>监督方式</w:t>
      </w:r>
      <w:r>
        <w:tab/>
      </w:r>
      <w:r>
        <w:fldChar w:fldCharType="begin"/>
      </w:r>
      <w:r>
        <w:instrText xml:space="preserve"> PAGEREF _Toc692097610 </w:instrText>
      </w:r>
      <w:r>
        <w:fldChar w:fldCharType="separate"/>
      </w:r>
      <w:r>
        <w:t>3</w:t>
      </w:r>
      <w:r>
        <w:fldChar w:fldCharType="end"/>
      </w:r>
      <w:r>
        <w:fldChar w:fldCharType="end"/>
      </w:r>
    </w:p>
    <w:p>
      <w:pPr>
        <w:pStyle w:val="25"/>
        <w:tabs>
          <w:tab w:val="right" w:leader="dot" w:pos="9354"/>
          <w:tab w:val="clear" w:pos="9344"/>
        </w:tabs>
      </w:pPr>
      <w:r>
        <w:fldChar w:fldCharType="begin"/>
      </w:r>
      <w:r>
        <w:instrText xml:space="preserve"> HYPERLINK \l "_Toc132691202" </w:instrText>
      </w:r>
      <w:r>
        <w:fldChar w:fldCharType="separate"/>
      </w:r>
      <w:r>
        <w:rPr>
          <w:rFonts w:hint="eastAsia" w:ascii="黑体" w:hAnsi="Times New Roman" w:eastAsia="黑体"/>
          <w:kern w:val="0"/>
        </w:rPr>
        <w:t xml:space="preserve">6.5 </w:t>
      </w:r>
      <w:r>
        <w:rPr>
          <w:rFonts w:hint="eastAsia"/>
        </w:rPr>
        <w:t>监督流程</w:t>
      </w:r>
      <w:r>
        <w:tab/>
      </w:r>
      <w:r>
        <w:fldChar w:fldCharType="begin"/>
      </w:r>
      <w:r>
        <w:instrText xml:space="preserve"> PAGEREF _Toc132691202 </w:instrText>
      </w:r>
      <w:r>
        <w:fldChar w:fldCharType="separate"/>
      </w:r>
      <w:r>
        <w:t>3</w:t>
      </w:r>
      <w:r>
        <w:fldChar w:fldCharType="end"/>
      </w:r>
      <w:r>
        <w:fldChar w:fldCharType="end"/>
      </w:r>
    </w:p>
    <w:p>
      <w:pPr>
        <w:pStyle w:val="25"/>
        <w:tabs>
          <w:tab w:val="right" w:leader="dot" w:pos="9354"/>
          <w:tab w:val="clear" w:pos="9344"/>
        </w:tabs>
      </w:pPr>
      <w:r>
        <w:fldChar w:fldCharType="begin"/>
      </w:r>
      <w:r>
        <w:instrText xml:space="preserve"> HYPERLINK \l "_Toc1356935151" </w:instrText>
      </w:r>
      <w:r>
        <w:fldChar w:fldCharType="separate"/>
      </w:r>
      <w:r>
        <w:rPr>
          <w:rFonts w:hint="eastAsia" w:ascii="黑体" w:hAnsi="Times New Roman" w:eastAsia="黑体"/>
          <w:kern w:val="0"/>
        </w:rPr>
        <w:t xml:space="preserve">6.6 </w:t>
      </w:r>
      <w:r>
        <w:rPr>
          <w:rFonts w:hint="eastAsia"/>
        </w:rPr>
        <w:t>工作人员要求</w:t>
      </w:r>
      <w:r>
        <w:tab/>
      </w:r>
      <w:r>
        <w:fldChar w:fldCharType="begin"/>
      </w:r>
      <w:r>
        <w:instrText xml:space="preserve"> PAGEREF _Toc1356935151 </w:instrText>
      </w:r>
      <w:r>
        <w:fldChar w:fldCharType="separate"/>
      </w:r>
      <w:r>
        <w:t>5</w:t>
      </w:r>
      <w:r>
        <w:fldChar w:fldCharType="end"/>
      </w:r>
      <w:r>
        <w:fldChar w:fldCharType="end"/>
      </w:r>
    </w:p>
    <w:p>
      <w:pPr>
        <w:pStyle w:val="20"/>
        <w:tabs>
          <w:tab w:val="right" w:leader="dot" w:pos="9354"/>
        </w:tabs>
      </w:pPr>
      <w:r>
        <w:fldChar w:fldCharType="begin"/>
      </w:r>
      <w:r>
        <w:instrText xml:space="preserve"> HYPERLINK \l "_Toc638716295" </w:instrText>
      </w:r>
      <w:r>
        <w:fldChar w:fldCharType="separate"/>
      </w:r>
      <w:r>
        <w:rPr>
          <w:rFonts w:hint="eastAsia" w:ascii="黑体" w:eastAsia="黑体"/>
        </w:rPr>
        <w:t xml:space="preserve">7 </w:t>
      </w:r>
      <w:r>
        <w:rPr>
          <w:rFonts w:hint="eastAsia"/>
        </w:rPr>
        <w:t>专项监督</w:t>
      </w:r>
      <w:r>
        <w:tab/>
      </w:r>
      <w:r>
        <w:fldChar w:fldCharType="begin"/>
      </w:r>
      <w:r>
        <w:instrText xml:space="preserve"> PAGEREF _Toc638716295 </w:instrText>
      </w:r>
      <w:r>
        <w:fldChar w:fldCharType="separate"/>
      </w:r>
      <w:r>
        <w:t>6</w:t>
      </w:r>
      <w:r>
        <w:fldChar w:fldCharType="end"/>
      </w:r>
      <w:r>
        <w:fldChar w:fldCharType="end"/>
      </w:r>
    </w:p>
    <w:p>
      <w:pPr>
        <w:pStyle w:val="25"/>
        <w:tabs>
          <w:tab w:val="right" w:leader="dot" w:pos="9354"/>
          <w:tab w:val="clear" w:pos="9344"/>
        </w:tabs>
      </w:pPr>
      <w:r>
        <w:fldChar w:fldCharType="begin"/>
      </w:r>
      <w:r>
        <w:instrText xml:space="preserve"> HYPERLINK \l "_Toc299329212" </w:instrText>
      </w:r>
      <w:r>
        <w:fldChar w:fldCharType="separate"/>
      </w:r>
      <w:r>
        <w:rPr>
          <w:rFonts w:hint="eastAsia" w:ascii="黑体" w:hAnsi="Times New Roman" w:eastAsia="黑体"/>
          <w:kern w:val="0"/>
        </w:rPr>
        <w:t xml:space="preserve">7.1 </w:t>
      </w:r>
      <w:r>
        <w:rPr>
          <w:rFonts w:hint="eastAsia"/>
        </w:rPr>
        <w:t>监督启动</w:t>
      </w:r>
      <w:r>
        <w:tab/>
      </w:r>
      <w:r>
        <w:fldChar w:fldCharType="begin"/>
      </w:r>
      <w:r>
        <w:instrText xml:space="preserve"> PAGEREF _Toc299329212 </w:instrText>
      </w:r>
      <w:r>
        <w:fldChar w:fldCharType="separate"/>
      </w:r>
      <w:r>
        <w:t>6</w:t>
      </w:r>
      <w:r>
        <w:fldChar w:fldCharType="end"/>
      </w:r>
      <w:r>
        <w:fldChar w:fldCharType="end"/>
      </w:r>
    </w:p>
    <w:p>
      <w:pPr>
        <w:pStyle w:val="25"/>
        <w:tabs>
          <w:tab w:val="right" w:leader="dot" w:pos="9354"/>
          <w:tab w:val="clear" w:pos="9344"/>
        </w:tabs>
      </w:pPr>
      <w:r>
        <w:fldChar w:fldCharType="begin"/>
      </w:r>
      <w:r>
        <w:instrText xml:space="preserve"> HYPERLINK \l "_Toc1054262663" </w:instrText>
      </w:r>
      <w:r>
        <w:fldChar w:fldCharType="separate"/>
      </w:r>
      <w:r>
        <w:rPr>
          <w:rFonts w:hint="eastAsia" w:ascii="黑体" w:hAnsi="Times New Roman" w:eastAsia="黑体"/>
          <w:kern w:val="0"/>
        </w:rPr>
        <w:t xml:space="preserve">7.2 </w:t>
      </w:r>
      <w:r>
        <w:rPr>
          <w:rFonts w:hint="eastAsia"/>
        </w:rPr>
        <w:t>监督对象</w:t>
      </w:r>
      <w:r>
        <w:tab/>
      </w:r>
      <w:r>
        <w:fldChar w:fldCharType="begin"/>
      </w:r>
      <w:r>
        <w:instrText xml:space="preserve"> PAGEREF _Toc1054262663 </w:instrText>
      </w:r>
      <w:r>
        <w:fldChar w:fldCharType="separate"/>
      </w:r>
      <w:r>
        <w:t>6</w:t>
      </w:r>
      <w:r>
        <w:fldChar w:fldCharType="end"/>
      </w:r>
      <w:r>
        <w:fldChar w:fldCharType="end"/>
      </w:r>
    </w:p>
    <w:p>
      <w:pPr>
        <w:pStyle w:val="25"/>
        <w:tabs>
          <w:tab w:val="right" w:leader="dot" w:pos="9354"/>
          <w:tab w:val="clear" w:pos="9344"/>
        </w:tabs>
      </w:pPr>
      <w:r>
        <w:fldChar w:fldCharType="begin"/>
      </w:r>
      <w:r>
        <w:instrText xml:space="preserve"> HYPERLINK \l "_Toc357526387" </w:instrText>
      </w:r>
      <w:r>
        <w:fldChar w:fldCharType="separate"/>
      </w:r>
      <w:r>
        <w:rPr>
          <w:rFonts w:hint="eastAsia" w:ascii="黑体" w:hAnsi="Times New Roman" w:eastAsia="黑体"/>
          <w:kern w:val="0"/>
        </w:rPr>
        <w:t xml:space="preserve">7.3 </w:t>
      </w:r>
      <w:r>
        <w:rPr>
          <w:rFonts w:hint="eastAsia"/>
        </w:rPr>
        <w:t>监督频次</w:t>
      </w:r>
      <w:r>
        <w:tab/>
      </w:r>
      <w:r>
        <w:fldChar w:fldCharType="begin"/>
      </w:r>
      <w:r>
        <w:instrText xml:space="preserve"> PAGEREF _Toc357526387 </w:instrText>
      </w:r>
      <w:r>
        <w:fldChar w:fldCharType="separate"/>
      </w:r>
      <w:r>
        <w:t>6</w:t>
      </w:r>
      <w:r>
        <w:fldChar w:fldCharType="end"/>
      </w:r>
      <w:r>
        <w:fldChar w:fldCharType="end"/>
      </w:r>
    </w:p>
    <w:p>
      <w:pPr>
        <w:pStyle w:val="25"/>
        <w:tabs>
          <w:tab w:val="right" w:leader="dot" w:pos="9354"/>
          <w:tab w:val="clear" w:pos="9344"/>
        </w:tabs>
      </w:pPr>
      <w:r>
        <w:fldChar w:fldCharType="begin"/>
      </w:r>
      <w:r>
        <w:instrText xml:space="preserve"> HYPERLINK \l "_Toc1801002476" </w:instrText>
      </w:r>
      <w:r>
        <w:fldChar w:fldCharType="separate"/>
      </w:r>
      <w:r>
        <w:rPr>
          <w:rFonts w:hint="eastAsia" w:ascii="黑体" w:hAnsi="Times New Roman" w:eastAsia="黑体"/>
          <w:kern w:val="0"/>
        </w:rPr>
        <w:t xml:space="preserve">7.4 </w:t>
      </w:r>
      <w:r>
        <w:rPr>
          <w:rFonts w:hint="eastAsia"/>
        </w:rPr>
        <w:t>监督事项</w:t>
      </w:r>
      <w:r>
        <w:tab/>
      </w:r>
      <w:r>
        <w:fldChar w:fldCharType="begin"/>
      </w:r>
      <w:r>
        <w:instrText xml:space="preserve"> PAGEREF _Toc1801002476 </w:instrText>
      </w:r>
      <w:r>
        <w:fldChar w:fldCharType="separate"/>
      </w:r>
      <w:r>
        <w:t>6</w:t>
      </w:r>
      <w:r>
        <w:fldChar w:fldCharType="end"/>
      </w:r>
      <w:r>
        <w:fldChar w:fldCharType="end"/>
      </w:r>
    </w:p>
    <w:p>
      <w:pPr>
        <w:pStyle w:val="25"/>
        <w:tabs>
          <w:tab w:val="right" w:leader="dot" w:pos="9354"/>
          <w:tab w:val="clear" w:pos="9344"/>
        </w:tabs>
      </w:pPr>
      <w:r>
        <w:fldChar w:fldCharType="begin"/>
      </w:r>
      <w:r>
        <w:instrText xml:space="preserve"> HYPERLINK \l "_Toc224400231" </w:instrText>
      </w:r>
      <w:r>
        <w:fldChar w:fldCharType="separate"/>
      </w:r>
      <w:r>
        <w:rPr>
          <w:rFonts w:hint="eastAsia" w:ascii="黑体" w:hAnsi="Times New Roman" w:eastAsia="黑体"/>
          <w:kern w:val="0"/>
        </w:rPr>
        <w:t xml:space="preserve">7.5 </w:t>
      </w:r>
      <w:r>
        <w:rPr>
          <w:rFonts w:hint="eastAsia"/>
        </w:rPr>
        <w:t>监督方式</w:t>
      </w:r>
      <w:r>
        <w:tab/>
      </w:r>
      <w:r>
        <w:fldChar w:fldCharType="begin"/>
      </w:r>
      <w:r>
        <w:instrText xml:space="preserve"> PAGEREF _Toc224400231 </w:instrText>
      </w:r>
      <w:r>
        <w:fldChar w:fldCharType="separate"/>
      </w:r>
      <w:r>
        <w:t>7</w:t>
      </w:r>
      <w:r>
        <w:fldChar w:fldCharType="end"/>
      </w:r>
      <w:r>
        <w:fldChar w:fldCharType="end"/>
      </w:r>
    </w:p>
    <w:p>
      <w:pPr>
        <w:pStyle w:val="25"/>
        <w:tabs>
          <w:tab w:val="right" w:leader="dot" w:pos="9354"/>
          <w:tab w:val="clear" w:pos="9344"/>
        </w:tabs>
      </w:pPr>
      <w:r>
        <w:fldChar w:fldCharType="begin"/>
      </w:r>
      <w:r>
        <w:instrText xml:space="preserve"> HYPERLINK \l "_Toc1609709509" </w:instrText>
      </w:r>
      <w:r>
        <w:fldChar w:fldCharType="separate"/>
      </w:r>
      <w:r>
        <w:rPr>
          <w:rFonts w:hint="eastAsia" w:ascii="黑体" w:hAnsi="Times New Roman" w:eastAsia="黑体"/>
          <w:kern w:val="0"/>
        </w:rPr>
        <w:t xml:space="preserve">7.6 </w:t>
      </w:r>
      <w:r>
        <w:rPr>
          <w:rFonts w:hint="eastAsia"/>
        </w:rPr>
        <w:t>监督流程</w:t>
      </w:r>
      <w:r>
        <w:tab/>
      </w:r>
      <w:r>
        <w:fldChar w:fldCharType="begin"/>
      </w:r>
      <w:r>
        <w:instrText xml:space="preserve"> PAGEREF _Toc1609709509 </w:instrText>
      </w:r>
      <w:r>
        <w:fldChar w:fldCharType="separate"/>
      </w:r>
      <w:r>
        <w:t>8</w:t>
      </w:r>
      <w:r>
        <w:fldChar w:fldCharType="end"/>
      </w:r>
      <w:r>
        <w:fldChar w:fldCharType="end"/>
      </w:r>
    </w:p>
    <w:p>
      <w:pPr>
        <w:pStyle w:val="25"/>
        <w:tabs>
          <w:tab w:val="right" w:leader="dot" w:pos="9354"/>
          <w:tab w:val="clear" w:pos="9344"/>
        </w:tabs>
      </w:pPr>
      <w:r>
        <w:fldChar w:fldCharType="begin"/>
      </w:r>
      <w:r>
        <w:instrText xml:space="preserve"> HYPERLINK \l "_Toc1050223616" </w:instrText>
      </w:r>
      <w:r>
        <w:fldChar w:fldCharType="separate"/>
      </w:r>
      <w:r>
        <w:rPr>
          <w:rFonts w:hint="eastAsia" w:ascii="黑体" w:hAnsi="Times New Roman" w:eastAsia="黑体"/>
          <w:kern w:val="0"/>
        </w:rPr>
        <w:t xml:space="preserve">7.7 </w:t>
      </w:r>
      <w:r>
        <w:rPr>
          <w:rFonts w:hint="eastAsia"/>
        </w:rPr>
        <w:t>工作人员要求</w:t>
      </w:r>
      <w:r>
        <w:tab/>
      </w:r>
      <w:r>
        <w:fldChar w:fldCharType="begin"/>
      </w:r>
      <w:r>
        <w:instrText xml:space="preserve"> PAGEREF _Toc1050223616 </w:instrText>
      </w:r>
      <w:r>
        <w:fldChar w:fldCharType="separate"/>
      </w:r>
      <w:r>
        <w:t>9</w:t>
      </w:r>
      <w:r>
        <w:fldChar w:fldCharType="end"/>
      </w:r>
      <w:r>
        <w:fldChar w:fldCharType="end"/>
      </w:r>
    </w:p>
    <w:p>
      <w:pPr>
        <w:pStyle w:val="20"/>
        <w:tabs>
          <w:tab w:val="right" w:leader="dot" w:pos="9354"/>
        </w:tabs>
      </w:pPr>
      <w:r>
        <w:fldChar w:fldCharType="begin"/>
      </w:r>
      <w:r>
        <w:instrText xml:space="preserve"> HYPERLINK \l "_Toc780304760" </w:instrText>
      </w:r>
      <w:r>
        <w:fldChar w:fldCharType="separate"/>
      </w:r>
      <w:r>
        <w:rPr>
          <w:rFonts w:hint="eastAsia" w:ascii="黑体" w:eastAsia="黑体"/>
        </w:rPr>
        <w:t xml:space="preserve">8 </w:t>
      </w:r>
      <w:r>
        <w:rPr>
          <w:rFonts w:hint="eastAsia"/>
        </w:rPr>
        <w:t>投诉监督</w:t>
      </w:r>
      <w:r>
        <w:tab/>
      </w:r>
      <w:r>
        <w:fldChar w:fldCharType="begin"/>
      </w:r>
      <w:r>
        <w:instrText xml:space="preserve"> PAGEREF _Toc780304760 </w:instrText>
      </w:r>
      <w:r>
        <w:fldChar w:fldCharType="separate"/>
      </w:r>
      <w:r>
        <w:t>10</w:t>
      </w:r>
      <w:r>
        <w:fldChar w:fldCharType="end"/>
      </w:r>
      <w:r>
        <w:fldChar w:fldCharType="end"/>
      </w:r>
    </w:p>
    <w:p>
      <w:pPr>
        <w:pStyle w:val="25"/>
        <w:tabs>
          <w:tab w:val="right" w:leader="dot" w:pos="9354"/>
          <w:tab w:val="clear" w:pos="9344"/>
        </w:tabs>
      </w:pPr>
      <w:r>
        <w:fldChar w:fldCharType="begin"/>
      </w:r>
      <w:r>
        <w:instrText xml:space="preserve"> HYPERLINK \l "_Toc1136422070" </w:instrText>
      </w:r>
      <w:r>
        <w:fldChar w:fldCharType="separate"/>
      </w:r>
      <w:r>
        <w:rPr>
          <w:rFonts w:hint="eastAsia" w:ascii="黑体" w:hAnsi="Times New Roman" w:eastAsia="黑体"/>
          <w:kern w:val="0"/>
        </w:rPr>
        <w:t xml:space="preserve">8.1 </w:t>
      </w:r>
      <w:r>
        <w:rPr>
          <w:rFonts w:hint="eastAsia"/>
        </w:rPr>
        <w:t>监督对象</w:t>
      </w:r>
      <w:r>
        <w:tab/>
      </w:r>
      <w:r>
        <w:fldChar w:fldCharType="begin"/>
      </w:r>
      <w:r>
        <w:instrText xml:space="preserve"> PAGEREF _Toc1136422070 </w:instrText>
      </w:r>
      <w:r>
        <w:fldChar w:fldCharType="separate"/>
      </w:r>
      <w:r>
        <w:t>10</w:t>
      </w:r>
      <w:r>
        <w:fldChar w:fldCharType="end"/>
      </w:r>
      <w:r>
        <w:fldChar w:fldCharType="end"/>
      </w:r>
    </w:p>
    <w:p>
      <w:pPr>
        <w:pStyle w:val="25"/>
        <w:tabs>
          <w:tab w:val="right" w:leader="dot" w:pos="9354"/>
          <w:tab w:val="clear" w:pos="9344"/>
        </w:tabs>
      </w:pPr>
      <w:r>
        <w:fldChar w:fldCharType="begin"/>
      </w:r>
      <w:r>
        <w:instrText xml:space="preserve"> HYPERLINK \l "_Toc449119504" </w:instrText>
      </w:r>
      <w:r>
        <w:fldChar w:fldCharType="separate"/>
      </w:r>
      <w:r>
        <w:rPr>
          <w:rFonts w:hint="eastAsia" w:ascii="黑体" w:hAnsi="Times New Roman" w:eastAsia="黑体"/>
          <w:kern w:val="0"/>
        </w:rPr>
        <w:t xml:space="preserve">8.2 </w:t>
      </w:r>
      <w:r>
        <w:rPr>
          <w:rFonts w:hint="eastAsia"/>
        </w:rPr>
        <w:t>时限要求</w:t>
      </w:r>
      <w:r>
        <w:tab/>
      </w:r>
      <w:r>
        <w:fldChar w:fldCharType="begin"/>
      </w:r>
      <w:r>
        <w:instrText xml:space="preserve"> PAGEREF _Toc449119504 </w:instrText>
      </w:r>
      <w:r>
        <w:fldChar w:fldCharType="separate"/>
      </w:r>
      <w:r>
        <w:t>10</w:t>
      </w:r>
      <w:r>
        <w:fldChar w:fldCharType="end"/>
      </w:r>
      <w:r>
        <w:fldChar w:fldCharType="end"/>
      </w:r>
    </w:p>
    <w:p>
      <w:pPr>
        <w:pStyle w:val="25"/>
        <w:tabs>
          <w:tab w:val="right" w:leader="dot" w:pos="9354"/>
          <w:tab w:val="clear" w:pos="9344"/>
        </w:tabs>
      </w:pPr>
      <w:r>
        <w:fldChar w:fldCharType="begin"/>
      </w:r>
      <w:r>
        <w:instrText xml:space="preserve"> HYPERLINK \l "_Toc688676435" </w:instrText>
      </w:r>
      <w:r>
        <w:fldChar w:fldCharType="separate"/>
      </w:r>
      <w:r>
        <w:rPr>
          <w:rFonts w:hint="eastAsia" w:ascii="黑体" w:hAnsi="Times New Roman" w:eastAsia="黑体"/>
          <w:kern w:val="0"/>
        </w:rPr>
        <w:t xml:space="preserve">8.3 </w:t>
      </w:r>
      <w:r>
        <w:rPr>
          <w:rFonts w:hint="eastAsia"/>
        </w:rPr>
        <w:t>监督事项</w:t>
      </w:r>
      <w:r>
        <w:tab/>
      </w:r>
      <w:r>
        <w:fldChar w:fldCharType="begin"/>
      </w:r>
      <w:r>
        <w:instrText xml:space="preserve"> PAGEREF _Toc688676435 </w:instrText>
      </w:r>
      <w:r>
        <w:fldChar w:fldCharType="separate"/>
      </w:r>
      <w:r>
        <w:t>10</w:t>
      </w:r>
      <w:r>
        <w:fldChar w:fldCharType="end"/>
      </w:r>
      <w:r>
        <w:fldChar w:fldCharType="end"/>
      </w:r>
    </w:p>
    <w:p>
      <w:pPr>
        <w:pStyle w:val="25"/>
        <w:tabs>
          <w:tab w:val="right" w:leader="dot" w:pos="9354"/>
          <w:tab w:val="clear" w:pos="9344"/>
        </w:tabs>
      </w:pPr>
      <w:r>
        <w:fldChar w:fldCharType="begin"/>
      </w:r>
      <w:r>
        <w:instrText xml:space="preserve"> HYPERLINK \l "_Toc1245351411" </w:instrText>
      </w:r>
      <w:r>
        <w:fldChar w:fldCharType="separate"/>
      </w:r>
      <w:r>
        <w:rPr>
          <w:rFonts w:hint="eastAsia" w:ascii="黑体" w:hAnsi="Times New Roman" w:eastAsia="黑体"/>
          <w:kern w:val="0"/>
        </w:rPr>
        <w:t xml:space="preserve">8.4 </w:t>
      </w:r>
      <w:r>
        <w:rPr>
          <w:rFonts w:hint="eastAsia"/>
        </w:rPr>
        <w:t>监督方式</w:t>
      </w:r>
      <w:r>
        <w:tab/>
      </w:r>
      <w:r>
        <w:fldChar w:fldCharType="begin"/>
      </w:r>
      <w:r>
        <w:instrText xml:space="preserve"> PAGEREF _Toc1245351411 </w:instrText>
      </w:r>
      <w:r>
        <w:fldChar w:fldCharType="separate"/>
      </w:r>
      <w:r>
        <w:t>10</w:t>
      </w:r>
      <w:r>
        <w:fldChar w:fldCharType="end"/>
      </w:r>
      <w:r>
        <w:fldChar w:fldCharType="end"/>
      </w:r>
    </w:p>
    <w:p>
      <w:pPr>
        <w:pStyle w:val="25"/>
        <w:tabs>
          <w:tab w:val="right" w:leader="dot" w:pos="9354"/>
          <w:tab w:val="clear" w:pos="9344"/>
        </w:tabs>
      </w:pPr>
      <w:r>
        <w:fldChar w:fldCharType="begin"/>
      </w:r>
      <w:r>
        <w:instrText xml:space="preserve"> HYPERLINK \l "_Toc1597569930" </w:instrText>
      </w:r>
      <w:r>
        <w:fldChar w:fldCharType="separate"/>
      </w:r>
      <w:r>
        <w:rPr>
          <w:rFonts w:hint="eastAsia" w:ascii="黑体" w:hAnsi="Times New Roman" w:eastAsia="黑体"/>
          <w:kern w:val="0"/>
        </w:rPr>
        <w:t xml:space="preserve">8.5 </w:t>
      </w:r>
      <w:r>
        <w:rPr>
          <w:rFonts w:hint="eastAsia"/>
        </w:rPr>
        <w:t>监督流程</w:t>
      </w:r>
      <w:r>
        <w:tab/>
      </w:r>
      <w:r>
        <w:fldChar w:fldCharType="begin"/>
      </w:r>
      <w:r>
        <w:instrText xml:space="preserve"> PAGEREF _Toc1597569930 </w:instrText>
      </w:r>
      <w:r>
        <w:fldChar w:fldCharType="separate"/>
      </w:r>
      <w:r>
        <w:t>10</w:t>
      </w:r>
      <w:r>
        <w:fldChar w:fldCharType="end"/>
      </w:r>
      <w:r>
        <w:fldChar w:fldCharType="end"/>
      </w:r>
    </w:p>
    <w:p>
      <w:pPr>
        <w:pStyle w:val="25"/>
        <w:tabs>
          <w:tab w:val="right" w:leader="dot" w:pos="9354"/>
          <w:tab w:val="clear" w:pos="9344"/>
        </w:tabs>
      </w:pPr>
      <w:r>
        <w:fldChar w:fldCharType="begin"/>
      </w:r>
      <w:r>
        <w:instrText xml:space="preserve"> HYPERLINK \l "_Toc2045099260" </w:instrText>
      </w:r>
      <w:r>
        <w:fldChar w:fldCharType="separate"/>
      </w:r>
      <w:r>
        <w:rPr>
          <w:rFonts w:hint="eastAsia" w:ascii="黑体" w:hAnsi="Times New Roman" w:eastAsia="黑体"/>
          <w:kern w:val="0"/>
        </w:rPr>
        <w:t xml:space="preserve">8.6 </w:t>
      </w:r>
      <w:r>
        <w:rPr>
          <w:rFonts w:hint="eastAsia"/>
        </w:rPr>
        <w:t>工作人员要求</w:t>
      </w:r>
      <w:r>
        <w:tab/>
      </w:r>
      <w:r>
        <w:fldChar w:fldCharType="begin"/>
      </w:r>
      <w:r>
        <w:instrText xml:space="preserve"> PAGEREF _Toc2045099260 </w:instrText>
      </w:r>
      <w:r>
        <w:fldChar w:fldCharType="separate"/>
      </w:r>
      <w:r>
        <w:t>11</w:t>
      </w:r>
      <w:r>
        <w:fldChar w:fldCharType="end"/>
      </w:r>
      <w:r>
        <w:fldChar w:fldCharType="end"/>
      </w:r>
    </w:p>
    <w:p>
      <w:pPr>
        <w:pStyle w:val="20"/>
        <w:tabs>
          <w:tab w:val="right" w:leader="dot" w:pos="9354"/>
        </w:tabs>
      </w:pPr>
      <w:r>
        <w:fldChar w:fldCharType="begin"/>
      </w:r>
      <w:r>
        <w:instrText xml:space="preserve"> HYPERLINK \l "_Toc772452442" </w:instrText>
      </w:r>
      <w:r>
        <w:fldChar w:fldCharType="separate"/>
      </w:r>
      <w:r>
        <w:rPr>
          <w:rFonts w:hint="eastAsia" w:ascii="黑体" w:eastAsia="黑体"/>
        </w:rPr>
        <w:t xml:space="preserve">9 </w:t>
      </w:r>
      <w:r>
        <w:rPr>
          <w:rFonts w:hint="eastAsia"/>
        </w:rPr>
        <w:t>监督处置</w:t>
      </w:r>
      <w:r>
        <w:tab/>
      </w:r>
      <w:r>
        <w:fldChar w:fldCharType="begin"/>
      </w:r>
      <w:r>
        <w:instrText xml:space="preserve"> PAGEREF _Toc772452442 </w:instrText>
      </w:r>
      <w:r>
        <w:fldChar w:fldCharType="separate"/>
      </w:r>
      <w:r>
        <w:t>12</w:t>
      </w:r>
      <w:r>
        <w:fldChar w:fldCharType="end"/>
      </w:r>
      <w:r>
        <w:fldChar w:fldCharType="end"/>
      </w:r>
    </w:p>
    <w:p>
      <w:pPr>
        <w:pStyle w:val="25"/>
        <w:tabs>
          <w:tab w:val="right" w:leader="dot" w:pos="9354"/>
          <w:tab w:val="clear" w:pos="9344"/>
        </w:tabs>
      </w:pPr>
      <w:r>
        <w:fldChar w:fldCharType="begin"/>
      </w:r>
      <w:r>
        <w:instrText xml:space="preserve"> HYPERLINK \l "_Toc858603188" </w:instrText>
      </w:r>
      <w:r>
        <w:fldChar w:fldCharType="separate"/>
      </w:r>
      <w:r>
        <w:rPr>
          <w:rFonts w:hint="eastAsia" w:ascii="黑体" w:hAnsi="Times New Roman" w:eastAsia="黑体"/>
          <w:kern w:val="0"/>
        </w:rPr>
        <w:t xml:space="preserve">9.1 </w:t>
      </w:r>
      <w:r>
        <w:rPr>
          <w:rFonts w:hint="eastAsia"/>
        </w:rPr>
        <w:t>发出提醒函</w:t>
      </w:r>
      <w:r>
        <w:tab/>
      </w:r>
      <w:r>
        <w:fldChar w:fldCharType="begin"/>
      </w:r>
      <w:r>
        <w:instrText xml:space="preserve"> PAGEREF _Toc858603188 </w:instrText>
      </w:r>
      <w:r>
        <w:fldChar w:fldCharType="separate"/>
      </w:r>
      <w:r>
        <w:t>12</w:t>
      </w:r>
      <w:r>
        <w:fldChar w:fldCharType="end"/>
      </w:r>
      <w:r>
        <w:fldChar w:fldCharType="end"/>
      </w:r>
    </w:p>
    <w:p>
      <w:pPr>
        <w:pStyle w:val="25"/>
        <w:tabs>
          <w:tab w:val="right" w:leader="dot" w:pos="9354"/>
          <w:tab w:val="clear" w:pos="9344"/>
        </w:tabs>
      </w:pPr>
      <w:r>
        <w:fldChar w:fldCharType="begin"/>
      </w:r>
      <w:r>
        <w:instrText xml:space="preserve"> HYPERLINK \l "_Toc308205005" </w:instrText>
      </w:r>
      <w:r>
        <w:fldChar w:fldCharType="separate"/>
      </w:r>
      <w:r>
        <w:rPr>
          <w:rFonts w:hint="eastAsia" w:ascii="黑体" w:hAnsi="Times New Roman" w:eastAsia="黑体"/>
          <w:kern w:val="0"/>
        </w:rPr>
        <w:t xml:space="preserve">9.2 </w:t>
      </w:r>
      <w:r>
        <w:rPr>
          <w:rFonts w:hint="eastAsia"/>
        </w:rPr>
        <w:t>发出警示函</w:t>
      </w:r>
      <w:r>
        <w:tab/>
      </w:r>
      <w:r>
        <w:fldChar w:fldCharType="begin"/>
      </w:r>
      <w:r>
        <w:instrText xml:space="preserve"> PAGEREF _Toc308205005 </w:instrText>
      </w:r>
      <w:r>
        <w:fldChar w:fldCharType="separate"/>
      </w:r>
      <w:r>
        <w:t>12</w:t>
      </w:r>
      <w:r>
        <w:fldChar w:fldCharType="end"/>
      </w:r>
      <w:r>
        <w:fldChar w:fldCharType="end"/>
      </w:r>
    </w:p>
    <w:p>
      <w:pPr>
        <w:pStyle w:val="25"/>
        <w:tabs>
          <w:tab w:val="right" w:leader="dot" w:pos="9354"/>
          <w:tab w:val="clear" w:pos="9344"/>
        </w:tabs>
      </w:pPr>
      <w:r>
        <w:fldChar w:fldCharType="begin"/>
      </w:r>
      <w:r>
        <w:instrText xml:space="preserve"> HYPERLINK \l "_Toc597142785" </w:instrText>
      </w:r>
      <w:r>
        <w:fldChar w:fldCharType="separate"/>
      </w:r>
      <w:r>
        <w:rPr>
          <w:rFonts w:hint="eastAsia" w:ascii="黑体" w:hAnsi="Times New Roman" w:eastAsia="黑体"/>
          <w:kern w:val="0"/>
        </w:rPr>
        <w:t xml:space="preserve">9.3 </w:t>
      </w:r>
      <w:r>
        <w:rPr>
          <w:rFonts w:hint="eastAsia"/>
        </w:rPr>
        <w:t>违法犯罪问题</w:t>
      </w:r>
      <w:r>
        <w:tab/>
      </w:r>
      <w:r>
        <w:fldChar w:fldCharType="begin"/>
      </w:r>
      <w:r>
        <w:instrText xml:space="preserve"> PAGEREF _Toc597142785 </w:instrText>
      </w:r>
      <w:r>
        <w:fldChar w:fldCharType="separate"/>
      </w:r>
      <w:r>
        <w:t>12</w:t>
      </w:r>
      <w:r>
        <w:fldChar w:fldCharType="end"/>
      </w:r>
      <w:r>
        <w:fldChar w:fldCharType="end"/>
      </w:r>
    </w:p>
    <w:p>
      <w:pPr>
        <w:pStyle w:val="20"/>
        <w:tabs>
          <w:tab w:val="right" w:leader="dot" w:pos="9354"/>
        </w:tabs>
      </w:pPr>
      <w:r>
        <w:fldChar w:fldCharType="begin"/>
      </w:r>
      <w:r>
        <w:instrText xml:space="preserve"> HYPERLINK \l "_Toc1489165981" </w:instrText>
      </w:r>
      <w:r>
        <w:fldChar w:fldCharType="separate"/>
      </w:r>
      <w:r>
        <w:rPr>
          <w:rFonts w:hint="eastAsia" w:ascii="黑体" w:eastAsia="黑体"/>
        </w:rPr>
        <w:t xml:space="preserve">10 </w:t>
      </w:r>
      <w:r>
        <w:rPr>
          <w:rFonts w:hint="eastAsia"/>
        </w:rPr>
        <w:t>监督情况反馈</w:t>
      </w:r>
      <w:r>
        <w:tab/>
      </w:r>
      <w:r>
        <w:fldChar w:fldCharType="begin"/>
      </w:r>
      <w:r>
        <w:instrText xml:space="preserve"> PAGEREF _Toc1489165981 </w:instrText>
      </w:r>
      <w:r>
        <w:fldChar w:fldCharType="separate"/>
      </w:r>
      <w:r>
        <w:t>12</w:t>
      </w:r>
      <w:r>
        <w:fldChar w:fldCharType="end"/>
      </w:r>
      <w:r>
        <w:fldChar w:fldCharType="end"/>
      </w:r>
    </w:p>
    <w:p>
      <w:pPr>
        <w:pStyle w:val="20"/>
        <w:tabs>
          <w:tab w:val="right" w:leader="dot" w:pos="9354"/>
        </w:tabs>
      </w:pPr>
      <w:r>
        <w:fldChar w:fldCharType="begin"/>
      </w:r>
      <w:r>
        <w:instrText xml:space="preserve"> HYPERLINK \l "_Toc1364642056" </w:instrText>
      </w:r>
      <w:r>
        <w:fldChar w:fldCharType="separate"/>
      </w:r>
      <w:r>
        <w:rPr>
          <w:rFonts w:hint="eastAsia" w:ascii="黑体" w:eastAsia="黑体"/>
        </w:rPr>
        <w:t xml:space="preserve">11 </w:t>
      </w:r>
      <w:r>
        <w:rPr>
          <w:rFonts w:hint="eastAsia"/>
        </w:rPr>
        <w:t>信息共享与信息公开</w:t>
      </w:r>
      <w:r>
        <w:tab/>
      </w:r>
      <w:r>
        <w:fldChar w:fldCharType="begin"/>
      </w:r>
      <w:r>
        <w:instrText xml:space="preserve"> PAGEREF _Toc1364642056 </w:instrText>
      </w:r>
      <w:r>
        <w:fldChar w:fldCharType="separate"/>
      </w:r>
      <w:r>
        <w:t>13</w:t>
      </w:r>
      <w:r>
        <w:fldChar w:fldCharType="end"/>
      </w:r>
      <w:r>
        <w:fldChar w:fldCharType="end"/>
      </w:r>
    </w:p>
    <w:p>
      <w:pPr>
        <w:pStyle w:val="20"/>
        <w:tabs>
          <w:tab w:val="right" w:leader="dot" w:pos="9354"/>
        </w:tabs>
      </w:pPr>
      <w:r>
        <w:fldChar w:fldCharType="begin"/>
      </w:r>
      <w:r>
        <w:instrText xml:space="preserve"> HYPERLINK \l "_Toc1277771156" </w:instrText>
      </w:r>
      <w:r>
        <w:fldChar w:fldCharType="separate"/>
      </w:r>
      <w:r>
        <w:rPr>
          <w:rFonts w:hint="eastAsia" w:ascii="黑体" w:eastAsia="黑体"/>
        </w:rPr>
        <w:t xml:space="preserve">12 </w:t>
      </w:r>
      <w:r>
        <w:rPr>
          <w:rFonts w:hint="eastAsia"/>
        </w:rPr>
        <w:t>投诉</w:t>
      </w:r>
      <w:r>
        <w:tab/>
      </w:r>
      <w:r>
        <w:fldChar w:fldCharType="begin"/>
      </w:r>
      <w:r>
        <w:instrText xml:space="preserve"> PAGEREF _Toc1277771156 </w:instrText>
      </w:r>
      <w:r>
        <w:fldChar w:fldCharType="separate"/>
      </w:r>
      <w:r>
        <w:t>13</w:t>
      </w:r>
      <w:r>
        <w:fldChar w:fldCharType="end"/>
      </w:r>
      <w:r>
        <w:fldChar w:fldCharType="end"/>
      </w:r>
    </w:p>
    <w:p>
      <w:pPr>
        <w:pStyle w:val="20"/>
        <w:tabs>
          <w:tab w:val="right" w:leader="dot" w:pos="9354"/>
        </w:tabs>
      </w:pPr>
      <w:r>
        <w:fldChar w:fldCharType="begin"/>
      </w:r>
      <w:r>
        <w:instrText xml:space="preserve"> HYPERLINK \l "_Toc1750690349" </w:instrText>
      </w:r>
      <w:r>
        <w:fldChar w:fldCharType="separate"/>
      </w:r>
      <w:r>
        <w:rPr>
          <w:rFonts w:hint="eastAsia" w:ascii="黑体" w:eastAsia="黑体"/>
        </w:rPr>
        <w:t xml:space="preserve">13 </w:t>
      </w:r>
      <w:r>
        <w:rPr>
          <w:rFonts w:hint="eastAsia"/>
        </w:rPr>
        <w:t>档案管理</w:t>
      </w:r>
      <w:r>
        <w:tab/>
      </w:r>
      <w:r>
        <w:fldChar w:fldCharType="begin"/>
      </w:r>
      <w:r>
        <w:instrText xml:space="preserve"> PAGEREF _Toc1750690349 </w:instrText>
      </w:r>
      <w:r>
        <w:fldChar w:fldCharType="separate"/>
      </w:r>
      <w:r>
        <w:t>13</w:t>
      </w:r>
      <w:r>
        <w:fldChar w:fldCharType="end"/>
      </w:r>
      <w:r>
        <w:fldChar w:fldCharType="end"/>
      </w:r>
    </w:p>
    <w:p>
      <w:pPr>
        <w:pStyle w:val="20"/>
        <w:tabs>
          <w:tab w:val="right" w:leader="dot" w:pos="9354"/>
        </w:tabs>
      </w:pPr>
      <w:r>
        <w:fldChar w:fldCharType="begin"/>
      </w:r>
      <w:r>
        <w:instrText xml:space="preserve"> HYPERLINK \l "_Toc711950737" </w:instrText>
      </w:r>
      <w:r>
        <w:fldChar w:fldCharType="separate"/>
      </w:r>
      <w:r>
        <w:rPr>
          <w:rFonts w:hint="eastAsia"/>
          <w:spacing w:val="100"/>
        </w:rPr>
        <w:t xml:space="preserve">附录A </w:t>
      </w:r>
      <w:r>
        <w:t xml:space="preserve"> </w:t>
      </w:r>
      <w:r>
        <w:rPr>
          <w:rFonts w:hint="eastAsia"/>
        </w:rPr>
        <w:t>（资料性）</w:t>
      </w:r>
      <w:r>
        <w:t xml:space="preserve"> </w:t>
      </w:r>
      <w:r>
        <w:rPr>
          <w:rFonts w:hint="eastAsia"/>
        </w:rPr>
        <w:t>日常监督、专项监督、投诉监督的程序</w:t>
      </w:r>
      <w:r>
        <w:rPr>
          <w:rFonts w:hint="eastAsia"/>
          <w:lang w:val="en-US" w:eastAsia="zh-CN"/>
        </w:rPr>
        <w:t>关系</w:t>
      </w:r>
      <w:r>
        <w:tab/>
      </w:r>
      <w:r>
        <w:fldChar w:fldCharType="begin"/>
      </w:r>
      <w:r>
        <w:instrText xml:space="preserve"> PAGEREF _Toc711950737 </w:instrText>
      </w:r>
      <w:r>
        <w:fldChar w:fldCharType="separate"/>
      </w:r>
      <w:r>
        <w:t>14</w:t>
      </w:r>
      <w:r>
        <w:fldChar w:fldCharType="end"/>
      </w:r>
      <w:r>
        <w:fldChar w:fldCharType="end"/>
      </w:r>
    </w:p>
    <w:p>
      <w:pPr>
        <w:pStyle w:val="20"/>
        <w:tabs>
          <w:tab w:val="right" w:leader="dot" w:pos="9354"/>
        </w:tabs>
      </w:pPr>
      <w:r>
        <w:fldChar w:fldCharType="begin"/>
      </w:r>
      <w:r>
        <w:instrText xml:space="preserve"> HYPERLINK \l "_Toc449179490" </w:instrText>
      </w:r>
      <w:r>
        <w:fldChar w:fldCharType="separate"/>
      </w:r>
      <w:r>
        <w:rPr>
          <w:rFonts w:hint="eastAsia"/>
          <w:spacing w:val="105"/>
        </w:rPr>
        <w:t>参考文</w:t>
      </w:r>
      <w:r>
        <w:rPr>
          <w:rFonts w:hint="eastAsia"/>
        </w:rPr>
        <w:t>献</w:t>
      </w:r>
      <w:r>
        <w:tab/>
      </w:r>
      <w:r>
        <w:fldChar w:fldCharType="begin"/>
      </w:r>
      <w:r>
        <w:instrText xml:space="preserve"> PAGEREF _Toc449179490 </w:instrText>
      </w:r>
      <w:r>
        <w:fldChar w:fldCharType="separate"/>
      </w:r>
      <w:r>
        <w:t>15</w:t>
      </w:r>
      <w:r>
        <w:fldChar w:fldCharType="end"/>
      </w:r>
      <w:r>
        <w:fldChar w:fldCharType="end"/>
      </w:r>
    </w:p>
    <w:p>
      <w:pPr>
        <w:pStyle w:val="95"/>
        <w:spacing w:after="468"/>
        <w:sectPr>
          <w:headerReference r:id="rId10" w:type="default"/>
          <w:footerReference r:id="rId12" w:type="default"/>
          <w:headerReference r:id="rId11" w:type="even"/>
          <w:footerReference r:id="rId13"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17"/>
    <w:p>
      <w:pPr>
        <w:pStyle w:val="93"/>
        <w:spacing w:after="468"/>
      </w:pPr>
      <w:bookmarkStart w:id="29" w:name="_Toc153283468"/>
      <w:bookmarkStart w:id="30" w:name="_Toc1148450426"/>
      <w:bookmarkStart w:id="31" w:name="BookMark2"/>
      <w:r>
        <w:rPr>
          <w:spacing w:val="320"/>
        </w:rPr>
        <w:t>前</w:t>
      </w:r>
      <w:r>
        <w:t>言</w:t>
      </w:r>
      <w:bookmarkEnd w:id="18"/>
      <w:bookmarkEnd w:id="19"/>
      <w:bookmarkEnd w:id="20"/>
      <w:bookmarkEnd w:id="21"/>
      <w:bookmarkEnd w:id="22"/>
      <w:bookmarkEnd w:id="23"/>
      <w:bookmarkEnd w:id="24"/>
      <w:bookmarkEnd w:id="25"/>
      <w:bookmarkEnd w:id="26"/>
      <w:bookmarkEnd w:id="27"/>
      <w:bookmarkEnd w:id="28"/>
      <w:bookmarkEnd w:id="29"/>
      <w:bookmarkEnd w:id="30"/>
    </w:p>
    <w:p>
      <w:pPr>
        <w:pStyle w:val="60"/>
        <w:ind w:firstLine="420"/>
      </w:pPr>
      <w:r>
        <w:rPr>
          <w:rFonts w:hint="eastAsia"/>
        </w:rPr>
        <w:t>本文件按照GB/T 1.1—2020《标准化工作导则  第1部分：标准化文件的结构和起草规则》的规定起草。</w:t>
      </w:r>
    </w:p>
    <w:p>
      <w:pPr>
        <w:pStyle w:val="60"/>
        <w:ind w:firstLine="420"/>
      </w:pPr>
      <w:r>
        <w:rPr>
          <w:rFonts w:hint="eastAsia"/>
        </w:rPr>
        <w:t>本文件由深圳市破产事务管理署提出并归口。</w:t>
      </w:r>
    </w:p>
    <w:p>
      <w:pPr>
        <w:pStyle w:val="60"/>
        <w:ind w:firstLine="420"/>
      </w:pPr>
      <w:r>
        <w:rPr>
          <w:rFonts w:hint="eastAsia"/>
        </w:rPr>
        <w:t>本文件起草单位：深圳市破产事务管理署、深圳市标准技术研究院。</w:t>
      </w:r>
    </w:p>
    <w:p>
      <w:pPr>
        <w:pStyle w:val="60"/>
        <w:ind w:firstLine="420"/>
      </w:pPr>
      <w:r>
        <w:rPr>
          <w:rFonts w:hint="eastAsia"/>
        </w:rPr>
        <w:t>本文件主要起草人：郑雷、张洁波、胡精书、徐胜芳、陈佳林、黄橙紫、袁明杨、张旭杰、李媛红、易晓珊、赵莹、杨海霞、刘赖称、罗宇民。</w:t>
      </w:r>
    </w:p>
    <w:p>
      <w:pPr>
        <w:pStyle w:val="60"/>
        <w:ind w:firstLine="420"/>
      </w:pPr>
    </w:p>
    <w:p>
      <w:pPr>
        <w:pStyle w:val="60"/>
        <w:ind w:firstLine="199" w:firstLineChars="95"/>
        <w:sectPr>
          <w:pgSz w:w="11906" w:h="16838"/>
          <w:pgMar w:top="1928" w:right="1134" w:bottom="1134" w:left="1134" w:header="1418" w:footer="1134" w:gutter="284"/>
          <w:pgNumType w:fmt="upperRoman"/>
          <w:cols w:space="425" w:num="1"/>
          <w:formProt w:val="0"/>
          <w:docGrid w:type="lines" w:linePitch="312" w:charSpace="0"/>
        </w:sectPr>
      </w:pPr>
    </w:p>
    <w:bookmarkEnd w:id="31"/>
    <w:p>
      <w:pPr>
        <w:spacing w:line="20" w:lineRule="exact"/>
        <w:jc w:val="center"/>
        <w:rPr>
          <w:rFonts w:ascii="黑体" w:hAnsi="黑体" w:eastAsia="黑体"/>
          <w:sz w:val="32"/>
          <w:szCs w:val="32"/>
        </w:rPr>
      </w:pPr>
      <w:bookmarkStart w:id="32" w:name="BookMark4"/>
    </w:p>
    <w:p>
      <w:pPr>
        <w:spacing w:line="20" w:lineRule="exact"/>
        <w:jc w:val="center"/>
        <w:rPr>
          <w:rFonts w:ascii="黑体" w:hAnsi="黑体" w:eastAsia="黑体"/>
          <w:sz w:val="32"/>
          <w:szCs w:val="32"/>
        </w:rPr>
      </w:pPr>
    </w:p>
    <w:sdt>
      <w:sdtPr>
        <w:tag w:val="NEW_STAND_NAME"/>
        <w:id w:val="595910757"/>
        <w:lock w:val="sdtLocked"/>
        <w:placeholder>
          <w:docPart w:val="750859EF1C124E70AAC3A125630E4B79"/>
        </w:placeholder>
      </w:sdtPr>
      <w:sdtContent>
        <w:p>
          <w:pPr>
            <w:pStyle w:val="181"/>
            <w:spacing w:before="312" w:beforeLines="100" w:after="686" w:afterLines="220"/>
          </w:pPr>
          <w:bookmarkStart w:id="33" w:name="NEW_STAND_NAME"/>
          <w:r>
            <w:rPr>
              <w:rFonts w:hint="eastAsia"/>
            </w:rPr>
            <w:t>个人破产债务人监督工作规程</w:t>
          </w:r>
        </w:p>
      </w:sdtContent>
    </w:sdt>
    <w:bookmarkEnd w:id="33"/>
    <w:p>
      <w:pPr>
        <w:pStyle w:val="108"/>
        <w:spacing w:before="312" w:after="312"/>
      </w:pPr>
      <w:bookmarkStart w:id="34" w:name="_Toc14099"/>
      <w:bookmarkStart w:id="35" w:name="_Toc152335798"/>
      <w:bookmarkStart w:id="36" w:name="_Toc17233325"/>
      <w:bookmarkStart w:id="37" w:name="_Toc152936656"/>
      <w:bookmarkStart w:id="38" w:name="_Toc122084628"/>
      <w:bookmarkStart w:id="39" w:name="_Toc152936603"/>
      <w:bookmarkStart w:id="40" w:name="_Toc14674"/>
      <w:bookmarkStart w:id="41" w:name="_Toc26718930"/>
      <w:bookmarkStart w:id="42" w:name="_Toc1832547530"/>
      <w:bookmarkStart w:id="43" w:name="_Toc24884218"/>
      <w:bookmarkStart w:id="44" w:name="_Toc1356422825"/>
      <w:bookmarkStart w:id="45" w:name="_Toc152941278"/>
      <w:bookmarkStart w:id="46" w:name="_Toc24884211"/>
      <w:bookmarkStart w:id="47" w:name="_Toc26986530"/>
      <w:bookmarkStart w:id="48" w:name="_Toc98918883"/>
      <w:bookmarkStart w:id="49" w:name="_Toc26648465"/>
      <w:bookmarkStart w:id="50" w:name="_Toc16850"/>
      <w:bookmarkStart w:id="51" w:name="_Toc676750897"/>
      <w:bookmarkStart w:id="52" w:name="_Toc26986771"/>
      <w:bookmarkStart w:id="53" w:name="_Toc17233333"/>
      <w:bookmarkStart w:id="54" w:name="_Toc148539948"/>
      <w:bookmarkStart w:id="55" w:name="_Toc153283469"/>
      <w:r>
        <w:rPr>
          <w:rFonts w:hint="eastAsia"/>
        </w:rPr>
        <w:t>范围</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pStyle w:val="60"/>
        <w:ind w:firstLine="420"/>
      </w:pPr>
      <w:bookmarkStart w:id="56" w:name="_Toc26648466"/>
      <w:bookmarkStart w:id="57" w:name="_Toc17233334"/>
      <w:bookmarkStart w:id="58" w:name="_Toc24884219"/>
      <w:bookmarkStart w:id="59" w:name="_Toc24884212"/>
      <w:bookmarkStart w:id="60" w:name="_Toc17233326"/>
      <w:r>
        <w:rPr>
          <w:rFonts w:hint="eastAsia"/>
        </w:rPr>
        <w:t>本文件规定了深圳市破产事务管理署（以下简称“市破产事务管理署”）个人破产债务人监督工作的基本原则、监督类型、日常监督、专项监督、投诉监督、监督处置、监督情况反馈、信息共享与公开、投诉、档案管理等内容。</w:t>
      </w:r>
    </w:p>
    <w:p>
      <w:pPr>
        <w:pStyle w:val="60"/>
        <w:ind w:firstLine="420"/>
      </w:pPr>
      <w:r>
        <w:t>本文件适用于</w:t>
      </w:r>
      <w:r>
        <w:rPr>
          <w:rFonts w:hint="eastAsia"/>
        </w:rPr>
        <w:t>市破产事务管理署对债务人在考察期或者重整计划、和解协议执行期内（以下简称“执行考察期”）履行破产程序义务的情况进行监督检查及处置等活动。</w:t>
      </w:r>
    </w:p>
    <w:p>
      <w:pPr>
        <w:pStyle w:val="108"/>
        <w:spacing w:before="312" w:after="312"/>
      </w:pPr>
      <w:bookmarkStart w:id="61" w:name="_Toc152335799"/>
      <w:bookmarkStart w:id="62" w:name="_Toc122084629"/>
      <w:bookmarkStart w:id="63" w:name="_Toc152941279"/>
      <w:bookmarkStart w:id="64" w:name="_Toc152936657"/>
      <w:bookmarkStart w:id="65" w:name="_Toc1674584679"/>
      <w:bookmarkStart w:id="66" w:name="_Toc98918884"/>
      <w:bookmarkStart w:id="67" w:name="_Toc461058049"/>
      <w:bookmarkStart w:id="68" w:name="_Toc26373"/>
      <w:bookmarkStart w:id="69" w:name="_Toc13238"/>
      <w:bookmarkStart w:id="70" w:name="_Toc26718931"/>
      <w:bookmarkStart w:id="71" w:name="_Toc153283470"/>
      <w:bookmarkStart w:id="72" w:name="_Toc26986772"/>
      <w:bookmarkStart w:id="73" w:name="_Toc26986531"/>
      <w:bookmarkStart w:id="74" w:name="_Toc152936604"/>
      <w:bookmarkStart w:id="75" w:name="_Toc1713897378"/>
      <w:bookmarkStart w:id="76" w:name="_Toc148539949"/>
      <w:bookmarkStart w:id="77" w:name="_Toc16444"/>
      <w:r>
        <w:rPr>
          <w:rFonts w:hint="eastAsia"/>
        </w:rPr>
        <w:t>规范性引用文件</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sdt>
      <w:sdtPr>
        <w:rPr>
          <w:rFonts w:hint="eastAsia"/>
        </w:rPr>
        <w:id w:val="715848253"/>
        <w:placeholder>
          <w:docPart w:val="8D6485C69012455396977C2CFC3A22B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60"/>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60"/>
        <w:tabs>
          <w:tab w:val="left" w:pos="8248"/>
        </w:tabs>
        <w:ind w:firstLine="420"/>
      </w:pPr>
      <w:bookmarkStart w:id="78" w:name="_Toc98918885"/>
      <w:r>
        <w:rPr>
          <w:rFonts w:hint="eastAsia"/>
        </w:rPr>
        <w:t xml:space="preserve">Q/BAAS 003 </w:t>
      </w:r>
      <w:r>
        <w:t xml:space="preserve"> </w:t>
      </w:r>
      <w:r>
        <w:rPr>
          <w:rFonts w:hint="eastAsia"/>
        </w:rPr>
        <w:t>个人破产信息公开业务规范</w:t>
      </w:r>
    </w:p>
    <w:p>
      <w:pPr>
        <w:pStyle w:val="60"/>
        <w:tabs>
          <w:tab w:val="left" w:pos="8248"/>
        </w:tabs>
        <w:ind w:firstLine="420"/>
      </w:pPr>
      <w:r>
        <w:rPr>
          <w:rFonts w:hint="eastAsia"/>
        </w:rPr>
        <w:t>Q/BAAS 00</w:t>
      </w:r>
      <w:r>
        <w:t>7</w:t>
      </w:r>
      <w:r>
        <w:rPr>
          <w:rFonts w:hint="eastAsia"/>
        </w:rPr>
        <w:t xml:space="preserve">  个人破产信息共享管理规范</w:t>
      </w:r>
    </w:p>
    <w:p>
      <w:pPr>
        <w:pStyle w:val="60"/>
        <w:tabs>
          <w:tab w:val="left" w:pos="8248"/>
        </w:tabs>
        <w:ind w:firstLine="420"/>
      </w:pPr>
      <w:r>
        <w:t xml:space="preserve">Q/BAAS 008  </w:t>
      </w:r>
      <w:r>
        <w:rPr>
          <w:rFonts w:hint="eastAsia"/>
        </w:rPr>
        <w:t>智慧档案管理 分类与编码规范</w:t>
      </w:r>
    </w:p>
    <w:p>
      <w:pPr>
        <w:pStyle w:val="108"/>
        <w:spacing w:before="312" w:after="312"/>
      </w:pPr>
      <w:bookmarkStart w:id="79" w:name="_Toc153283471"/>
      <w:bookmarkStart w:id="80" w:name="_Toc24614"/>
      <w:bookmarkStart w:id="81" w:name="_Toc152335800"/>
      <w:bookmarkStart w:id="82" w:name="_Toc30163"/>
      <w:bookmarkStart w:id="83" w:name="_Toc1472505410"/>
      <w:bookmarkStart w:id="84" w:name="_Toc1207545873"/>
      <w:bookmarkStart w:id="85" w:name="_Toc122084630"/>
      <w:bookmarkStart w:id="86" w:name="_Toc16855"/>
      <w:bookmarkStart w:id="87" w:name="_Toc152941280"/>
      <w:bookmarkStart w:id="88" w:name="_Toc152936658"/>
      <w:bookmarkStart w:id="89" w:name="_Toc152936605"/>
      <w:bookmarkStart w:id="90" w:name="_Toc148539950"/>
      <w:bookmarkStart w:id="91" w:name="_Toc1408516906"/>
      <w:r>
        <w:rPr>
          <w:rFonts w:hint="eastAsia"/>
          <w:szCs w:val="21"/>
        </w:rPr>
        <w:t>术语和定义</w:t>
      </w:r>
      <w:bookmarkEnd w:id="78"/>
      <w:bookmarkEnd w:id="79"/>
      <w:bookmarkEnd w:id="80"/>
      <w:bookmarkEnd w:id="81"/>
      <w:bookmarkEnd w:id="82"/>
      <w:bookmarkEnd w:id="83"/>
      <w:bookmarkEnd w:id="84"/>
      <w:bookmarkEnd w:id="85"/>
      <w:bookmarkEnd w:id="86"/>
      <w:bookmarkEnd w:id="87"/>
      <w:bookmarkEnd w:id="88"/>
      <w:bookmarkEnd w:id="89"/>
      <w:bookmarkEnd w:id="90"/>
      <w:bookmarkEnd w:id="91"/>
    </w:p>
    <w:sdt>
      <w:sdtPr>
        <w:id w:val="-1"/>
        <w:placeholder>
          <w:docPart w:val="FB6DD97CDD8E4FE582906277DA9EB81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60"/>
            <w:ind w:firstLine="420"/>
          </w:pPr>
          <w:bookmarkStart w:id="92" w:name="_Toc26986532"/>
          <w:bookmarkEnd w:id="92"/>
          <w:r>
            <w:t>下列术语和定义适用于本文件。</w:t>
          </w:r>
        </w:p>
      </w:sdtContent>
    </w:sdt>
    <w:p>
      <w:pPr>
        <w:pStyle w:val="166"/>
        <w:ind w:left="0"/>
      </w:pPr>
    </w:p>
    <w:p>
      <w:pPr>
        <w:pStyle w:val="60"/>
        <w:ind w:firstLine="420"/>
        <w:rPr>
          <w:rFonts w:ascii="黑体" w:hAnsi="黑体" w:eastAsia="黑体"/>
        </w:rPr>
      </w:pPr>
      <w:r>
        <w:rPr>
          <w:rFonts w:hint="eastAsia" w:ascii="黑体" w:hAnsi="黑体" w:eastAsia="黑体"/>
        </w:rPr>
        <w:t>个人破产债务人  personal bankruptcy debtor</w:t>
      </w:r>
    </w:p>
    <w:p>
      <w:pPr>
        <w:pStyle w:val="60"/>
        <w:ind w:firstLine="420"/>
      </w:pPr>
      <w:r>
        <w:rPr>
          <w:rFonts w:hint="eastAsia"/>
        </w:rPr>
        <w:t>在深圳经济特区居住且参加深圳社会保险连续满三年，因生产经营、生活消费导致丧失清偿债务能力或者资产不足以清偿全部债务，依据《深圳经济特区个人破产条例》进行破产清算、重整或者和解的自然人，以下简称债务人。</w:t>
      </w:r>
    </w:p>
    <w:p>
      <w:pPr>
        <w:pStyle w:val="166"/>
        <w:ind w:left="0"/>
      </w:pPr>
    </w:p>
    <w:p>
      <w:pPr>
        <w:pStyle w:val="60"/>
        <w:ind w:firstLine="420"/>
        <w:rPr>
          <w:rFonts w:ascii="黑体" w:hAnsi="黑体" w:eastAsia="黑体"/>
        </w:rPr>
      </w:pPr>
      <w:r>
        <w:rPr>
          <w:rFonts w:hint="eastAsia" w:ascii="黑体" w:hAnsi="黑体" w:eastAsia="黑体"/>
        </w:rPr>
        <w:t>重整计划执行期  execution period of bankruptcy reorganization plan</w:t>
      </w:r>
    </w:p>
    <w:p>
      <w:pPr>
        <w:pStyle w:val="60"/>
        <w:ind w:firstLine="420"/>
      </w:pPr>
      <w:r>
        <w:rPr>
          <w:rFonts w:hint="eastAsia"/>
        </w:rPr>
        <w:t>自人民法院裁定批准债务人重整计划之日起，至人民法院依法免除债务人未清偿债务之日止，为债务人的重整计划执行期。</w:t>
      </w:r>
    </w:p>
    <w:p>
      <w:pPr>
        <w:pStyle w:val="166"/>
        <w:ind w:left="0"/>
      </w:pPr>
    </w:p>
    <w:p>
      <w:pPr>
        <w:pStyle w:val="60"/>
        <w:ind w:firstLine="420"/>
        <w:rPr>
          <w:rFonts w:ascii="黑体" w:hAnsi="黑体" w:eastAsia="黑体"/>
        </w:rPr>
      </w:pPr>
      <w:r>
        <w:rPr>
          <w:rFonts w:hint="eastAsia" w:ascii="黑体" w:hAnsi="黑体" w:eastAsia="黑体"/>
        </w:rPr>
        <w:t>和解协议执行期  execution period of settlement agreement</w:t>
      </w:r>
    </w:p>
    <w:p>
      <w:pPr>
        <w:pStyle w:val="60"/>
        <w:ind w:firstLine="420"/>
      </w:pPr>
      <w:r>
        <w:rPr>
          <w:rFonts w:hint="eastAsia"/>
        </w:rPr>
        <w:t>自人民法院裁定认可债务人和解协议之日起，至人民法院依法免除债务人未清偿债务之日止，为债务人的和解协议执行期。</w:t>
      </w:r>
    </w:p>
    <w:p>
      <w:pPr>
        <w:pStyle w:val="166"/>
        <w:ind w:left="0"/>
      </w:pPr>
    </w:p>
    <w:p>
      <w:pPr>
        <w:pStyle w:val="60"/>
        <w:ind w:firstLine="420"/>
        <w:rPr>
          <w:rFonts w:ascii="黑体" w:hAnsi="黑体" w:eastAsia="黑体"/>
        </w:rPr>
      </w:pPr>
      <w:r>
        <w:rPr>
          <w:rFonts w:hint="eastAsia" w:ascii="黑体" w:hAnsi="黑体" w:eastAsia="黑体"/>
        </w:rPr>
        <w:t>考察期  inspection period for bankruptcy liquidation</w:t>
      </w:r>
    </w:p>
    <w:p>
      <w:pPr>
        <w:pStyle w:val="60"/>
        <w:ind w:firstLine="420" w:firstLineChars="200"/>
        <w:rPr>
          <w:rFonts w:hint="eastAsia"/>
        </w:rPr>
      </w:pPr>
      <w:r>
        <w:rPr>
          <w:rFonts w:hint="eastAsia"/>
        </w:rPr>
        <w:t>依据《深圳经济特区个人破产条例》，自人民法院宣告债务人破产之日起三年，为免除债务人未清偿债务的考察期。若债务人在考察期内未履行人民法院作出的限制行为决定规定的义务，或者《深圳经济特区个人破产条例》规定的其他义务，人民法院可以决定延长考察期，但延长期限不超过两年。</w:t>
      </w:r>
    </w:p>
    <w:p>
      <w:pPr>
        <w:pStyle w:val="166"/>
        <w:ind w:left="0"/>
      </w:pPr>
    </w:p>
    <w:p>
      <w:pPr>
        <w:pStyle w:val="60"/>
        <w:ind w:firstLine="420"/>
        <w:rPr>
          <w:rFonts w:ascii="黑体" w:hAnsi="黑体" w:eastAsia="黑体"/>
        </w:rPr>
      </w:pPr>
      <w:r>
        <w:rPr>
          <w:rFonts w:hint="eastAsia" w:ascii="黑体" w:hAnsi="黑体" w:eastAsia="黑体"/>
        </w:rPr>
        <w:t>破产程序义务  obligations in bankruptcy proceedings</w:t>
      </w:r>
    </w:p>
    <w:p>
      <w:pPr>
        <w:pStyle w:val="60"/>
        <w:ind w:firstLine="420"/>
      </w:pPr>
      <w:r>
        <w:rPr>
          <w:rFonts w:hint="eastAsia"/>
        </w:rPr>
        <w:t>依据《深圳经济特区个人破产条例》，债务人在破产程序中应当履行的法定义务，包括但不限于遵守行为限制、职业资格限制、申报收入、支出、财产及债务清偿情况等义务。</w:t>
      </w:r>
    </w:p>
    <w:p>
      <w:pPr>
        <w:pStyle w:val="108"/>
        <w:spacing w:before="312" w:after="312"/>
      </w:pPr>
      <w:bookmarkStart w:id="93" w:name="_Toc148539951"/>
      <w:bookmarkStart w:id="94" w:name="_Toc273476228"/>
      <w:bookmarkStart w:id="95" w:name="_Toc410589393"/>
      <w:bookmarkStart w:id="96" w:name="_Toc11398"/>
      <w:bookmarkStart w:id="97" w:name="_Toc122084631"/>
      <w:bookmarkStart w:id="98" w:name="_Toc152936659"/>
      <w:bookmarkStart w:id="99" w:name="_Toc152936606"/>
      <w:bookmarkStart w:id="100" w:name="_Toc152335801"/>
      <w:bookmarkStart w:id="101" w:name="_Toc277877519"/>
      <w:bookmarkStart w:id="102" w:name="_Toc153283472"/>
      <w:bookmarkStart w:id="103" w:name="_Toc1324"/>
      <w:bookmarkStart w:id="104" w:name="_Toc152941281"/>
      <w:bookmarkStart w:id="105" w:name="_Toc1815"/>
      <w:r>
        <w:rPr>
          <w:rFonts w:hint="eastAsia"/>
        </w:rPr>
        <w:t>基本原则</w:t>
      </w:r>
      <w:bookmarkEnd w:id="93"/>
      <w:bookmarkEnd w:id="94"/>
      <w:bookmarkEnd w:id="95"/>
      <w:bookmarkEnd w:id="96"/>
      <w:bookmarkEnd w:id="97"/>
      <w:bookmarkEnd w:id="98"/>
      <w:bookmarkEnd w:id="99"/>
      <w:bookmarkEnd w:id="100"/>
      <w:bookmarkEnd w:id="101"/>
      <w:bookmarkEnd w:id="102"/>
      <w:bookmarkEnd w:id="103"/>
      <w:bookmarkEnd w:id="104"/>
      <w:bookmarkEnd w:id="105"/>
    </w:p>
    <w:p>
      <w:pPr>
        <w:pStyle w:val="109"/>
        <w:spacing w:before="156" w:after="156"/>
        <w:ind w:left="420" w:hanging="420" w:hangingChars="200"/>
      </w:pPr>
      <w:bookmarkStart w:id="106" w:name="_Toc453359739"/>
      <w:bookmarkStart w:id="107" w:name="_Toc152941282"/>
      <w:bookmarkStart w:id="108" w:name="_Toc148539952"/>
      <w:bookmarkStart w:id="109" w:name="_Toc22370"/>
      <w:bookmarkStart w:id="110" w:name="_Toc1972173991"/>
      <w:bookmarkStart w:id="111" w:name="_Toc152335802"/>
      <w:bookmarkStart w:id="112" w:name="_Toc152936607"/>
      <w:bookmarkStart w:id="113" w:name="_Toc1524101296"/>
      <w:bookmarkStart w:id="114" w:name="_Toc25078"/>
      <w:bookmarkStart w:id="115" w:name="_Toc152936660"/>
      <w:bookmarkStart w:id="116" w:name="_Toc153283473"/>
      <w:r>
        <w:rPr>
          <w:rFonts w:hint="eastAsia"/>
        </w:rPr>
        <w:t>公平公正原则</w:t>
      </w:r>
      <w:bookmarkEnd w:id="106"/>
      <w:bookmarkEnd w:id="107"/>
      <w:bookmarkEnd w:id="108"/>
      <w:bookmarkEnd w:id="109"/>
      <w:bookmarkEnd w:id="110"/>
      <w:bookmarkEnd w:id="111"/>
      <w:bookmarkEnd w:id="112"/>
      <w:bookmarkEnd w:id="113"/>
      <w:bookmarkEnd w:id="114"/>
      <w:bookmarkEnd w:id="115"/>
      <w:bookmarkEnd w:id="116"/>
    </w:p>
    <w:p>
      <w:pPr>
        <w:pStyle w:val="60"/>
        <w:ind w:firstLine="420"/>
      </w:pPr>
      <w:r>
        <w:rPr>
          <w:rFonts w:hint="eastAsia"/>
        </w:rPr>
        <w:t>市破产事务管理署应严格按照规定的监督程序确定监督对象、监督事项，推进债务人监督工作，及时发布监督公告并通报结果，确保监督工作公平公正。</w:t>
      </w:r>
    </w:p>
    <w:p>
      <w:pPr>
        <w:pStyle w:val="109"/>
        <w:spacing w:before="156" w:after="156"/>
        <w:ind w:left="420" w:hanging="420" w:hangingChars="200"/>
      </w:pPr>
      <w:bookmarkStart w:id="117" w:name="_Toc1157641943"/>
      <w:bookmarkStart w:id="118" w:name="_Toc630562792"/>
      <w:bookmarkStart w:id="119" w:name="_Toc25292"/>
      <w:bookmarkStart w:id="120" w:name="_Toc152335803"/>
      <w:bookmarkStart w:id="121" w:name="_Toc21815"/>
      <w:bookmarkStart w:id="122" w:name="_Toc152936608"/>
      <w:bookmarkStart w:id="123" w:name="_Toc153283474"/>
      <w:bookmarkStart w:id="124" w:name="_Toc1962227418"/>
      <w:bookmarkStart w:id="125" w:name="_Toc148539953"/>
      <w:bookmarkStart w:id="126" w:name="_Toc152941283"/>
      <w:bookmarkStart w:id="127" w:name="_Toc152936661"/>
      <w:r>
        <w:rPr>
          <w:rFonts w:hint="eastAsia"/>
        </w:rPr>
        <w:t>风险防范原则</w:t>
      </w:r>
      <w:bookmarkEnd w:id="117"/>
      <w:bookmarkEnd w:id="118"/>
      <w:bookmarkEnd w:id="119"/>
      <w:bookmarkEnd w:id="120"/>
      <w:bookmarkEnd w:id="121"/>
      <w:bookmarkEnd w:id="122"/>
      <w:bookmarkEnd w:id="123"/>
      <w:bookmarkEnd w:id="124"/>
      <w:bookmarkEnd w:id="125"/>
      <w:bookmarkEnd w:id="126"/>
      <w:bookmarkEnd w:id="127"/>
    </w:p>
    <w:p>
      <w:pPr>
        <w:pStyle w:val="60"/>
        <w:ind w:firstLine="420"/>
      </w:pPr>
      <w:r>
        <w:rPr>
          <w:rFonts w:hint="eastAsia"/>
        </w:rPr>
        <w:t>市破产事务管理署宜采取“日常监督+专项监督+投诉监督”相结合的机制，定期监督债务人在执行考察期履行破产程序义务的情况，普及个人破产法律知识，尽早发现问题，预防个人破产欺诈风险。</w:t>
      </w:r>
    </w:p>
    <w:p>
      <w:pPr>
        <w:pStyle w:val="109"/>
        <w:spacing w:before="156" w:after="156"/>
        <w:ind w:left="420" w:hanging="420" w:hangingChars="200"/>
      </w:pPr>
      <w:bookmarkStart w:id="128" w:name="_Toc1056437050"/>
      <w:bookmarkStart w:id="129" w:name="_Toc152936663"/>
      <w:bookmarkStart w:id="130" w:name="_Toc152335804"/>
      <w:bookmarkStart w:id="131" w:name="_Toc152936610"/>
      <w:bookmarkStart w:id="132" w:name="_Toc578723280"/>
      <w:bookmarkStart w:id="133" w:name="_Toc152941285"/>
      <w:bookmarkStart w:id="134" w:name="_Toc153283475"/>
      <w:bookmarkStart w:id="135" w:name="_Toc30301"/>
      <w:bookmarkStart w:id="136" w:name="_Toc148539954"/>
      <w:bookmarkStart w:id="137" w:name="_Toc189944995"/>
      <w:bookmarkStart w:id="138" w:name="_Toc8242"/>
      <w:r>
        <w:rPr>
          <w:rFonts w:hint="eastAsia"/>
        </w:rPr>
        <w:t>高效便民原则</w:t>
      </w:r>
      <w:bookmarkEnd w:id="128"/>
      <w:bookmarkEnd w:id="129"/>
      <w:bookmarkEnd w:id="130"/>
      <w:bookmarkEnd w:id="131"/>
      <w:bookmarkEnd w:id="132"/>
      <w:bookmarkEnd w:id="133"/>
      <w:bookmarkEnd w:id="134"/>
      <w:bookmarkEnd w:id="135"/>
      <w:bookmarkEnd w:id="136"/>
      <w:bookmarkEnd w:id="137"/>
      <w:bookmarkEnd w:id="138"/>
    </w:p>
    <w:p>
      <w:pPr>
        <w:pStyle w:val="60"/>
        <w:ind w:firstLine="420"/>
      </w:pPr>
      <w:r>
        <w:rPr>
          <w:rFonts w:hint="eastAsia"/>
        </w:rPr>
        <w:t>市破产事务管理署宜主要通过申报信息比对、报告事项核对、电话沟通、视频面谈等非现场方式进行；确有必要的，综合运用信息化手段核查监督事项，提升债务人监督质效。市破产事务管理署开展债务人监督工作，宜尽量减少对债务人正常工作和生活的打扰。</w:t>
      </w:r>
    </w:p>
    <w:p>
      <w:pPr>
        <w:pStyle w:val="109"/>
        <w:spacing w:before="156" w:after="156"/>
        <w:ind w:left="420" w:hanging="420" w:hangingChars="200"/>
      </w:pPr>
      <w:bookmarkStart w:id="139" w:name="_Toc1409886221"/>
      <w:bookmarkStart w:id="140" w:name="_Toc152941286"/>
      <w:bookmarkStart w:id="141" w:name="_Toc132768343"/>
      <w:bookmarkStart w:id="142" w:name="_Toc153283476"/>
      <w:bookmarkStart w:id="143" w:name="_Toc152936611"/>
      <w:bookmarkStart w:id="144" w:name="_Toc148539955"/>
      <w:bookmarkStart w:id="145" w:name="_Toc29373"/>
      <w:bookmarkStart w:id="146" w:name="_Toc152936664"/>
      <w:bookmarkStart w:id="147" w:name="_Toc23086"/>
      <w:bookmarkStart w:id="148" w:name="_Toc680628371"/>
      <w:bookmarkStart w:id="149" w:name="_Toc152335805"/>
      <w:r>
        <w:rPr>
          <w:rFonts w:hint="eastAsia"/>
        </w:rPr>
        <w:t>突出重点原则</w:t>
      </w:r>
      <w:bookmarkEnd w:id="139"/>
      <w:bookmarkEnd w:id="140"/>
      <w:bookmarkEnd w:id="141"/>
      <w:bookmarkEnd w:id="142"/>
      <w:bookmarkEnd w:id="143"/>
      <w:bookmarkEnd w:id="144"/>
      <w:bookmarkEnd w:id="145"/>
      <w:bookmarkEnd w:id="146"/>
      <w:bookmarkEnd w:id="147"/>
      <w:bookmarkEnd w:id="148"/>
      <w:bookmarkEnd w:id="149"/>
    </w:p>
    <w:p>
      <w:pPr>
        <w:pStyle w:val="60"/>
        <w:ind w:firstLine="420"/>
      </w:pPr>
      <w:r>
        <w:rPr>
          <w:rFonts w:hint="eastAsia"/>
        </w:rPr>
        <w:t>市破产事务管理署宜按照“分类监督、宽严相济、风险防范”的原则，针对不同类型债务人在减免债务方面的不同安排，实行“清算债务人严格监督、重整和解债务人适度监督”的监督机制，对于重整、和解债务人，主要监督其登记申报个人破产信息、个人破产重大事项，履行离开居住地、出入境报告义务，以及执行重整计划、和解协议的情况；对于清算债务人，监督事项还包括考察期收入和支出情况、担任公司董事、监事和高级管理人员等情况。</w:t>
      </w:r>
    </w:p>
    <w:p>
      <w:pPr>
        <w:pStyle w:val="109"/>
        <w:spacing w:before="156" w:after="156"/>
        <w:ind w:left="420" w:hanging="420" w:hangingChars="200"/>
      </w:pPr>
      <w:bookmarkStart w:id="150" w:name="_Toc153283477"/>
      <w:bookmarkStart w:id="151" w:name="_Toc152335806"/>
      <w:bookmarkStart w:id="152" w:name="_Toc1957421963"/>
      <w:bookmarkStart w:id="153" w:name="_Toc152936665"/>
      <w:bookmarkStart w:id="154" w:name="_Toc261524368"/>
      <w:bookmarkStart w:id="155" w:name="_Toc152941287"/>
      <w:bookmarkStart w:id="156" w:name="_Toc152936612"/>
      <w:bookmarkStart w:id="157" w:name="_Toc21347"/>
      <w:bookmarkStart w:id="158" w:name="_Toc567215618"/>
      <w:r>
        <w:rPr>
          <w:rFonts w:hint="eastAsia"/>
          <w:lang w:bidi="ar"/>
        </w:rPr>
        <w:t>教育引导原则</w:t>
      </w:r>
      <w:bookmarkEnd w:id="150"/>
      <w:bookmarkEnd w:id="151"/>
      <w:bookmarkEnd w:id="152"/>
      <w:bookmarkEnd w:id="153"/>
      <w:bookmarkEnd w:id="154"/>
      <w:bookmarkEnd w:id="155"/>
      <w:bookmarkEnd w:id="156"/>
      <w:bookmarkEnd w:id="157"/>
      <w:bookmarkEnd w:id="158"/>
    </w:p>
    <w:p>
      <w:pPr>
        <w:pStyle w:val="26"/>
        <w:ind w:firstLine="420" w:firstLineChars="200"/>
      </w:pPr>
      <w:r>
        <w:rPr>
          <w:rFonts w:hint="eastAsia" w:hAnsi="Times New Roman" w:cs="Times New Roman"/>
          <w:sz w:val="21"/>
          <w:szCs w:val="20"/>
          <w:lang w:bidi="ar"/>
        </w:rPr>
        <w:t>市破产事务管理署开展债务人监督工作，旨在向债务人普及个人破产制度的价值，教育和引导债务人全面、及时、准确履行破产程序义务。针对监督工作中发现的问题，宜综合运用面谈、书面提醒、通报人民法院等手段，进一步提升债务人自觉履行破产程序义务的积极性和规范性，切实为破产事务管理工作提质增效。</w:t>
      </w:r>
    </w:p>
    <w:p>
      <w:pPr>
        <w:pStyle w:val="108"/>
        <w:spacing w:before="312" w:after="312"/>
      </w:pPr>
      <w:bookmarkStart w:id="159" w:name="_Toc14649"/>
      <w:bookmarkStart w:id="160" w:name="_Toc152936613"/>
      <w:bookmarkStart w:id="161" w:name="_Toc1494792329"/>
      <w:bookmarkStart w:id="162" w:name="_Toc890813220"/>
      <w:bookmarkStart w:id="163" w:name="_Toc15261"/>
      <w:bookmarkStart w:id="164" w:name="_Toc152335807"/>
      <w:bookmarkStart w:id="165" w:name="_Toc152936666"/>
      <w:bookmarkStart w:id="166" w:name="_Toc164736662"/>
      <w:bookmarkStart w:id="167" w:name="_Toc153283478"/>
      <w:bookmarkStart w:id="168" w:name="_Toc152941288"/>
      <w:bookmarkStart w:id="169" w:name="_Toc148539956"/>
      <w:r>
        <w:rPr>
          <w:rFonts w:hint="eastAsia"/>
        </w:rPr>
        <w:t>监督类型</w:t>
      </w:r>
      <w:bookmarkEnd w:id="159"/>
      <w:bookmarkEnd w:id="160"/>
      <w:bookmarkEnd w:id="161"/>
      <w:bookmarkEnd w:id="162"/>
      <w:bookmarkEnd w:id="163"/>
      <w:bookmarkEnd w:id="164"/>
      <w:bookmarkEnd w:id="165"/>
      <w:bookmarkEnd w:id="166"/>
      <w:bookmarkEnd w:id="167"/>
      <w:bookmarkEnd w:id="168"/>
      <w:bookmarkEnd w:id="169"/>
    </w:p>
    <w:p>
      <w:pPr>
        <w:pStyle w:val="166"/>
        <w:numPr>
          <w:ilvl w:val="255"/>
          <w:numId w:val="0"/>
        </w:numPr>
        <w:ind w:firstLine="420" w:firstLineChars="200"/>
      </w:pPr>
      <w:r>
        <w:rPr>
          <w:rFonts w:hint="eastAsia"/>
        </w:rPr>
        <w:t>市破产事务管理署对债务人监督的类型包括但不限于</w:t>
      </w:r>
      <w:r>
        <w:t>：</w:t>
      </w:r>
    </w:p>
    <w:p>
      <w:pPr>
        <w:pStyle w:val="178"/>
        <w:numPr>
          <w:ilvl w:val="0"/>
          <w:numId w:val="32"/>
        </w:numPr>
      </w:pPr>
      <w:r>
        <w:rPr>
          <w:rFonts w:hint="eastAsia"/>
        </w:rPr>
        <w:t>日常监督：市破产事务管理署通过申报信息比对、报告事项核对、信息化查询核对、信息共享、电话询问等方式，对债务人监督名录库中的债务人履行个人破产信息或者个人破产重大事项申报情况，考察期债务人执行豁免财产清单情况，重整计划、和解协议执行期债务人执行重整计划、和解协议情况所开展的常态化监督检查；</w:t>
      </w:r>
    </w:p>
    <w:p>
      <w:pPr>
        <w:pStyle w:val="178"/>
      </w:pPr>
      <w:r>
        <w:rPr>
          <w:rFonts w:hint="eastAsia"/>
        </w:rPr>
        <w:t>专项监督：市破产事务管理署每年定期开展的，针对债务人监督名录库中部分执行考察期债务人破产程序义务履行情况进行的专门监督检查，对清算债务人采取严格监督，对重整及和解债务人适度监督，旨在教育和引导债务人全面、及时、准确履行破产程序义务；</w:t>
      </w:r>
    </w:p>
    <w:p>
      <w:pPr>
        <w:pStyle w:val="178"/>
      </w:pPr>
      <w:r>
        <w:rPr>
          <w:rFonts w:hint="eastAsia"/>
        </w:rPr>
        <w:t>投诉监督：市破产事务管理署基于投诉举报、转办交办的问题线索，对被投诉债务人涉嫌违法违规行为进行的监督调查，旨在公平、公正、及时地处理投诉举报问题，协助防范个人破产欺诈及相关违法违规行为。</w:t>
      </w:r>
    </w:p>
    <w:p>
      <w:pPr>
        <w:pStyle w:val="108"/>
        <w:spacing w:before="312" w:after="312"/>
      </w:pPr>
      <w:bookmarkStart w:id="170" w:name="_Toc153283479"/>
      <w:bookmarkStart w:id="171" w:name="_Toc7208"/>
      <w:bookmarkStart w:id="172" w:name="_Toc152936667"/>
      <w:bookmarkStart w:id="173" w:name="_Toc148539960"/>
      <w:bookmarkStart w:id="174" w:name="_Toc152941289"/>
      <w:bookmarkStart w:id="175" w:name="_Toc1318891981"/>
      <w:bookmarkStart w:id="176" w:name="_Toc26610"/>
      <w:bookmarkStart w:id="177" w:name="_Toc10329242"/>
      <w:bookmarkStart w:id="178" w:name="_Toc152335808"/>
      <w:bookmarkStart w:id="179" w:name="_Toc5383"/>
      <w:bookmarkStart w:id="180" w:name="_Toc152936614"/>
      <w:bookmarkStart w:id="181" w:name="_Toc366817636"/>
      <w:r>
        <w:rPr>
          <w:rFonts w:hint="eastAsia"/>
        </w:rPr>
        <w:t>日常监督</w:t>
      </w:r>
      <w:bookmarkEnd w:id="170"/>
      <w:bookmarkEnd w:id="171"/>
      <w:bookmarkEnd w:id="172"/>
      <w:bookmarkEnd w:id="173"/>
      <w:bookmarkEnd w:id="174"/>
      <w:bookmarkEnd w:id="175"/>
      <w:bookmarkEnd w:id="176"/>
      <w:bookmarkEnd w:id="177"/>
      <w:bookmarkEnd w:id="178"/>
      <w:bookmarkEnd w:id="179"/>
      <w:bookmarkEnd w:id="180"/>
      <w:bookmarkEnd w:id="181"/>
    </w:p>
    <w:p>
      <w:pPr>
        <w:pStyle w:val="109"/>
        <w:spacing w:before="156" w:after="156"/>
        <w:ind w:left="420" w:hanging="420" w:hangingChars="200"/>
      </w:pPr>
      <w:bookmarkStart w:id="182" w:name="_Toc519540798"/>
      <w:bookmarkStart w:id="183" w:name="_Toc152941290"/>
      <w:bookmarkStart w:id="184" w:name="_Toc148539961"/>
      <w:bookmarkStart w:id="185" w:name="_Toc1146633367"/>
      <w:bookmarkStart w:id="186" w:name="_Toc153283480"/>
      <w:bookmarkStart w:id="187" w:name="_Toc152936615"/>
      <w:bookmarkStart w:id="188" w:name="_Toc5273"/>
      <w:bookmarkStart w:id="189" w:name="_Toc16074"/>
      <w:bookmarkStart w:id="190" w:name="_Toc1964024798"/>
      <w:bookmarkStart w:id="191" w:name="_Toc152335809"/>
      <w:bookmarkStart w:id="192" w:name="_Toc152936668"/>
      <w:r>
        <w:rPr>
          <w:rFonts w:hint="eastAsia"/>
        </w:rPr>
        <w:t>监督对象</w:t>
      </w:r>
      <w:bookmarkEnd w:id="182"/>
      <w:bookmarkEnd w:id="183"/>
      <w:bookmarkEnd w:id="184"/>
      <w:bookmarkEnd w:id="185"/>
      <w:bookmarkEnd w:id="186"/>
      <w:bookmarkEnd w:id="187"/>
      <w:bookmarkEnd w:id="188"/>
      <w:bookmarkEnd w:id="189"/>
      <w:bookmarkEnd w:id="190"/>
      <w:bookmarkEnd w:id="191"/>
      <w:bookmarkEnd w:id="192"/>
    </w:p>
    <w:p>
      <w:pPr>
        <w:pStyle w:val="60"/>
        <w:ind w:firstLine="420"/>
      </w:pPr>
      <w:r>
        <w:rPr>
          <w:rFonts w:hint="eastAsia"/>
        </w:rPr>
        <w:t>日常监督的对象包括：</w:t>
      </w:r>
    </w:p>
    <w:p>
      <w:pPr>
        <w:pStyle w:val="178"/>
        <w:numPr>
          <w:ilvl w:val="0"/>
          <w:numId w:val="33"/>
        </w:numPr>
      </w:pPr>
      <w:r>
        <w:rPr>
          <w:rFonts w:hint="eastAsia"/>
        </w:rPr>
        <w:t>人民法院宣告破产的债务人；</w:t>
      </w:r>
    </w:p>
    <w:p>
      <w:pPr>
        <w:pStyle w:val="178"/>
        <w:numPr>
          <w:ilvl w:val="0"/>
          <w:numId w:val="33"/>
        </w:numPr>
      </w:pPr>
      <w:r>
        <w:rPr>
          <w:rFonts w:hint="eastAsia"/>
        </w:rPr>
        <w:t>人民法院裁定批准重整计划的债务人；</w:t>
      </w:r>
    </w:p>
    <w:p>
      <w:pPr>
        <w:pStyle w:val="178"/>
        <w:numPr>
          <w:ilvl w:val="0"/>
          <w:numId w:val="33"/>
        </w:numPr>
      </w:pPr>
      <w:r>
        <w:rPr>
          <w:rFonts w:hint="eastAsia"/>
        </w:rPr>
        <w:t>人民法院裁定认可和解协议的债务人。</w:t>
      </w:r>
    </w:p>
    <w:p>
      <w:pPr>
        <w:pStyle w:val="109"/>
        <w:adjustRightInd w:val="0"/>
        <w:snapToGrid w:val="0"/>
        <w:spacing w:before="156" w:after="156"/>
        <w:ind w:left="420" w:hanging="420" w:hangingChars="200"/>
      </w:pPr>
      <w:bookmarkStart w:id="193" w:name="_Toc152936616"/>
      <w:bookmarkStart w:id="194" w:name="_Toc153283481"/>
      <w:bookmarkStart w:id="195" w:name="_Toc1119315161"/>
      <w:bookmarkStart w:id="196" w:name="_Toc152335810"/>
      <w:bookmarkStart w:id="197" w:name="_Toc152941291"/>
      <w:bookmarkStart w:id="198" w:name="_Toc344382709"/>
      <w:bookmarkStart w:id="199" w:name="_Toc152936669"/>
      <w:bookmarkStart w:id="200" w:name="_Toc27686"/>
      <w:bookmarkStart w:id="201" w:name="_Toc423961491"/>
      <w:r>
        <w:rPr>
          <w:rFonts w:hint="eastAsia"/>
        </w:rPr>
        <w:t>监督频次</w:t>
      </w:r>
      <w:bookmarkEnd w:id="193"/>
      <w:bookmarkEnd w:id="194"/>
      <w:bookmarkEnd w:id="195"/>
      <w:bookmarkEnd w:id="196"/>
      <w:bookmarkEnd w:id="197"/>
      <w:bookmarkEnd w:id="198"/>
      <w:bookmarkEnd w:id="199"/>
      <w:bookmarkEnd w:id="200"/>
      <w:bookmarkEnd w:id="201"/>
    </w:p>
    <w:p>
      <w:pPr>
        <w:pStyle w:val="26"/>
        <w:numPr>
          <w:ilvl w:val="3"/>
          <w:numId w:val="0"/>
        </w:numPr>
        <w:tabs>
          <w:tab w:val="left" w:pos="4777"/>
        </w:tabs>
        <w:spacing w:before="0" w:beforeAutospacing="0" w:after="0" w:afterAutospacing="0"/>
        <w:ind w:firstLine="420" w:firstLineChars="200"/>
      </w:pPr>
      <w:r>
        <w:rPr>
          <w:rFonts w:hint="eastAsia" w:hAnsi="Times New Roman" w:cs="Times New Roman"/>
          <w:sz w:val="21"/>
          <w:szCs w:val="20"/>
          <w:lang w:bidi="ar"/>
        </w:rPr>
        <w:t>市破产事务管理署应通过管理系统对债务人登记申报的信息开展持续、定期的监督，以确保及时发现和处理问题，监督频次不低于每月一次。</w:t>
      </w:r>
    </w:p>
    <w:p>
      <w:pPr>
        <w:pStyle w:val="109"/>
        <w:spacing w:before="156" w:after="156"/>
        <w:ind w:left="420" w:hanging="420" w:hangingChars="200"/>
      </w:pPr>
      <w:bookmarkStart w:id="202" w:name="_Toc284747512"/>
      <w:bookmarkStart w:id="203" w:name="_Toc461683911"/>
      <w:bookmarkStart w:id="204" w:name="_Toc152936670"/>
      <w:bookmarkStart w:id="205" w:name="_Toc153283482"/>
      <w:bookmarkStart w:id="206" w:name="_Toc152936617"/>
      <w:bookmarkStart w:id="207" w:name="_Toc152941292"/>
      <w:bookmarkStart w:id="208" w:name="_Toc155756473"/>
      <w:bookmarkStart w:id="209" w:name="_Toc152335811"/>
      <w:bookmarkStart w:id="210" w:name="_Toc29993"/>
      <w:r>
        <w:rPr>
          <w:rFonts w:hint="eastAsia"/>
        </w:rPr>
        <w:t>监督事项</w:t>
      </w:r>
      <w:bookmarkEnd w:id="202"/>
      <w:bookmarkEnd w:id="203"/>
      <w:bookmarkEnd w:id="204"/>
      <w:bookmarkEnd w:id="205"/>
      <w:bookmarkEnd w:id="206"/>
      <w:bookmarkEnd w:id="207"/>
      <w:bookmarkEnd w:id="208"/>
      <w:bookmarkEnd w:id="209"/>
      <w:bookmarkEnd w:id="210"/>
    </w:p>
    <w:p>
      <w:pPr>
        <w:pStyle w:val="60"/>
        <w:ind w:firstLine="420"/>
      </w:pPr>
      <w:r>
        <w:rPr>
          <w:rFonts w:hint="eastAsia"/>
        </w:rPr>
        <w:t>市破产事务管理署对清算债务人履行下列破产程序义务的情况进行日常监督：</w:t>
      </w:r>
    </w:p>
    <w:p>
      <w:pPr>
        <w:pStyle w:val="60"/>
        <w:ind w:firstLine="420"/>
      </w:pPr>
      <w:r>
        <w:rPr>
          <w:rFonts w:hint="eastAsia"/>
        </w:rPr>
        <w:t>a)</w:t>
      </w:r>
      <w:r>
        <w:rPr>
          <w:rFonts w:hint="eastAsia"/>
        </w:rPr>
        <w:tab/>
      </w:r>
      <w:r>
        <w:rPr>
          <w:rFonts w:hint="eastAsia"/>
        </w:rPr>
        <w:t>个人破产信息申报情况，包括案件信息、债务人信息、债权信息、家庭信息等；</w:t>
      </w:r>
    </w:p>
    <w:p>
      <w:pPr>
        <w:pStyle w:val="60"/>
        <w:ind w:firstLine="420"/>
      </w:pPr>
      <w:r>
        <w:rPr>
          <w:rFonts w:hint="eastAsia"/>
        </w:rPr>
        <w:t>b)</w:t>
      </w:r>
      <w:r>
        <w:rPr>
          <w:rFonts w:hint="eastAsia"/>
        </w:rPr>
        <w:tab/>
      </w:r>
      <w:r>
        <w:rPr>
          <w:rFonts w:hint="eastAsia"/>
        </w:rPr>
        <w:t>个人破产重大事项申报情况，包括破产申请、财产状况、债务状况、破产期间的收入、支出情况等；</w:t>
      </w:r>
    </w:p>
    <w:p>
      <w:pPr>
        <w:pStyle w:val="60"/>
        <w:ind w:firstLine="420"/>
      </w:pPr>
      <w:r>
        <w:rPr>
          <w:rFonts w:hint="eastAsia"/>
        </w:rPr>
        <w:t>c)</w:t>
      </w:r>
      <w:r>
        <w:rPr>
          <w:rFonts w:hint="eastAsia"/>
        </w:rPr>
        <w:tab/>
      </w:r>
      <w:r>
        <w:rPr>
          <w:rFonts w:hint="eastAsia"/>
        </w:rPr>
        <w:t>执行豁免财产清单情况；</w:t>
      </w:r>
    </w:p>
    <w:p>
      <w:pPr>
        <w:pStyle w:val="60"/>
        <w:ind w:firstLine="420"/>
      </w:pPr>
      <w:r>
        <w:rPr>
          <w:rFonts w:hint="eastAsia"/>
        </w:rPr>
        <w:t>d)</w:t>
      </w:r>
      <w:r>
        <w:rPr>
          <w:rFonts w:hint="eastAsia"/>
        </w:rPr>
        <w:tab/>
      </w:r>
      <w:r>
        <w:rPr>
          <w:rFonts w:hint="eastAsia"/>
        </w:rPr>
        <w:t>债务人依照相关法律法规应申报或者报告的其他事项。</w:t>
      </w:r>
    </w:p>
    <w:p>
      <w:pPr>
        <w:pStyle w:val="60"/>
        <w:ind w:firstLine="420"/>
      </w:pPr>
      <w:r>
        <w:rPr>
          <w:rFonts w:hint="eastAsia"/>
        </w:rPr>
        <w:t>市破产事务管理署对重整或者和解债务人履行下列破产程序义务的情况进行日常监督：</w:t>
      </w:r>
    </w:p>
    <w:p>
      <w:pPr>
        <w:pStyle w:val="60"/>
        <w:ind w:firstLine="420"/>
      </w:pPr>
      <w:r>
        <w:rPr>
          <w:rFonts w:hint="eastAsia"/>
        </w:rPr>
        <w:t>a)</w:t>
      </w:r>
      <w:r>
        <w:rPr>
          <w:rFonts w:hint="eastAsia"/>
        </w:rPr>
        <w:tab/>
      </w:r>
      <w:r>
        <w:rPr>
          <w:rFonts w:hint="eastAsia"/>
        </w:rPr>
        <w:t>个人破产信息申报情况，包括案件信息、债务人信息、债权信息、家庭信息等；</w:t>
      </w:r>
    </w:p>
    <w:p>
      <w:pPr>
        <w:pStyle w:val="60"/>
        <w:ind w:firstLine="420"/>
      </w:pPr>
      <w:r>
        <w:rPr>
          <w:rFonts w:hint="eastAsia"/>
        </w:rPr>
        <w:t>b)</w:t>
      </w:r>
      <w:r>
        <w:rPr>
          <w:rFonts w:hint="eastAsia"/>
        </w:rPr>
        <w:tab/>
      </w:r>
      <w:r>
        <w:rPr>
          <w:rFonts w:hint="eastAsia"/>
        </w:rPr>
        <w:t>个人破产重大事项申报情况，包括破产申请、财产状况、债务状况、重整计划、和解协议、破产期间的收入、支出情况等；</w:t>
      </w:r>
    </w:p>
    <w:p>
      <w:pPr>
        <w:pStyle w:val="60"/>
        <w:ind w:firstLine="420"/>
      </w:pPr>
      <w:r>
        <w:rPr>
          <w:rFonts w:hint="eastAsia"/>
        </w:rPr>
        <w:t>c)</w:t>
      </w:r>
      <w:r>
        <w:rPr>
          <w:rFonts w:hint="eastAsia"/>
        </w:rPr>
        <w:tab/>
      </w:r>
      <w:r>
        <w:rPr>
          <w:rFonts w:hint="eastAsia"/>
        </w:rPr>
        <w:t>执行重整计划或者和解协议有关情况</w:t>
      </w:r>
    </w:p>
    <w:p>
      <w:pPr>
        <w:pStyle w:val="60"/>
        <w:ind w:firstLine="420"/>
      </w:pPr>
      <w:r>
        <w:rPr>
          <w:rFonts w:hint="eastAsia"/>
        </w:rPr>
        <w:t>d)</w:t>
      </w:r>
      <w:r>
        <w:rPr>
          <w:rFonts w:hint="eastAsia"/>
        </w:rPr>
        <w:tab/>
      </w:r>
      <w:r>
        <w:rPr>
          <w:rFonts w:hint="eastAsia"/>
        </w:rPr>
        <w:t>债务人依照相关法律法规应申报或者报告的其他事项。</w:t>
      </w:r>
    </w:p>
    <w:p>
      <w:pPr>
        <w:pStyle w:val="109"/>
        <w:spacing w:before="156" w:after="156"/>
        <w:ind w:left="420" w:hanging="420" w:hangingChars="200"/>
      </w:pPr>
      <w:bookmarkStart w:id="211" w:name="_Toc13265"/>
      <w:bookmarkStart w:id="212" w:name="_Toc152936678"/>
      <w:bookmarkStart w:id="213" w:name="_Toc152335812"/>
      <w:bookmarkStart w:id="214" w:name="_Toc152936625"/>
      <w:bookmarkStart w:id="215" w:name="_Toc692097610"/>
      <w:bookmarkStart w:id="216" w:name="_Toc152941300"/>
      <w:bookmarkStart w:id="217" w:name="_Toc153283483"/>
      <w:bookmarkStart w:id="218" w:name="_Toc1764983574"/>
      <w:bookmarkStart w:id="219" w:name="_Toc302208750"/>
      <w:r>
        <w:rPr>
          <w:rFonts w:hint="eastAsia"/>
        </w:rPr>
        <w:t>监督方式</w:t>
      </w:r>
      <w:bookmarkEnd w:id="211"/>
      <w:bookmarkEnd w:id="212"/>
      <w:bookmarkEnd w:id="213"/>
      <w:bookmarkEnd w:id="214"/>
      <w:bookmarkEnd w:id="215"/>
      <w:bookmarkEnd w:id="216"/>
      <w:bookmarkEnd w:id="217"/>
      <w:bookmarkEnd w:id="218"/>
      <w:bookmarkEnd w:id="219"/>
    </w:p>
    <w:p>
      <w:pPr>
        <w:pStyle w:val="69"/>
        <w:adjustRightInd w:val="0"/>
        <w:snapToGrid w:val="0"/>
        <w:spacing w:beforeLines="0" w:afterLines="0"/>
        <w:outlineLvl w:val="9"/>
        <w:rPr>
          <w:rFonts w:ascii="宋体" w:eastAsia="宋体"/>
        </w:rPr>
      </w:pPr>
      <w:r>
        <w:rPr>
          <w:rFonts w:hint="eastAsia" w:ascii="宋体" w:eastAsia="宋体"/>
        </w:rPr>
        <w:t>日常监督工作主要采取申报信息比对、报告事项核对、信息化查询核对、信息共享、电话询问等非现场方式开展。</w:t>
      </w:r>
    </w:p>
    <w:p>
      <w:pPr>
        <w:pStyle w:val="169"/>
      </w:pPr>
      <w:r>
        <w:rPr>
          <w:rFonts w:hint="eastAsia"/>
        </w:rPr>
        <w:t>市破产事务管理署应通过管理系统对债务人日常监督事项进行动态管理，核查债务人申报信息是否及时、内容是否完整，及时发现并跟进申报信息中存在的问题，提醒债务人及对应的管理人进行处理。</w:t>
      </w:r>
    </w:p>
    <w:p>
      <w:pPr>
        <w:pStyle w:val="109"/>
        <w:spacing w:before="156" w:after="156"/>
        <w:ind w:left="420" w:hanging="420" w:hangingChars="200"/>
      </w:pPr>
      <w:bookmarkStart w:id="220" w:name="_Toc152335813"/>
      <w:bookmarkStart w:id="221" w:name="_Toc4278"/>
      <w:bookmarkStart w:id="222" w:name="_Toc1710529254"/>
      <w:bookmarkStart w:id="223" w:name="_Toc109212098"/>
      <w:bookmarkStart w:id="224" w:name="_Toc132691202"/>
      <w:bookmarkStart w:id="225" w:name="_Toc153283484"/>
      <w:bookmarkStart w:id="226" w:name="_Toc277"/>
      <w:bookmarkStart w:id="227" w:name="_Toc152941301"/>
      <w:bookmarkStart w:id="228" w:name="_Toc152936679"/>
      <w:bookmarkStart w:id="229" w:name="_Toc152936626"/>
      <w:bookmarkStart w:id="230" w:name="_Toc148539962"/>
      <w:r>
        <w:rPr>
          <w:rFonts w:hint="eastAsia"/>
        </w:rPr>
        <w:t>监督流程</w:t>
      </w:r>
      <w:bookmarkEnd w:id="220"/>
      <w:bookmarkEnd w:id="221"/>
      <w:bookmarkEnd w:id="222"/>
      <w:bookmarkEnd w:id="223"/>
      <w:bookmarkEnd w:id="224"/>
      <w:bookmarkEnd w:id="225"/>
      <w:bookmarkEnd w:id="226"/>
      <w:bookmarkEnd w:id="227"/>
      <w:bookmarkEnd w:id="228"/>
      <w:bookmarkEnd w:id="229"/>
      <w:bookmarkEnd w:id="230"/>
    </w:p>
    <w:p>
      <w:pPr>
        <w:pStyle w:val="169"/>
      </w:pPr>
      <w:r>
        <w:rPr>
          <w:rFonts w:hint="eastAsia"/>
        </w:rPr>
        <w:t>市破产事务管理署开展日常监督工作应按照下列程序进行：</w:t>
      </w:r>
    </w:p>
    <w:p>
      <w:pPr>
        <w:pStyle w:val="178"/>
        <w:numPr>
          <w:ilvl w:val="0"/>
          <w:numId w:val="34"/>
        </w:numPr>
      </w:pPr>
      <w:r>
        <w:rPr>
          <w:rFonts w:hint="eastAsia"/>
        </w:rPr>
        <w:t>准备工作：市破产事务管理署在管理系统债务人监督名录库中新增债务人案件信息；</w:t>
      </w:r>
    </w:p>
    <w:p>
      <w:pPr>
        <w:pStyle w:val="183"/>
      </w:pPr>
      <w:r>
        <w:rPr>
          <w:rFonts w:hint="eastAsia"/>
        </w:rPr>
        <w:t>债务人案件信息指市破产事务管理署依法登记执行考察期债务人有关信息的集合，包括但不限于：</w:t>
      </w:r>
    </w:p>
    <w:p>
      <w:pPr>
        <w:pStyle w:val="136"/>
        <w:tabs>
          <w:tab w:val="left" w:pos="1276"/>
          <w:tab w:val="clear" w:pos="851"/>
        </w:tabs>
        <w:ind w:left="1276" w:hanging="425"/>
        <w:rPr>
          <w:sz w:val="18"/>
          <w:szCs w:val="18"/>
        </w:rPr>
      </w:pPr>
      <w:r>
        <w:rPr>
          <w:rFonts w:hint="eastAsia"/>
          <w:sz w:val="18"/>
          <w:szCs w:val="18"/>
        </w:rPr>
        <w:t>案件基本信息：申请时间、程序类型、受理时间、债权人会议时间、宣告破产时间、终结程序时间、裁定免债/终止执行时间、重整计划、和解协议、财产分配方案等；</w:t>
      </w:r>
    </w:p>
    <w:p>
      <w:pPr>
        <w:pStyle w:val="136"/>
        <w:tabs>
          <w:tab w:val="left" w:pos="1276"/>
          <w:tab w:val="clear" w:pos="851"/>
        </w:tabs>
        <w:ind w:left="1276" w:hanging="425"/>
        <w:rPr>
          <w:sz w:val="18"/>
          <w:szCs w:val="18"/>
        </w:rPr>
      </w:pPr>
      <w:r>
        <w:rPr>
          <w:rFonts w:hint="eastAsia"/>
          <w:sz w:val="18"/>
          <w:szCs w:val="18"/>
        </w:rPr>
        <w:t>破产管理人信息：机构名称、负责人、联系人、联系电话、联系地址等；</w:t>
      </w:r>
    </w:p>
    <w:p>
      <w:pPr>
        <w:pStyle w:val="136"/>
        <w:tabs>
          <w:tab w:val="left" w:pos="1276"/>
          <w:tab w:val="clear" w:pos="851"/>
        </w:tabs>
        <w:ind w:left="1276" w:hanging="425"/>
        <w:rPr>
          <w:sz w:val="18"/>
          <w:szCs w:val="18"/>
        </w:rPr>
      </w:pPr>
      <w:r>
        <w:rPr>
          <w:rFonts w:hint="eastAsia"/>
          <w:sz w:val="18"/>
          <w:szCs w:val="18"/>
        </w:rPr>
        <w:t>债务人基本情况：姓名、性别、年龄、出生日期、身份证号码、职业、月收入、居住地、破产原因、是否有商事主体登记、婚姻状况、配偶收入、夫妻是否共同申请破产、夫妻是否共同偿债、子女情况等；</w:t>
      </w:r>
    </w:p>
    <w:p>
      <w:pPr>
        <w:pStyle w:val="136"/>
        <w:tabs>
          <w:tab w:val="left" w:pos="1276"/>
          <w:tab w:val="clear" w:pos="851"/>
        </w:tabs>
        <w:ind w:left="1276" w:hanging="425"/>
        <w:rPr>
          <w:sz w:val="18"/>
          <w:szCs w:val="18"/>
        </w:rPr>
      </w:pPr>
      <w:r>
        <w:rPr>
          <w:rFonts w:hint="eastAsia"/>
          <w:sz w:val="18"/>
          <w:szCs w:val="18"/>
        </w:rPr>
        <w:t>执行情况：确认偿债规模、清偿比例、清偿周期、清偿方式、执行进度等；</w:t>
      </w:r>
    </w:p>
    <w:p>
      <w:pPr>
        <w:pStyle w:val="136"/>
        <w:tabs>
          <w:tab w:val="left" w:pos="1276"/>
          <w:tab w:val="clear" w:pos="851"/>
        </w:tabs>
        <w:ind w:left="1276" w:hanging="425"/>
        <w:rPr>
          <w:sz w:val="18"/>
          <w:szCs w:val="18"/>
        </w:rPr>
      </w:pPr>
      <w:r>
        <w:rPr>
          <w:rFonts w:hint="eastAsia"/>
          <w:sz w:val="18"/>
          <w:szCs w:val="18"/>
        </w:rPr>
        <w:t>债权确认情况：确认债权、未申报债权、暂缓确认债权等；</w:t>
      </w:r>
    </w:p>
    <w:p>
      <w:pPr>
        <w:pStyle w:val="136"/>
        <w:tabs>
          <w:tab w:val="left" w:pos="1276"/>
          <w:tab w:val="clear" w:pos="851"/>
        </w:tabs>
        <w:ind w:left="1276" w:hanging="425"/>
        <w:rPr>
          <w:sz w:val="18"/>
          <w:szCs w:val="18"/>
        </w:rPr>
      </w:pPr>
      <w:r>
        <w:rPr>
          <w:rFonts w:hint="eastAsia"/>
          <w:sz w:val="18"/>
          <w:szCs w:val="18"/>
        </w:rPr>
        <w:t>债权人情况：债权人类型、债权人数量等；</w:t>
      </w:r>
    </w:p>
    <w:p>
      <w:pPr>
        <w:pStyle w:val="136"/>
        <w:tabs>
          <w:tab w:val="left" w:pos="1276"/>
          <w:tab w:val="clear" w:pos="851"/>
        </w:tabs>
        <w:ind w:left="1276" w:hanging="425"/>
        <w:rPr>
          <w:sz w:val="18"/>
          <w:szCs w:val="18"/>
        </w:rPr>
      </w:pPr>
      <w:r>
        <w:rPr>
          <w:rFonts w:hint="eastAsia"/>
          <w:sz w:val="18"/>
          <w:szCs w:val="18"/>
        </w:rPr>
        <w:t>债务人财产及支出：现金类资产、其他重要资产、每月支出情况等。</w:t>
      </w:r>
    </w:p>
    <w:p>
      <w:pPr>
        <w:pStyle w:val="178"/>
        <w:numPr>
          <w:ilvl w:val="0"/>
          <w:numId w:val="34"/>
        </w:numPr>
      </w:pPr>
      <w:r>
        <w:rPr>
          <w:rFonts w:hint="eastAsia"/>
        </w:rPr>
        <w:t>开展信息登记工作：人民法院裁定受理债务人破产申请后，市破产事务管理署通过管理系统分配工作人员开展日常监督工作，工作人员开通债务人、对应的管理人信息申报登记通道，提醒债务人及对应的管理人及时申报个人破产信息及个人破产重大事项信息；债务人、管理人通过管理系统登记信息后，市破产事务管理署则可以在管理系统进行查询、审核。</w:t>
      </w:r>
    </w:p>
    <w:p>
      <w:pPr>
        <w:pStyle w:val="183"/>
      </w:pPr>
      <w:r>
        <w:rPr>
          <w:rFonts w:hint="eastAsia"/>
        </w:rPr>
        <w:t>管理系统是债务人、管理人进行相关操作的信息化平台，债务人、管理人可以通过P</w:t>
      </w:r>
      <w:r>
        <w:t>C</w:t>
      </w:r>
      <w:r>
        <w:rPr>
          <w:rFonts w:hint="eastAsia"/>
        </w:rPr>
        <w:t>端或移动端（如i深圳）进行相关操作，相应信息通过个人破产信息共享平台与其他管理系统进行信息交互。</w:t>
      </w:r>
    </w:p>
    <w:p>
      <w:pPr>
        <w:pStyle w:val="178"/>
        <w:numPr>
          <w:ilvl w:val="0"/>
          <w:numId w:val="34"/>
        </w:numPr>
      </w:pPr>
      <w:r>
        <w:rPr>
          <w:rFonts w:hint="eastAsia"/>
        </w:rPr>
        <w:t>开展面谈：人民法院裁定宣告债务人破产、批准重整计划或者认可和解协议后，市破产事务管理署约谈债务人及对应的管理人，了解执行考察期案件基本情况，告知债务人破产程序义务及有关信息申报流程，指导管理人按照规定开展有关审核监督工作；</w:t>
      </w:r>
    </w:p>
    <w:p>
      <w:pPr>
        <w:pStyle w:val="178"/>
        <w:numPr>
          <w:ilvl w:val="0"/>
          <w:numId w:val="34"/>
        </w:numPr>
      </w:pPr>
      <w:r>
        <w:rPr>
          <w:rFonts w:hint="eastAsia"/>
        </w:rPr>
        <w:t>监督债务人申报情况：市破产事务管理署通过管理系统对债务人每月申报情况、申报内容、管理人审核情况进行监督检查，申报内容包括债务人每月收入、支出、债务清偿情况、财产变动情况、执行豁免财产清单及有关执行情况等；</w:t>
      </w:r>
    </w:p>
    <w:p>
      <w:pPr>
        <w:pStyle w:val="178"/>
      </w:pPr>
      <w:r>
        <w:rPr>
          <w:rFonts w:hint="eastAsia"/>
        </w:rPr>
        <w:t>记录监督情况：在管理系统中收集归总债务人的申报问题，通过电话、视频询问等方式，了解债务人的有关情况并如实记录监督内容，填写《日常监督工作记录表》，形成有关工作台账，动态更新、管理债务人监督名录库。</w:t>
      </w:r>
    </w:p>
    <w:p>
      <w:pPr>
        <w:pStyle w:val="178"/>
      </w:pPr>
      <w:r>
        <w:rPr>
          <w:rFonts w:hint="eastAsia"/>
        </w:rPr>
        <w:t>数据分析：汇总债务人监督工作过程中形成的信息资料，统计分析相关数据，运用数据对工作中发现的问题进行监督。</w:t>
      </w:r>
    </w:p>
    <w:p>
      <w:pPr>
        <w:pStyle w:val="169"/>
      </w:pPr>
      <w:r>
        <w:rPr>
          <w:rFonts w:hint="eastAsia"/>
        </w:rPr>
        <w:t>个人破产债务人日常监督程序见图1。</w:t>
      </w:r>
    </w:p>
    <w:p>
      <w:pPr>
        <w:pStyle w:val="178"/>
        <w:numPr>
          <w:ilvl w:val="255"/>
          <w:numId w:val="0"/>
        </w:numPr>
        <w:jc w:val="center"/>
      </w:pPr>
      <w:r>
        <w:rPr>
          <w:rFonts w:hint="eastAsia"/>
        </w:rPr>
        <w:drawing>
          <wp:inline distT="0" distB="0" distL="114300" distR="114300">
            <wp:extent cx="5928995" cy="6812915"/>
            <wp:effectExtent l="0" t="0" r="0" b="0"/>
            <wp:docPr id="3" name="图片 3" descr="332167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33216794"/>
                    <pic:cNvPicPr>
                      <a:picLocks noChangeAspect="true"/>
                    </pic:cNvPicPr>
                  </pic:nvPicPr>
                  <pic:blipFill>
                    <a:blip r:embed="rId19"/>
                    <a:stretch>
                      <a:fillRect/>
                    </a:stretch>
                  </pic:blipFill>
                  <pic:spPr>
                    <a:xfrm>
                      <a:off x="0" y="0"/>
                      <a:ext cx="5928995" cy="6812915"/>
                    </a:xfrm>
                    <a:prstGeom prst="rect">
                      <a:avLst/>
                    </a:prstGeom>
                  </pic:spPr>
                </pic:pic>
              </a:graphicData>
            </a:graphic>
          </wp:inline>
        </w:drawing>
      </w:r>
    </w:p>
    <w:p>
      <w:pPr>
        <w:pStyle w:val="118"/>
        <w:spacing w:before="156" w:after="156"/>
      </w:pPr>
      <w:r>
        <w:rPr>
          <w:rFonts w:hint="eastAsia"/>
        </w:rPr>
        <w:t>个人破产债务人日常监督程序</w:t>
      </w:r>
    </w:p>
    <w:p>
      <w:pPr>
        <w:pStyle w:val="109"/>
        <w:spacing w:before="156" w:after="156"/>
        <w:ind w:left="420" w:hanging="420" w:hangingChars="200"/>
      </w:pPr>
      <w:bookmarkStart w:id="231" w:name="_Toc366659422"/>
      <w:bookmarkStart w:id="232" w:name="_Toc1356935151"/>
      <w:bookmarkStart w:id="233" w:name="_Toc32157"/>
      <w:bookmarkStart w:id="234" w:name="_Toc152941302"/>
      <w:bookmarkStart w:id="235" w:name="_Toc153283485"/>
      <w:bookmarkStart w:id="236" w:name="_Toc152335814"/>
      <w:bookmarkStart w:id="237" w:name="_Toc800405151"/>
      <w:bookmarkStart w:id="238" w:name="_Toc152936627"/>
      <w:bookmarkStart w:id="239" w:name="_Toc152936680"/>
      <w:r>
        <w:rPr>
          <w:rFonts w:hint="eastAsia"/>
        </w:rPr>
        <w:t>工作人员要求</w:t>
      </w:r>
      <w:bookmarkEnd w:id="231"/>
      <w:bookmarkEnd w:id="232"/>
      <w:bookmarkEnd w:id="233"/>
      <w:bookmarkEnd w:id="234"/>
      <w:bookmarkEnd w:id="235"/>
      <w:bookmarkEnd w:id="236"/>
      <w:bookmarkEnd w:id="237"/>
      <w:bookmarkEnd w:id="238"/>
      <w:bookmarkEnd w:id="239"/>
    </w:p>
    <w:p>
      <w:pPr>
        <w:pStyle w:val="69"/>
        <w:adjustRightInd w:val="0"/>
        <w:snapToGrid w:val="0"/>
        <w:spacing w:beforeLines="0" w:afterLines="0"/>
        <w:outlineLvl w:val="9"/>
        <w:rPr>
          <w:rFonts w:ascii="宋体" w:hAnsi="宋体" w:eastAsia="宋体" w:cs="宋体"/>
        </w:rPr>
      </w:pPr>
      <w:r>
        <w:rPr>
          <w:rFonts w:hint="eastAsia" w:ascii="宋体" w:hAnsi="宋体" w:eastAsia="宋体" w:cs="宋体"/>
        </w:rPr>
        <w:t>工作人员应</w:t>
      </w:r>
      <w:r>
        <w:rPr>
          <w:rFonts w:ascii="宋体" w:hAnsi="宋体" w:eastAsia="宋体" w:cs="宋体"/>
        </w:rPr>
        <w:t>满足</w:t>
      </w:r>
      <w:r>
        <w:rPr>
          <w:rFonts w:hint="eastAsia" w:ascii="宋体" w:hAnsi="宋体" w:eastAsia="宋体" w:cs="宋体"/>
        </w:rPr>
        <w:t>以下要求：</w:t>
      </w:r>
    </w:p>
    <w:p>
      <w:pPr>
        <w:pStyle w:val="178"/>
        <w:numPr>
          <w:ilvl w:val="0"/>
          <w:numId w:val="35"/>
        </w:numPr>
      </w:pPr>
      <w:r>
        <w:rPr>
          <w:rFonts w:hint="eastAsia"/>
        </w:rPr>
        <w:t>遵守日常监督工作规范和程序，确保日常监督工作的规范化和标准化；</w:t>
      </w:r>
    </w:p>
    <w:p>
      <w:pPr>
        <w:pStyle w:val="178"/>
      </w:pPr>
      <w:r>
        <w:rPr>
          <w:rFonts w:hint="eastAsia"/>
        </w:rPr>
        <w:t>具备相关法律知识和破产事务管理经验，准确分析和妥善处理日常监督过程中的相关问题；</w:t>
      </w:r>
    </w:p>
    <w:p>
      <w:pPr>
        <w:pStyle w:val="178"/>
      </w:pPr>
      <w:r>
        <w:rPr>
          <w:rFonts w:hint="eastAsia"/>
        </w:rPr>
        <w:t>组织开展面谈、现场走访等工作，应当指派两名及以上工作人员参加并出示工作证件；</w:t>
      </w:r>
    </w:p>
    <w:p>
      <w:pPr>
        <w:pStyle w:val="178"/>
      </w:pPr>
      <w:r>
        <w:rPr>
          <w:rFonts w:hint="eastAsia"/>
        </w:rPr>
        <w:t>全面核查债务人的日常监督事项，如实记录日常监督工作中发现的实际情况，可根据监督工作需要，采取拍照、录音、录像等方式记录核查情况。</w:t>
      </w:r>
    </w:p>
    <w:p>
      <w:pPr>
        <w:pStyle w:val="166"/>
        <w:numPr>
          <w:ilvl w:val="3"/>
          <w:numId w:val="2"/>
        </w:numPr>
      </w:pPr>
      <w:r>
        <w:rPr>
          <w:rFonts w:hint="eastAsia"/>
        </w:rPr>
        <w:t>工作人员在债务人监督工作中，不应实施下列行为：</w:t>
      </w:r>
    </w:p>
    <w:p>
      <w:pPr>
        <w:pStyle w:val="178"/>
        <w:numPr>
          <w:ilvl w:val="0"/>
          <w:numId w:val="36"/>
        </w:numPr>
      </w:pPr>
      <w:r>
        <w:rPr>
          <w:rFonts w:hint="eastAsia"/>
        </w:rPr>
        <w:t>违反规定程序进行监督；</w:t>
      </w:r>
    </w:p>
    <w:p>
      <w:pPr>
        <w:pStyle w:val="178"/>
        <w:numPr>
          <w:ilvl w:val="0"/>
          <w:numId w:val="35"/>
        </w:numPr>
      </w:pPr>
      <w:r>
        <w:rPr>
          <w:rFonts w:hint="eastAsia"/>
        </w:rPr>
        <w:t>利用监督工作为本人、亲友或者他人谋取利益；</w:t>
      </w:r>
    </w:p>
    <w:p>
      <w:pPr>
        <w:pStyle w:val="178"/>
        <w:numPr>
          <w:ilvl w:val="0"/>
          <w:numId w:val="35"/>
        </w:numPr>
      </w:pPr>
      <w:r>
        <w:rPr>
          <w:rFonts w:hint="eastAsia"/>
        </w:rPr>
        <w:t>接受债务人或者管理人的宴请、礼品、礼金，以及娱乐、旅游、食宿等安排；</w:t>
      </w:r>
    </w:p>
    <w:p>
      <w:pPr>
        <w:pStyle w:val="178"/>
        <w:numPr>
          <w:ilvl w:val="0"/>
          <w:numId w:val="35"/>
        </w:numPr>
      </w:pPr>
      <w:r>
        <w:rPr>
          <w:rFonts w:hint="eastAsia"/>
        </w:rPr>
        <w:t>未经授权，擅自披露或者泄露在监督工作中的涉案文件材料、债务人隐私信息、管理系统的账号以及其他机密信息；</w:t>
      </w:r>
    </w:p>
    <w:p>
      <w:pPr>
        <w:pStyle w:val="178"/>
        <w:numPr>
          <w:ilvl w:val="0"/>
          <w:numId w:val="35"/>
        </w:numPr>
      </w:pPr>
      <w:r>
        <w:rPr>
          <w:rFonts w:hint="eastAsia"/>
        </w:rPr>
        <w:t>向债务人或者管理人收取监督费用；</w:t>
      </w:r>
    </w:p>
    <w:p>
      <w:pPr>
        <w:pStyle w:val="178"/>
        <w:numPr>
          <w:ilvl w:val="0"/>
          <w:numId w:val="35"/>
        </w:numPr>
      </w:pPr>
      <w:r>
        <w:rPr>
          <w:rFonts w:hint="eastAsia"/>
        </w:rPr>
        <w:t>其他违反法律法规、侵害债务人合法权益的行为。</w:t>
      </w:r>
    </w:p>
    <w:p>
      <w:pPr>
        <w:pStyle w:val="166"/>
        <w:numPr>
          <w:ilvl w:val="3"/>
          <w:numId w:val="2"/>
        </w:numPr>
      </w:pPr>
      <w:r>
        <w:rPr>
          <w:rFonts w:hint="eastAsia"/>
        </w:rPr>
        <w:t>工作人员涉及下列情况应进行回避：</w:t>
      </w:r>
    </w:p>
    <w:p>
      <w:pPr>
        <w:pStyle w:val="178"/>
        <w:numPr>
          <w:ilvl w:val="0"/>
          <w:numId w:val="37"/>
        </w:numPr>
      </w:pPr>
      <w:r>
        <w:rPr>
          <w:rFonts w:hint="eastAsia"/>
        </w:rPr>
        <w:t>有关工作人员与债务人或者其管理人存在直接利益冲突或者其他利害关系，可能影响公正监督时，应主动提出回避申请；</w:t>
      </w:r>
    </w:p>
    <w:p>
      <w:pPr>
        <w:pStyle w:val="178"/>
        <w:numPr>
          <w:ilvl w:val="0"/>
          <w:numId w:val="35"/>
        </w:numPr>
      </w:pPr>
      <w:r>
        <w:rPr>
          <w:rFonts w:hint="eastAsia"/>
        </w:rPr>
        <w:t>债务人或者管理人认为市破产事务管理署有关工作人员应回避并向市破产事务管理署提出回避申请时，市破产事务管理署应依法审查有关回避申请，回避审查期间，有关工作人员不停止监督工作。</w:t>
      </w:r>
    </w:p>
    <w:p>
      <w:pPr>
        <w:pStyle w:val="108"/>
        <w:adjustRightInd w:val="0"/>
        <w:snapToGrid w:val="0"/>
        <w:spacing w:before="312" w:after="312"/>
      </w:pPr>
      <w:bookmarkStart w:id="240" w:name="_Toc31119"/>
      <w:bookmarkStart w:id="241" w:name="_Toc152335815"/>
      <w:bookmarkStart w:id="242" w:name="_Toc152936628"/>
      <w:bookmarkStart w:id="243" w:name="_Toc638716295"/>
      <w:bookmarkStart w:id="244" w:name="_Toc153283486"/>
      <w:bookmarkStart w:id="245" w:name="_Toc277553239"/>
      <w:bookmarkStart w:id="246" w:name="_Toc1142212690"/>
      <w:bookmarkStart w:id="247" w:name="_Toc148539965"/>
      <w:bookmarkStart w:id="248" w:name="_Toc405"/>
      <w:bookmarkStart w:id="249" w:name="_Toc152941303"/>
      <w:bookmarkStart w:id="250" w:name="_Toc3433"/>
      <w:bookmarkStart w:id="251" w:name="_Toc152936681"/>
      <w:r>
        <w:rPr>
          <w:rFonts w:hint="eastAsia"/>
        </w:rPr>
        <w:t>专项监督</w:t>
      </w:r>
      <w:bookmarkEnd w:id="240"/>
      <w:bookmarkEnd w:id="241"/>
      <w:bookmarkEnd w:id="242"/>
      <w:bookmarkEnd w:id="243"/>
      <w:bookmarkEnd w:id="244"/>
      <w:bookmarkEnd w:id="245"/>
      <w:bookmarkEnd w:id="246"/>
      <w:bookmarkEnd w:id="247"/>
      <w:bookmarkEnd w:id="248"/>
      <w:bookmarkEnd w:id="249"/>
      <w:bookmarkEnd w:id="250"/>
      <w:bookmarkEnd w:id="251"/>
    </w:p>
    <w:p>
      <w:pPr>
        <w:pStyle w:val="109"/>
        <w:spacing w:before="156" w:after="156"/>
        <w:ind w:left="420" w:hanging="420" w:hangingChars="200"/>
      </w:pPr>
      <w:bookmarkStart w:id="252" w:name="_Toc299329212"/>
      <w:bookmarkStart w:id="253" w:name="_Toc153283487"/>
      <w:bookmarkStart w:id="254" w:name="_Toc152941304"/>
      <w:bookmarkStart w:id="255" w:name="_Toc152936682"/>
      <w:bookmarkStart w:id="256" w:name="_Toc827564304"/>
      <w:bookmarkStart w:id="257" w:name="_Toc152936629"/>
      <w:bookmarkStart w:id="258" w:name="_Toc152335816"/>
      <w:bookmarkStart w:id="259" w:name="_Toc27322810"/>
      <w:bookmarkStart w:id="260" w:name="_Toc21847"/>
      <w:bookmarkStart w:id="261" w:name="_Toc22967"/>
      <w:bookmarkStart w:id="262" w:name="_Toc148539966"/>
      <w:r>
        <w:rPr>
          <w:rFonts w:hint="eastAsia"/>
        </w:rPr>
        <w:t>监督启动</w:t>
      </w:r>
      <w:bookmarkEnd w:id="252"/>
      <w:bookmarkEnd w:id="253"/>
      <w:bookmarkEnd w:id="254"/>
      <w:bookmarkEnd w:id="255"/>
      <w:bookmarkEnd w:id="256"/>
      <w:bookmarkEnd w:id="257"/>
    </w:p>
    <w:p>
      <w:pPr>
        <w:pStyle w:val="169"/>
        <w:numPr>
          <w:ilvl w:val="255"/>
          <w:numId w:val="0"/>
        </w:numPr>
        <w:ind w:firstLine="420" w:firstLineChars="200"/>
      </w:pPr>
      <w:r>
        <w:rPr>
          <w:rFonts w:hint="eastAsia"/>
        </w:rPr>
        <w:t>为了进一步防范债务人破产欺诈或执行不能等风险，强化债务人全面、及时、准确履行破产程序义务，市破产事务管理署应依据日常监督情况，定期组织制定专项监督工作方案，依据债务人的执行情况，明确监督主体、监督对象、监督重点、监督周期、监督方式、时间安排、工作要求等内容，专项监督工作方案经市破产事务管理署主管单位批准后启动实施。</w:t>
      </w:r>
    </w:p>
    <w:p>
      <w:pPr>
        <w:pStyle w:val="109"/>
        <w:spacing w:before="156" w:after="156"/>
        <w:ind w:left="420" w:hanging="420" w:hangingChars="200"/>
      </w:pPr>
      <w:bookmarkStart w:id="263" w:name="_Toc152936630"/>
      <w:bookmarkStart w:id="264" w:name="_Toc152941305"/>
      <w:bookmarkStart w:id="265" w:name="_Toc1054262663"/>
      <w:bookmarkStart w:id="266" w:name="_Toc1745170151"/>
      <w:bookmarkStart w:id="267" w:name="_Toc153283488"/>
      <w:bookmarkStart w:id="268" w:name="_Toc152936683"/>
      <w:r>
        <w:rPr>
          <w:rFonts w:hint="eastAsia"/>
        </w:rPr>
        <w:t>监督对象</w:t>
      </w:r>
      <w:bookmarkEnd w:id="258"/>
      <w:bookmarkEnd w:id="259"/>
      <w:bookmarkEnd w:id="260"/>
      <w:bookmarkEnd w:id="263"/>
      <w:bookmarkEnd w:id="264"/>
      <w:bookmarkEnd w:id="265"/>
      <w:bookmarkEnd w:id="266"/>
      <w:bookmarkEnd w:id="267"/>
      <w:bookmarkEnd w:id="268"/>
    </w:p>
    <w:p>
      <w:pPr>
        <w:pStyle w:val="169"/>
        <w:numPr>
          <w:ilvl w:val="255"/>
          <w:numId w:val="0"/>
        </w:numPr>
        <w:ind w:firstLine="420" w:firstLineChars="200"/>
      </w:pPr>
      <w:r>
        <w:rPr>
          <w:rFonts w:hint="eastAsia"/>
        </w:rPr>
        <w:t>专项监督的对象包括：</w:t>
      </w:r>
    </w:p>
    <w:p>
      <w:pPr>
        <w:pStyle w:val="178"/>
        <w:numPr>
          <w:ilvl w:val="0"/>
          <w:numId w:val="38"/>
        </w:numPr>
      </w:pPr>
      <w:r>
        <w:rPr>
          <w:rFonts w:hint="eastAsia"/>
        </w:rPr>
        <w:t>清算债务人；</w:t>
      </w:r>
    </w:p>
    <w:p>
      <w:pPr>
        <w:pStyle w:val="178"/>
        <w:numPr>
          <w:ilvl w:val="0"/>
          <w:numId w:val="38"/>
        </w:numPr>
      </w:pPr>
      <w:r>
        <w:rPr>
          <w:rFonts w:hint="eastAsia"/>
        </w:rPr>
        <w:t>清偿比例低于本金60%的重整、和解债务人；</w:t>
      </w:r>
    </w:p>
    <w:p>
      <w:pPr>
        <w:pStyle w:val="178"/>
      </w:pPr>
      <w:r>
        <w:rPr>
          <w:rFonts w:hint="eastAsia"/>
        </w:rPr>
        <w:t>超过两期或者半年未能足额执行重整计划或者和解协议的债务人；</w:t>
      </w:r>
    </w:p>
    <w:p>
      <w:pPr>
        <w:pStyle w:val="178"/>
      </w:pPr>
      <w:r>
        <w:rPr>
          <w:rFonts w:hint="eastAsia"/>
        </w:rPr>
        <w:t>因经济状况、家庭关系恶化导致重整计划、和解协议存在执行不能风险的债务人；</w:t>
      </w:r>
    </w:p>
    <w:p>
      <w:pPr>
        <w:pStyle w:val="178"/>
      </w:pPr>
      <w:r>
        <w:rPr>
          <w:rFonts w:hint="eastAsia"/>
        </w:rPr>
        <w:t>收到市破产事务管理署发出的《警示函》的债务人；</w:t>
      </w:r>
    </w:p>
    <w:p>
      <w:pPr>
        <w:pStyle w:val="178"/>
      </w:pPr>
      <w:r>
        <w:rPr>
          <w:rFonts w:hint="eastAsia"/>
        </w:rPr>
        <w:t>执行考察期将于下一年度届满且未曾被纳入专项监督范围的债务人；</w:t>
      </w:r>
    </w:p>
    <w:p>
      <w:pPr>
        <w:pStyle w:val="178"/>
      </w:pPr>
      <w:r>
        <w:rPr>
          <w:rFonts w:hint="eastAsia"/>
        </w:rPr>
        <w:t>除以上债务人外，在债务人监督名录库中随机选定的债务人。原则上宜采取摇号、抽签等随机方式确定监督对象。</w:t>
      </w:r>
    </w:p>
    <w:p>
      <w:pPr>
        <w:pStyle w:val="109"/>
        <w:spacing w:before="156" w:after="156"/>
        <w:ind w:left="420" w:hanging="420" w:hangingChars="200"/>
      </w:pPr>
      <w:bookmarkStart w:id="269" w:name="_Toc446770732"/>
      <w:bookmarkStart w:id="270" w:name="_Toc15359"/>
      <w:bookmarkStart w:id="271" w:name="_Toc2050760423"/>
      <w:bookmarkStart w:id="272" w:name="_Toc152936684"/>
      <w:bookmarkStart w:id="273" w:name="_Toc357526387"/>
      <w:bookmarkStart w:id="274" w:name="_Toc152936631"/>
      <w:bookmarkStart w:id="275" w:name="_Toc152941306"/>
      <w:bookmarkStart w:id="276" w:name="_Toc152335817"/>
      <w:bookmarkStart w:id="277" w:name="_Toc153283489"/>
      <w:r>
        <w:rPr>
          <w:rFonts w:hint="eastAsia"/>
        </w:rPr>
        <w:t>监督频次</w:t>
      </w:r>
      <w:bookmarkEnd w:id="261"/>
      <w:bookmarkEnd w:id="262"/>
      <w:bookmarkEnd w:id="269"/>
      <w:bookmarkEnd w:id="270"/>
      <w:bookmarkEnd w:id="271"/>
      <w:bookmarkEnd w:id="272"/>
      <w:bookmarkEnd w:id="273"/>
      <w:bookmarkEnd w:id="274"/>
      <w:bookmarkEnd w:id="275"/>
      <w:bookmarkEnd w:id="276"/>
      <w:bookmarkEnd w:id="277"/>
    </w:p>
    <w:p>
      <w:pPr>
        <w:pStyle w:val="169"/>
        <w:numPr>
          <w:ilvl w:val="255"/>
          <w:numId w:val="0"/>
        </w:numPr>
        <w:ind w:firstLine="420" w:firstLineChars="200"/>
      </w:pPr>
      <w:r>
        <w:rPr>
          <w:rFonts w:hint="eastAsia"/>
        </w:rPr>
        <w:t>专项监督原则上每年至少组织一次。</w:t>
      </w:r>
    </w:p>
    <w:p>
      <w:pPr>
        <w:pStyle w:val="109"/>
        <w:spacing w:before="156" w:after="156"/>
        <w:ind w:left="420" w:hanging="420" w:hangingChars="200"/>
      </w:pPr>
      <w:bookmarkStart w:id="278" w:name="_Toc153283490"/>
      <w:bookmarkStart w:id="279" w:name="_Toc152941307"/>
      <w:bookmarkStart w:id="280" w:name="_Toc152936685"/>
      <w:bookmarkStart w:id="281" w:name="_Toc8045"/>
      <w:bookmarkStart w:id="282" w:name="_Toc152335818"/>
      <w:bookmarkStart w:id="283" w:name="_Toc1801002476"/>
      <w:bookmarkStart w:id="284" w:name="_Toc459122692"/>
      <w:bookmarkStart w:id="285" w:name="_Toc2003945460"/>
      <w:bookmarkStart w:id="286" w:name="_Toc152936632"/>
      <w:r>
        <w:rPr>
          <w:rFonts w:hint="eastAsia"/>
        </w:rPr>
        <w:t>监督事项</w:t>
      </w:r>
      <w:bookmarkEnd w:id="278"/>
      <w:bookmarkEnd w:id="279"/>
      <w:bookmarkEnd w:id="280"/>
      <w:bookmarkEnd w:id="281"/>
      <w:bookmarkEnd w:id="282"/>
      <w:bookmarkEnd w:id="283"/>
      <w:bookmarkEnd w:id="284"/>
      <w:bookmarkEnd w:id="285"/>
      <w:bookmarkEnd w:id="286"/>
    </w:p>
    <w:p>
      <w:pPr>
        <w:pStyle w:val="169"/>
      </w:pPr>
      <w:r>
        <w:rPr>
          <w:rFonts w:hint="eastAsia"/>
        </w:rPr>
        <w:t>市破产事务管理署应对清算债务人履行下列破产程序义务的情况进行专项监督：</w:t>
      </w:r>
    </w:p>
    <w:p>
      <w:pPr>
        <w:pStyle w:val="178"/>
        <w:numPr>
          <w:ilvl w:val="0"/>
          <w:numId w:val="39"/>
        </w:numPr>
      </w:pPr>
      <w:r>
        <w:rPr>
          <w:rFonts w:hint="eastAsia"/>
        </w:rPr>
        <w:t>个人破产信息申报情况，包括案件信息、债务人信息、债权信息、家庭信息等；</w:t>
      </w:r>
    </w:p>
    <w:p>
      <w:pPr>
        <w:pStyle w:val="178"/>
        <w:numPr>
          <w:ilvl w:val="0"/>
          <w:numId w:val="39"/>
        </w:numPr>
      </w:pPr>
      <w:r>
        <w:rPr>
          <w:rFonts w:hint="eastAsia"/>
        </w:rPr>
        <w:t>个人破产重大事项申报情况，包括破产申请、财产状况、债务状况、破产期间的收入、支出情况等；</w:t>
      </w:r>
    </w:p>
    <w:p>
      <w:pPr>
        <w:pStyle w:val="178"/>
      </w:pPr>
      <w:r>
        <w:rPr>
          <w:rFonts w:hint="eastAsia"/>
        </w:rPr>
        <w:t>考察期间偿还债务情况；</w:t>
      </w:r>
    </w:p>
    <w:p>
      <w:pPr>
        <w:pStyle w:val="178"/>
      </w:pPr>
      <w:r>
        <w:rPr>
          <w:rFonts w:hint="eastAsia"/>
        </w:rPr>
        <w:t>离开居住地及有关报告情况；</w:t>
      </w:r>
    </w:p>
    <w:p>
      <w:pPr>
        <w:pStyle w:val="178"/>
      </w:pPr>
      <w:r>
        <w:rPr>
          <w:rFonts w:hint="eastAsia"/>
        </w:rPr>
        <w:t>出入境及有关审批、报告情况；</w:t>
      </w:r>
    </w:p>
    <w:p>
      <w:pPr>
        <w:pStyle w:val="178"/>
      </w:pPr>
      <w:r>
        <w:rPr>
          <w:rFonts w:hint="eastAsia"/>
        </w:rPr>
        <w:t>执行豁免财产清单情况；</w:t>
      </w:r>
    </w:p>
    <w:p>
      <w:pPr>
        <w:pStyle w:val="178"/>
      </w:pPr>
      <w:r>
        <w:rPr>
          <w:rFonts w:hint="eastAsia"/>
        </w:rPr>
        <w:t>遵守《限制消费行为决定书》情况；</w:t>
      </w:r>
    </w:p>
    <w:p>
      <w:pPr>
        <w:pStyle w:val="178"/>
      </w:pPr>
      <w:r>
        <w:rPr>
          <w:rFonts w:hint="eastAsia"/>
        </w:rPr>
        <w:t>担任董事、监事和高级管理人员职务情况；</w:t>
      </w:r>
    </w:p>
    <w:p>
      <w:pPr>
        <w:pStyle w:val="178"/>
      </w:pPr>
      <w:r>
        <w:rPr>
          <w:rFonts w:hint="eastAsia"/>
        </w:rPr>
        <w:t>相关法律法规规定的其他破产程序义务。</w:t>
      </w:r>
    </w:p>
    <w:p>
      <w:pPr>
        <w:pStyle w:val="169"/>
      </w:pPr>
      <w:r>
        <w:rPr>
          <w:rFonts w:hint="eastAsia"/>
        </w:rPr>
        <w:t>市破产事务管理署应对重整或者和解债务人履行下列破产程序义务的情况进行专项监督：</w:t>
      </w:r>
    </w:p>
    <w:p>
      <w:pPr>
        <w:pStyle w:val="178"/>
        <w:numPr>
          <w:ilvl w:val="0"/>
          <w:numId w:val="40"/>
        </w:numPr>
      </w:pPr>
      <w:r>
        <w:rPr>
          <w:rFonts w:hint="eastAsia"/>
        </w:rPr>
        <w:t>个人破产信息申报情况，包括案件信息、债务人信息、债权信息、家庭信息等；</w:t>
      </w:r>
    </w:p>
    <w:p>
      <w:pPr>
        <w:pStyle w:val="178"/>
        <w:numPr>
          <w:ilvl w:val="0"/>
          <w:numId w:val="40"/>
        </w:numPr>
      </w:pPr>
      <w:r>
        <w:rPr>
          <w:rFonts w:hint="eastAsia"/>
        </w:rPr>
        <w:t>个人破产重大事项申报情况，包括破产申请、财产状况、债务状况、重整计划、和解协议、破产期间的收入、支出情况等；</w:t>
      </w:r>
    </w:p>
    <w:p>
      <w:pPr>
        <w:pStyle w:val="178"/>
        <w:numPr>
          <w:ilvl w:val="0"/>
          <w:numId w:val="40"/>
        </w:numPr>
      </w:pPr>
      <w:r>
        <w:rPr>
          <w:rFonts w:hint="eastAsia"/>
        </w:rPr>
        <w:t>按期执行重整计划或者和解协议的情况；</w:t>
      </w:r>
    </w:p>
    <w:p>
      <w:pPr>
        <w:pStyle w:val="178"/>
      </w:pPr>
      <w:r>
        <w:rPr>
          <w:rFonts w:hint="eastAsia"/>
        </w:rPr>
        <w:t>离开居住地及有关报告情况；</w:t>
      </w:r>
    </w:p>
    <w:p>
      <w:pPr>
        <w:pStyle w:val="178"/>
      </w:pPr>
      <w:r>
        <w:rPr>
          <w:rFonts w:hint="eastAsia"/>
        </w:rPr>
        <w:t>出入境及有关审批、报告情况；</w:t>
      </w:r>
    </w:p>
    <w:p>
      <w:pPr>
        <w:pStyle w:val="178"/>
      </w:pPr>
      <w:r>
        <w:rPr>
          <w:rFonts w:hint="eastAsia"/>
        </w:rPr>
        <w:t>相关法律法规规定的其他破产程序义务。</w:t>
      </w:r>
    </w:p>
    <w:p>
      <w:pPr>
        <w:pStyle w:val="109"/>
        <w:spacing w:before="156" w:after="156"/>
        <w:ind w:left="420" w:hanging="420" w:hangingChars="200"/>
      </w:pPr>
      <w:bookmarkStart w:id="287" w:name="_Toc152936686"/>
      <w:bookmarkStart w:id="288" w:name="_Toc14174"/>
      <w:bookmarkStart w:id="289" w:name="_Toc152941308"/>
      <w:bookmarkStart w:id="290" w:name="_Toc153283491"/>
      <w:bookmarkStart w:id="291" w:name="_Toc242454964"/>
      <w:bookmarkStart w:id="292" w:name="_Toc1875539895"/>
      <w:bookmarkStart w:id="293" w:name="_Toc224400231"/>
      <w:bookmarkStart w:id="294" w:name="_Toc152936633"/>
      <w:bookmarkStart w:id="295" w:name="_Toc152335819"/>
      <w:r>
        <w:rPr>
          <w:rFonts w:hint="eastAsia"/>
        </w:rPr>
        <w:t>监督方式</w:t>
      </w:r>
      <w:bookmarkEnd w:id="287"/>
      <w:bookmarkEnd w:id="288"/>
      <w:bookmarkEnd w:id="289"/>
      <w:bookmarkEnd w:id="290"/>
      <w:bookmarkEnd w:id="291"/>
      <w:bookmarkEnd w:id="292"/>
      <w:bookmarkEnd w:id="293"/>
      <w:bookmarkEnd w:id="294"/>
      <w:bookmarkEnd w:id="295"/>
    </w:p>
    <w:p>
      <w:pPr>
        <w:pStyle w:val="169"/>
      </w:pPr>
      <w:r>
        <w:rPr>
          <w:rFonts w:hint="eastAsia"/>
        </w:rPr>
        <w:t>专项监督宜采取申报信息比对、报告事项核对、信息化查询核对、信息共享、书面询问、信函索证等方式开展，针对问题较为复杂的案件，市破产事务管理署宜组织债务人、对应的管理人面谈，或者进行现场走访。</w:t>
      </w:r>
    </w:p>
    <w:p>
      <w:pPr>
        <w:pStyle w:val="169"/>
      </w:pPr>
      <w:r>
        <w:rPr>
          <w:rFonts w:hint="eastAsia"/>
        </w:rPr>
        <w:t>专项监督宜通过管理系统调查债务人履行破产程序义务的总体情况以及违法违规情况，一旦发现债务人存在违反破产程序义务的行为，或者存在可能对债权人权益造成损害的行为，应及时将相关的违法违规问题线索通过管理系统共享给相关部门，提醒相关部门及时介入处理。</w:t>
      </w:r>
    </w:p>
    <w:p>
      <w:pPr>
        <w:pStyle w:val="169"/>
      </w:pPr>
      <w:r>
        <w:rPr>
          <w:rFonts w:hint="eastAsia"/>
        </w:rPr>
        <w:t>针对</w:t>
      </w:r>
      <w:r>
        <w:t>清算债务人</w:t>
      </w:r>
      <w:r>
        <w:rPr>
          <w:rFonts w:hint="eastAsia"/>
        </w:rPr>
        <w:t>及清偿比例低于本金60%的重整、和解债务人，市破产事务管理署</w:t>
      </w:r>
      <w:r>
        <w:t>应组织债务人签署书面承诺</w:t>
      </w:r>
      <w:r>
        <w:rPr>
          <w:rFonts w:hint="eastAsia"/>
        </w:rPr>
        <w:t>、</w:t>
      </w:r>
      <w:r>
        <w:t>授权</w:t>
      </w:r>
      <w:r>
        <w:rPr>
          <w:rFonts w:hint="eastAsia"/>
        </w:rPr>
        <w:t>、委托</w:t>
      </w:r>
      <w:r>
        <w:t>文件，</w:t>
      </w:r>
      <w:r>
        <w:rPr>
          <w:rFonts w:hint="eastAsia"/>
        </w:rPr>
        <w:t>委托深圳市居民家庭经济状况核对机构对债务人家庭经济状况开展信息化查询核对，具体流程如图2</w:t>
      </w:r>
      <w:r>
        <w:t>。</w:t>
      </w:r>
    </w:p>
    <w:p>
      <w:pPr>
        <w:pStyle w:val="60"/>
        <w:ind w:firstLine="0" w:firstLineChars="0"/>
        <w:jc w:val="center"/>
      </w:pPr>
      <w:r>
        <w:drawing>
          <wp:inline distT="0" distB="0" distL="114300" distR="114300">
            <wp:extent cx="4564380" cy="3739515"/>
            <wp:effectExtent l="0" t="0" r="0" b="0"/>
            <wp:docPr id="5" name="图片 5" descr="与民政管理部门核对"/>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与民政管理部门核对"/>
                    <pic:cNvPicPr>
                      <a:picLocks noChangeAspect="true"/>
                    </pic:cNvPicPr>
                  </pic:nvPicPr>
                  <pic:blipFill>
                    <a:blip r:embed="rId20"/>
                    <a:stretch>
                      <a:fillRect/>
                    </a:stretch>
                  </pic:blipFill>
                  <pic:spPr>
                    <a:xfrm>
                      <a:off x="0" y="0"/>
                      <a:ext cx="4564380" cy="3739515"/>
                    </a:xfrm>
                    <a:prstGeom prst="rect">
                      <a:avLst/>
                    </a:prstGeom>
                  </pic:spPr>
                </pic:pic>
              </a:graphicData>
            </a:graphic>
          </wp:inline>
        </w:drawing>
      </w:r>
    </w:p>
    <w:p>
      <w:pPr>
        <w:pStyle w:val="118"/>
        <w:spacing w:before="156" w:after="156"/>
      </w:pPr>
      <w:r>
        <w:rPr>
          <w:rFonts w:hint="eastAsia"/>
        </w:rPr>
        <w:t>核对债务人家庭经济状况信息流程</w:t>
      </w:r>
    </w:p>
    <w:p>
      <w:pPr>
        <w:pStyle w:val="109"/>
        <w:spacing w:before="156" w:after="156"/>
        <w:ind w:left="420" w:hanging="420" w:hangingChars="200"/>
      </w:pPr>
      <w:bookmarkStart w:id="296" w:name="_Toc1609709509"/>
      <w:bookmarkStart w:id="297" w:name="_Toc152941309"/>
      <w:bookmarkStart w:id="298" w:name="_Toc1190001344"/>
      <w:bookmarkStart w:id="299" w:name="_Toc153283492"/>
      <w:bookmarkStart w:id="300" w:name="_Toc10666"/>
      <w:bookmarkStart w:id="301" w:name="_Toc152936687"/>
      <w:bookmarkStart w:id="302" w:name="_Toc148539969"/>
      <w:bookmarkStart w:id="303" w:name="_Toc247332862"/>
      <w:bookmarkStart w:id="304" w:name="_Toc152936634"/>
      <w:bookmarkStart w:id="305" w:name="_Toc152335820"/>
      <w:bookmarkStart w:id="306" w:name="_Toc20365"/>
      <w:r>
        <w:rPr>
          <w:rFonts w:hint="eastAsia"/>
        </w:rPr>
        <w:t>监督流程</w:t>
      </w:r>
      <w:bookmarkEnd w:id="296"/>
      <w:bookmarkEnd w:id="297"/>
      <w:bookmarkEnd w:id="298"/>
      <w:bookmarkEnd w:id="299"/>
      <w:bookmarkEnd w:id="300"/>
      <w:bookmarkEnd w:id="301"/>
      <w:bookmarkEnd w:id="302"/>
      <w:bookmarkEnd w:id="303"/>
      <w:bookmarkEnd w:id="304"/>
      <w:bookmarkEnd w:id="305"/>
      <w:bookmarkEnd w:id="306"/>
    </w:p>
    <w:p>
      <w:pPr>
        <w:pStyle w:val="169"/>
      </w:pPr>
      <w:r>
        <w:rPr>
          <w:rFonts w:hint="eastAsia"/>
        </w:rPr>
        <w:t>市破产事务管理署开展专项监督工作应按照下列程序进行：</w:t>
      </w:r>
    </w:p>
    <w:p>
      <w:pPr>
        <w:pStyle w:val="178"/>
        <w:numPr>
          <w:ilvl w:val="0"/>
          <w:numId w:val="41"/>
        </w:numPr>
      </w:pPr>
      <w:r>
        <w:rPr>
          <w:rFonts w:hint="eastAsia"/>
        </w:rPr>
        <w:t>组织制定专项监督工作方案，明确监督主体、监督对象、监督重点、监督周期、监督方式、时间安排、工作要求等内容。专项监督工作方案经市破产事务管理署主要负责人批准后组织实施；</w:t>
      </w:r>
    </w:p>
    <w:p>
      <w:pPr>
        <w:pStyle w:val="178"/>
      </w:pPr>
      <w:r>
        <w:rPr>
          <w:rFonts w:hint="eastAsia"/>
        </w:rPr>
        <w:t>组织成立专项监督工作组，成员不少于五人；</w:t>
      </w:r>
    </w:p>
    <w:p>
      <w:pPr>
        <w:pStyle w:val="178"/>
      </w:pPr>
      <w:r>
        <w:rPr>
          <w:rFonts w:hint="eastAsia"/>
        </w:rPr>
        <w:t>确定专项监督对象，按照一定比例随机抽取债务人纳入专项监督范围，并与其他需要进行专项监督的对象汇总形成专项监督对象债务人名单；</w:t>
      </w:r>
    </w:p>
    <w:p>
      <w:pPr>
        <w:pStyle w:val="178"/>
      </w:pPr>
      <w:r>
        <w:rPr>
          <w:rFonts w:hint="eastAsia"/>
        </w:rPr>
        <w:t>通过深圳市个人破产信息公开平台发布专项监督公告，公布监督对象、监督事项、监督方式及有关安排；</w:t>
      </w:r>
    </w:p>
    <w:p>
      <w:pPr>
        <w:pStyle w:val="178"/>
      </w:pPr>
      <w:r>
        <w:rPr>
          <w:rFonts w:hint="eastAsia"/>
        </w:rPr>
        <w:t>向债务人发出专项监督通知书，并抄送对应的管理人；</w:t>
      </w:r>
    </w:p>
    <w:p>
      <w:pPr>
        <w:pStyle w:val="178"/>
      </w:pPr>
      <w:r>
        <w:rPr>
          <w:rFonts w:hint="eastAsia"/>
        </w:rPr>
        <w:t>按照专项监督工作方案及公告要求组织开展监督工作；通过申报信息比对、报告事项核对、信息化核对、电话询问等方式，掌握债务人在监督期间履行破产程序义务的总体情况；针对债务人在执行考察期的不规范或者未及时履行义务等行为，通过组织面谈、书面询问、信函索证、现场走访等方式，向当事人普及相关知识，要求其补充相关材料、纠正相关行为；</w:t>
      </w:r>
    </w:p>
    <w:p>
      <w:pPr>
        <w:pStyle w:val="178"/>
        <w:adjustRightInd w:val="0"/>
        <w:snapToGrid w:val="0"/>
        <w:ind w:left="845" w:hanging="425"/>
      </w:pPr>
      <w:r>
        <w:rPr>
          <w:rFonts w:hint="eastAsia"/>
        </w:rPr>
        <w:t>就发现的违法违规行为或者问题线索进行调查和处置；</w:t>
      </w:r>
    </w:p>
    <w:p>
      <w:pPr>
        <w:pStyle w:val="178"/>
      </w:pPr>
      <w:r>
        <w:rPr>
          <w:rFonts w:hint="eastAsia"/>
        </w:rPr>
        <w:t>根据有关调查核实情况形成监督处置意见，组织开展有关事先告知、听取债务人意见及异议复核处理等工作；</w:t>
      </w:r>
    </w:p>
    <w:p>
      <w:pPr>
        <w:pStyle w:val="178"/>
      </w:pPr>
      <w:r>
        <w:rPr>
          <w:rFonts w:hint="eastAsia"/>
        </w:rPr>
        <w:t>形成专项监督结果通知书，反馈给债务人并抄送给对应的管理人；</w:t>
      </w:r>
    </w:p>
    <w:p>
      <w:pPr>
        <w:pStyle w:val="178"/>
      </w:pPr>
      <w:r>
        <w:rPr>
          <w:rFonts w:hint="eastAsia"/>
        </w:rPr>
        <w:t>形成专项监督工作报告并报送给人民法院；</w:t>
      </w:r>
    </w:p>
    <w:p>
      <w:pPr>
        <w:pStyle w:val="178"/>
      </w:pPr>
      <w:r>
        <w:rPr>
          <w:rFonts w:hint="eastAsia"/>
        </w:rPr>
        <w:t>通过深圳市个人破产信息公开平台通报专项监督情况；</w:t>
      </w:r>
    </w:p>
    <w:p>
      <w:pPr>
        <w:pStyle w:val="178"/>
      </w:pPr>
      <w:r>
        <w:rPr>
          <w:rFonts w:hint="eastAsia"/>
        </w:rPr>
        <w:t>将监督情况更新至债务人监督名录库；</w:t>
      </w:r>
    </w:p>
    <w:p>
      <w:pPr>
        <w:pStyle w:val="178"/>
      </w:pPr>
      <w:r>
        <w:rPr>
          <w:rFonts w:hint="eastAsia"/>
        </w:rPr>
        <w:t>汇整债务人监督信息，不定期进行数据分析，优化专项监督工作。</w:t>
      </w:r>
    </w:p>
    <w:p>
      <w:pPr>
        <w:pStyle w:val="169"/>
      </w:pPr>
      <w:r>
        <w:rPr>
          <w:rFonts w:hint="eastAsia"/>
        </w:rPr>
        <w:t>个人破产债务人专项监督程序见图3。</w:t>
      </w:r>
    </w:p>
    <w:p>
      <w:pPr>
        <w:pStyle w:val="60"/>
        <w:ind w:firstLine="0" w:firstLineChars="0"/>
        <w:jc w:val="center"/>
      </w:pPr>
      <w:r>
        <w:drawing>
          <wp:inline distT="0" distB="0" distL="0" distR="0">
            <wp:extent cx="5939790" cy="7684770"/>
            <wp:effectExtent l="0" t="0" r="0" b="0"/>
            <wp:docPr id="18492641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926418" name="图片 2"/>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a:stretch>
                      <a:fillRect/>
                    </a:stretch>
                  </pic:blipFill>
                  <pic:spPr>
                    <a:xfrm>
                      <a:off x="0" y="0"/>
                      <a:ext cx="5939790" cy="7684770"/>
                    </a:xfrm>
                    <a:prstGeom prst="rect">
                      <a:avLst/>
                    </a:prstGeom>
                    <a:noFill/>
                    <a:ln>
                      <a:noFill/>
                    </a:ln>
                  </pic:spPr>
                </pic:pic>
              </a:graphicData>
            </a:graphic>
          </wp:inline>
        </w:drawing>
      </w:r>
    </w:p>
    <w:p>
      <w:pPr>
        <w:pStyle w:val="118"/>
        <w:spacing w:beforeLines="0" w:after="156"/>
      </w:pPr>
      <w:r>
        <w:rPr>
          <w:rFonts w:hint="eastAsia"/>
        </w:rPr>
        <w:t>个人破产债务人专项监督程序</w:t>
      </w:r>
    </w:p>
    <w:p>
      <w:pPr>
        <w:pStyle w:val="109"/>
        <w:spacing w:before="156" w:after="156"/>
        <w:ind w:left="420" w:hanging="420" w:hangingChars="200"/>
      </w:pPr>
      <w:bookmarkStart w:id="307" w:name="_Toc152941310"/>
      <w:bookmarkStart w:id="308" w:name="_Toc1169773389"/>
      <w:bookmarkStart w:id="309" w:name="_Toc966573266"/>
      <w:bookmarkStart w:id="310" w:name="_Toc152936688"/>
      <w:bookmarkStart w:id="311" w:name="_Toc1050223616"/>
      <w:bookmarkStart w:id="312" w:name="_Toc152335821"/>
      <w:bookmarkStart w:id="313" w:name="_Toc153283493"/>
      <w:bookmarkStart w:id="314" w:name="_Toc13035"/>
      <w:bookmarkStart w:id="315" w:name="_Toc152936635"/>
      <w:r>
        <w:rPr>
          <w:rFonts w:hint="eastAsia"/>
        </w:rPr>
        <w:t>工作人员要求</w:t>
      </w:r>
      <w:bookmarkEnd w:id="307"/>
      <w:bookmarkEnd w:id="308"/>
      <w:bookmarkEnd w:id="309"/>
      <w:bookmarkEnd w:id="310"/>
      <w:bookmarkEnd w:id="311"/>
      <w:bookmarkEnd w:id="312"/>
      <w:bookmarkEnd w:id="313"/>
      <w:bookmarkEnd w:id="314"/>
      <w:bookmarkEnd w:id="315"/>
    </w:p>
    <w:p>
      <w:pPr>
        <w:pStyle w:val="60"/>
        <w:ind w:firstLine="420"/>
      </w:pPr>
      <w:r>
        <w:rPr>
          <w:rFonts w:hint="eastAsia"/>
        </w:rPr>
        <w:t>工作人员应</w:t>
      </w:r>
      <w:r>
        <w:t>满足</w:t>
      </w:r>
      <w:r>
        <w:rPr>
          <w:rFonts w:hint="eastAsia"/>
        </w:rPr>
        <w:t>以下要求：</w:t>
      </w:r>
    </w:p>
    <w:p>
      <w:pPr>
        <w:pStyle w:val="178"/>
        <w:numPr>
          <w:ilvl w:val="0"/>
          <w:numId w:val="42"/>
        </w:numPr>
      </w:pPr>
      <w:r>
        <w:rPr>
          <w:rFonts w:hint="eastAsia"/>
        </w:rPr>
        <w:t>合理制定专项监督工作方案；</w:t>
      </w:r>
    </w:p>
    <w:p>
      <w:pPr>
        <w:pStyle w:val="178"/>
      </w:pPr>
      <w:r>
        <w:rPr>
          <w:rFonts w:hint="eastAsia"/>
        </w:rPr>
        <w:t>若涉及面谈或者现场调查，应指派两名及以上工作人员参加并出示工作证件；</w:t>
      </w:r>
    </w:p>
    <w:p>
      <w:pPr>
        <w:pStyle w:val="178"/>
      </w:pPr>
      <w:r>
        <w:rPr>
          <w:rFonts w:hint="eastAsia"/>
        </w:rPr>
        <w:t>具备相关法律知识和破产事务管理经验，准确分析和处理专项监督过程中的相关问题；</w:t>
      </w:r>
    </w:p>
    <w:p>
      <w:pPr>
        <w:pStyle w:val="178"/>
      </w:pPr>
      <w:r>
        <w:rPr>
          <w:rFonts w:hint="eastAsia"/>
        </w:rPr>
        <w:t>严格遵守专项监督工作规范和程序，及时发布专项监督公告，并告知债务人、相关案件的管理人有关专项监督工作的安排；</w:t>
      </w:r>
    </w:p>
    <w:p>
      <w:pPr>
        <w:pStyle w:val="178"/>
      </w:pPr>
      <w:r>
        <w:rPr>
          <w:rFonts w:hint="eastAsia"/>
        </w:rPr>
        <w:t>全面核查对债务人的专项监督事项，如实记录专项监督工作中发现的实际情况，可根据监督工作需要，采取拍照、录音、录像等方式记录核查情况；</w:t>
      </w:r>
    </w:p>
    <w:p>
      <w:pPr>
        <w:pStyle w:val="178"/>
      </w:pPr>
      <w:r>
        <w:rPr>
          <w:rFonts w:hint="eastAsia"/>
        </w:rPr>
        <w:t>工作人员不</w:t>
      </w:r>
      <w:r>
        <w:t>应</w:t>
      </w:r>
      <w:r>
        <w:rPr>
          <w:rFonts w:hint="eastAsia"/>
        </w:rPr>
        <w:t>实施的行为及回避情况见6.6.2和6.6.3。</w:t>
      </w:r>
    </w:p>
    <w:p>
      <w:pPr>
        <w:pStyle w:val="108"/>
        <w:spacing w:before="312" w:after="312"/>
      </w:pPr>
      <w:bookmarkStart w:id="316" w:name="_Toc780304760"/>
      <w:bookmarkStart w:id="317" w:name="_Toc152335822"/>
      <w:bookmarkStart w:id="318" w:name="_Toc152941311"/>
      <w:bookmarkStart w:id="319" w:name="_Toc152936636"/>
      <w:bookmarkStart w:id="320" w:name="_Toc152936689"/>
      <w:bookmarkStart w:id="321" w:name="_Toc1798698112"/>
      <w:bookmarkStart w:id="322" w:name="_Toc2000601482"/>
      <w:bookmarkStart w:id="323" w:name="_Toc153283494"/>
      <w:bookmarkStart w:id="324" w:name="_Toc24901"/>
      <w:r>
        <w:rPr>
          <w:rFonts w:hint="eastAsia"/>
        </w:rPr>
        <w:t>投诉监督</w:t>
      </w:r>
      <w:bookmarkEnd w:id="316"/>
      <w:bookmarkEnd w:id="317"/>
      <w:bookmarkEnd w:id="318"/>
      <w:bookmarkEnd w:id="319"/>
      <w:bookmarkEnd w:id="320"/>
      <w:bookmarkEnd w:id="321"/>
      <w:bookmarkEnd w:id="322"/>
      <w:bookmarkEnd w:id="323"/>
      <w:bookmarkEnd w:id="324"/>
    </w:p>
    <w:p>
      <w:pPr>
        <w:pStyle w:val="109"/>
        <w:spacing w:before="156" w:after="156"/>
        <w:ind w:left="420" w:hanging="420" w:hangingChars="200"/>
      </w:pPr>
      <w:bookmarkStart w:id="325" w:name="_Toc148539973"/>
      <w:bookmarkStart w:id="326" w:name="_Toc30794"/>
      <w:bookmarkStart w:id="327" w:name="_Toc1136422070"/>
      <w:bookmarkStart w:id="328" w:name="_Toc152936637"/>
      <w:bookmarkStart w:id="329" w:name="_Toc152335823"/>
      <w:bookmarkStart w:id="330" w:name="_Toc20005"/>
      <w:bookmarkStart w:id="331" w:name="_Toc1813463809"/>
      <w:bookmarkStart w:id="332" w:name="_Toc152941312"/>
      <w:bookmarkStart w:id="333" w:name="_Toc152936690"/>
      <w:bookmarkStart w:id="334" w:name="_Toc153283495"/>
      <w:bookmarkStart w:id="335" w:name="_Toc639251675"/>
      <w:r>
        <w:rPr>
          <w:rFonts w:hint="eastAsia"/>
        </w:rPr>
        <w:t>监督对象</w:t>
      </w:r>
      <w:bookmarkEnd w:id="325"/>
      <w:bookmarkEnd w:id="326"/>
      <w:bookmarkEnd w:id="327"/>
      <w:bookmarkEnd w:id="328"/>
      <w:bookmarkEnd w:id="329"/>
      <w:bookmarkEnd w:id="330"/>
      <w:bookmarkEnd w:id="331"/>
      <w:bookmarkEnd w:id="332"/>
      <w:bookmarkEnd w:id="333"/>
      <w:bookmarkEnd w:id="334"/>
      <w:bookmarkEnd w:id="335"/>
    </w:p>
    <w:p>
      <w:pPr>
        <w:pStyle w:val="60"/>
        <w:ind w:firstLine="420"/>
      </w:pPr>
      <w:r>
        <w:rPr>
          <w:rFonts w:hint="eastAsia"/>
        </w:rPr>
        <w:t>市破产事务管理署应</w:t>
      </w:r>
      <w:r>
        <w:t>基于投诉举报、转办交办等事项，对特定债务人进行监督调查。债务人存在下列情形之一</w:t>
      </w:r>
      <w:r>
        <w:rPr>
          <w:rFonts w:hint="eastAsia"/>
        </w:rPr>
        <w:t>时</w:t>
      </w:r>
      <w:r>
        <w:t>，</w:t>
      </w:r>
      <w:r>
        <w:rPr>
          <w:rFonts w:hint="eastAsia"/>
        </w:rPr>
        <w:t>应</w:t>
      </w:r>
      <w:r>
        <w:t>启动投诉监督：</w:t>
      </w:r>
    </w:p>
    <w:p>
      <w:pPr>
        <w:pStyle w:val="178"/>
        <w:numPr>
          <w:ilvl w:val="0"/>
          <w:numId w:val="43"/>
        </w:numPr>
      </w:pPr>
      <w:r>
        <w:t>被投诉举报；</w:t>
      </w:r>
    </w:p>
    <w:p>
      <w:pPr>
        <w:pStyle w:val="178"/>
      </w:pPr>
      <w:r>
        <w:rPr>
          <w:rFonts w:hint="eastAsia"/>
        </w:rPr>
        <w:t>其他单位</w:t>
      </w:r>
      <w:r>
        <w:t>转办</w:t>
      </w:r>
      <w:r>
        <w:rPr>
          <w:rFonts w:hint="eastAsia"/>
        </w:rPr>
        <w:t>、</w:t>
      </w:r>
      <w:r>
        <w:t>交办有关问题</w:t>
      </w:r>
      <w:r>
        <w:rPr>
          <w:rFonts w:hint="eastAsia"/>
        </w:rPr>
        <w:t>或者</w:t>
      </w:r>
      <w:r>
        <w:t>线索；</w:t>
      </w:r>
    </w:p>
    <w:p>
      <w:pPr>
        <w:pStyle w:val="178"/>
      </w:pPr>
      <w:r>
        <w:rPr>
          <w:rFonts w:hint="eastAsia"/>
        </w:rPr>
        <w:t>法律、法规或者规章规定的其他情形</w:t>
      </w:r>
      <w:r>
        <w:t>。</w:t>
      </w:r>
    </w:p>
    <w:p>
      <w:pPr>
        <w:pStyle w:val="109"/>
        <w:spacing w:before="156" w:after="156"/>
        <w:ind w:left="420" w:hanging="420" w:hangingChars="200"/>
      </w:pPr>
      <w:bookmarkStart w:id="336" w:name="_Toc2736"/>
      <w:bookmarkStart w:id="337" w:name="_Toc152335824"/>
      <w:bookmarkStart w:id="338" w:name="_Toc152941313"/>
      <w:bookmarkStart w:id="339" w:name="_Toc449119504"/>
      <w:bookmarkStart w:id="340" w:name="_Toc148539974"/>
      <w:bookmarkStart w:id="341" w:name="_Toc152936638"/>
      <w:bookmarkStart w:id="342" w:name="_Toc18792"/>
      <w:bookmarkStart w:id="343" w:name="_Toc152936691"/>
      <w:bookmarkStart w:id="344" w:name="_Toc1089752710"/>
      <w:bookmarkStart w:id="345" w:name="_Toc704338497"/>
      <w:bookmarkStart w:id="346" w:name="_Toc153283496"/>
      <w:r>
        <w:rPr>
          <w:rFonts w:hint="eastAsia"/>
        </w:rPr>
        <w:t>时限要求</w:t>
      </w:r>
      <w:bookmarkEnd w:id="336"/>
      <w:bookmarkEnd w:id="337"/>
      <w:bookmarkEnd w:id="338"/>
      <w:bookmarkEnd w:id="339"/>
      <w:bookmarkEnd w:id="340"/>
      <w:bookmarkEnd w:id="341"/>
      <w:bookmarkEnd w:id="342"/>
      <w:bookmarkEnd w:id="343"/>
      <w:bookmarkEnd w:id="344"/>
      <w:bookmarkEnd w:id="345"/>
      <w:bookmarkEnd w:id="346"/>
    </w:p>
    <w:p>
      <w:pPr>
        <w:pStyle w:val="60"/>
        <w:ind w:firstLine="420"/>
      </w:pPr>
      <w:r>
        <w:t>自</w:t>
      </w:r>
      <w:r>
        <w:rPr>
          <w:rFonts w:hint="eastAsia"/>
        </w:rPr>
        <w:t>市破产事务管理署</w:t>
      </w:r>
      <w:r>
        <w:t>发出投诉监督通知书后</w:t>
      </w:r>
      <w:r>
        <w:rPr>
          <w:rFonts w:hint="eastAsia"/>
        </w:rPr>
        <w:t>，宜在</w:t>
      </w:r>
      <w:r>
        <w:t>两个月内完成</w:t>
      </w:r>
      <w:r>
        <w:rPr>
          <w:rFonts w:hint="eastAsia"/>
        </w:rPr>
        <w:t>投诉监督工作</w:t>
      </w:r>
      <w:r>
        <w:t>。</w:t>
      </w:r>
    </w:p>
    <w:p>
      <w:pPr>
        <w:pStyle w:val="109"/>
        <w:spacing w:before="156" w:after="156"/>
        <w:ind w:left="420" w:hanging="420" w:hangingChars="200"/>
      </w:pPr>
      <w:bookmarkStart w:id="347" w:name="_Toc21519"/>
      <w:bookmarkStart w:id="348" w:name="_Toc672442910"/>
      <w:bookmarkStart w:id="349" w:name="_Toc1778158608"/>
      <w:bookmarkStart w:id="350" w:name="_Toc153283497"/>
      <w:bookmarkStart w:id="351" w:name="_Toc152936639"/>
      <w:bookmarkStart w:id="352" w:name="_Toc152941314"/>
      <w:bookmarkStart w:id="353" w:name="_Toc688676435"/>
      <w:bookmarkStart w:id="354" w:name="_Toc152936692"/>
      <w:bookmarkStart w:id="355" w:name="_Toc152335825"/>
      <w:r>
        <w:rPr>
          <w:rFonts w:hint="eastAsia"/>
        </w:rPr>
        <w:t>监督事项</w:t>
      </w:r>
      <w:bookmarkEnd w:id="347"/>
      <w:bookmarkEnd w:id="348"/>
      <w:bookmarkEnd w:id="349"/>
      <w:bookmarkEnd w:id="350"/>
      <w:bookmarkEnd w:id="351"/>
      <w:bookmarkEnd w:id="352"/>
      <w:bookmarkEnd w:id="353"/>
      <w:bookmarkEnd w:id="354"/>
      <w:bookmarkEnd w:id="355"/>
    </w:p>
    <w:p>
      <w:pPr>
        <w:pStyle w:val="60"/>
        <w:ind w:firstLine="420"/>
      </w:pPr>
      <w:r>
        <w:rPr>
          <w:rFonts w:hint="eastAsia"/>
        </w:rPr>
        <w:t>投诉</w:t>
      </w:r>
      <w:r>
        <w:t>监督的事项</w:t>
      </w:r>
      <w:r>
        <w:rPr>
          <w:rFonts w:hint="eastAsia"/>
        </w:rPr>
        <w:t>应</w:t>
      </w:r>
      <w:r>
        <w:t>包括</w:t>
      </w:r>
      <w:r>
        <w:rPr>
          <w:rFonts w:hint="eastAsia"/>
        </w:rPr>
        <w:t>但不限于：</w:t>
      </w:r>
    </w:p>
    <w:p>
      <w:pPr>
        <w:pStyle w:val="178"/>
        <w:numPr>
          <w:ilvl w:val="0"/>
          <w:numId w:val="44"/>
        </w:numPr>
      </w:pPr>
      <w:r>
        <w:rPr>
          <w:rFonts w:hint="eastAsia"/>
        </w:rPr>
        <w:t>债务人是否存在投诉举报事项；</w:t>
      </w:r>
    </w:p>
    <w:p>
      <w:pPr>
        <w:pStyle w:val="178"/>
      </w:pPr>
      <w:r>
        <w:rPr>
          <w:rFonts w:hint="eastAsia"/>
        </w:rPr>
        <w:t>债务人是否存在违反破产程序义务情况；</w:t>
      </w:r>
    </w:p>
    <w:p>
      <w:pPr>
        <w:pStyle w:val="178"/>
      </w:pPr>
      <w:r>
        <w:rPr>
          <w:rFonts w:hint="eastAsia"/>
        </w:rPr>
        <w:t>债务人是否存在破产欺诈行为；</w:t>
      </w:r>
    </w:p>
    <w:p>
      <w:pPr>
        <w:pStyle w:val="178"/>
      </w:pPr>
      <w:r>
        <w:rPr>
          <w:rFonts w:hint="eastAsia"/>
        </w:rPr>
        <w:t>市破产事务管理署认为应当监督的其他事项。</w:t>
      </w:r>
    </w:p>
    <w:p>
      <w:pPr>
        <w:pStyle w:val="109"/>
        <w:tabs>
          <w:tab w:val="left" w:pos="2428"/>
        </w:tabs>
        <w:spacing w:before="156" w:after="156"/>
        <w:ind w:left="420" w:hanging="420" w:hangingChars="200"/>
      </w:pPr>
      <w:bookmarkStart w:id="356" w:name="_Toc1245351411"/>
      <w:bookmarkStart w:id="357" w:name="_Toc153283498"/>
      <w:bookmarkStart w:id="358" w:name="_Toc152936693"/>
      <w:bookmarkStart w:id="359" w:name="_Toc152936640"/>
      <w:bookmarkStart w:id="360" w:name="_Toc256514178"/>
      <w:bookmarkStart w:id="361" w:name="_Toc8558"/>
      <w:bookmarkStart w:id="362" w:name="_Toc1441310769"/>
      <w:bookmarkStart w:id="363" w:name="_Toc152335826"/>
      <w:bookmarkStart w:id="364" w:name="_Toc152941315"/>
      <w:r>
        <w:rPr>
          <w:rFonts w:hint="eastAsia"/>
        </w:rPr>
        <w:t>监督方式</w:t>
      </w:r>
      <w:bookmarkEnd w:id="356"/>
      <w:bookmarkEnd w:id="357"/>
      <w:bookmarkEnd w:id="358"/>
      <w:bookmarkEnd w:id="359"/>
      <w:bookmarkEnd w:id="360"/>
      <w:bookmarkEnd w:id="361"/>
      <w:bookmarkEnd w:id="362"/>
      <w:bookmarkEnd w:id="363"/>
      <w:bookmarkEnd w:id="364"/>
    </w:p>
    <w:p>
      <w:pPr>
        <w:pStyle w:val="60"/>
        <w:ind w:firstLine="420"/>
      </w:pPr>
      <w:r>
        <w:rPr>
          <w:rFonts w:hint="eastAsia"/>
        </w:rPr>
        <w:t>投诉监督根据需要可以采取申报信息比对、报告事项核对、信息化查询核对、信息共享、书面询问、信函索证、组织面谈、现场走访等方式。</w:t>
      </w:r>
    </w:p>
    <w:p>
      <w:pPr>
        <w:pStyle w:val="109"/>
        <w:spacing w:before="156" w:after="156"/>
        <w:ind w:left="420" w:hanging="420" w:hangingChars="200"/>
      </w:pPr>
      <w:bookmarkStart w:id="365" w:name="_Toc151384610"/>
      <w:bookmarkEnd w:id="365"/>
      <w:bookmarkStart w:id="366" w:name="_Toc1597569930"/>
      <w:bookmarkStart w:id="367" w:name="_Toc597370420"/>
      <w:bookmarkStart w:id="368" w:name="_Toc152936641"/>
      <w:bookmarkStart w:id="369" w:name="_Toc28490"/>
      <w:bookmarkStart w:id="370" w:name="_Toc152936694"/>
      <w:bookmarkStart w:id="371" w:name="_Toc1434593561"/>
      <w:bookmarkStart w:id="372" w:name="_Toc153283499"/>
      <w:bookmarkStart w:id="373" w:name="_Toc152941316"/>
      <w:bookmarkStart w:id="374" w:name="_Toc148539975"/>
      <w:bookmarkStart w:id="375" w:name="_Toc152335827"/>
      <w:bookmarkStart w:id="376" w:name="_Toc31561"/>
      <w:r>
        <w:rPr>
          <w:rFonts w:hint="eastAsia"/>
        </w:rPr>
        <w:t>监督流程</w:t>
      </w:r>
      <w:bookmarkEnd w:id="366"/>
      <w:bookmarkEnd w:id="367"/>
      <w:bookmarkEnd w:id="368"/>
      <w:bookmarkEnd w:id="369"/>
      <w:bookmarkEnd w:id="370"/>
      <w:bookmarkEnd w:id="371"/>
      <w:bookmarkEnd w:id="372"/>
      <w:bookmarkEnd w:id="373"/>
      <w:bookmarkEnd w:id="374"/>
      <w:bookmarkEnd w:id="375"/>
      <w:bookmarkEnd w:id="376"/>
    </w:p>
    <w:p>
      <w:pPr>
        <w:pStyle w:val="169"/>
      </w:pPr>
      <w:r>
        <w:rPr>
          <w:rFonts w:hint="eastAsia"/>
        </w:rPr>
        <w:t>市破产事务管理署开展投诉监督工作应按照下列程序进行：</w:t>
      </w:r>
    </w:p>
    <w:p>
      <w:pPr>
        <w:pStyle w:val="178"/>
        <w:numPr>
          <w:ilvl w:val="0"/>
          <w:numId w:val="45"/>
        </w:numPr>
      </w:pPr>
      <w:r>
        <w:rPr>
          <w:rFonts w:hint="eastAsia"/>
        </w:rPr>
        <w:t>经市破产事务管理署主要负责人批准启动投诉监督工作；</w:t>
      </w:r>
    </w:p>
    <w:p>
      <w:pPr>
        <w:pStyle w:val="178"/>
      </w:pPr>
      <w:r>
        <w:rPr>
          <w:rFonts w:hint="eastAsia"/>
        </w:rPr>
        <w:t>向债务人发出投诉监督通知书，并抄送对应的管理人；</w:t>
      </w:r>
    </w:p>
    <w:p>
      <w:pPr>
        <w:pStyle w:val="178"/>
      </w:pPr>
      <w:r>
        <w:rPr>
          <w:rFonts w:hint="eastAsia"/>
        </w:rPr>
        <w:t>组织调查核实并收集必要的证据；</w:t>
      </w:r>
    </w:p>
    <w:p>
      <w:pPr>
        <w:pStyle w:val="178"/>
      </w:pPr>
      <w:r>
        <w:rPr>
          <w:rFonts w:hint="eastAsia"/>
        </w:rPr>
        <w:t>根据有关调查核实情况形成监督处置意见，组织开展有关事先告知、听取债务人意见及异议复核处理等工作；</w:t>
      </w:r>
    </w:p>
    <w:p>
      <w:pPr>
        <w:pStyle w:val="178"/>
      </w:pPr>
      <w:r>
        <w:rPr>
          <w:rFonts w:hint="eastAsia"/>
        </w:rPr>
        <w:t>形成投诉监督结果通知书，反馈债务人并抄送人民法院、对应的管理人；</w:t>
      </w:r>
    </w:p>
    <w:p>
      <w:pPr>
        <w:pStyle w:val="178"/>
      </w:pPr>
      <w:r>
        <w:rPr>
          <w:rFonts w:hint="eastAsia"/>
        </w:rPr>
        <w:t>将监督情况更新至债务人监督名录库；</w:t>
      </w:r>
    </w:p>
    <w:p>
      <w:pPr>
        <w:pStyle w:val="178"/>
      </w:pPr>
      <w:r>
        <w:rPr>
          <w:rFonts w:hint="eastAsia"/>
        </w:rPr>
        <w:t>汇整债务人监督信息，依据数据分析结果进行研判，优化投诉监督工作。</w:t>
      </w:r>
    </w:p>
    <w:p>
      <w:pPr>
        <w:pStyle w:val="69"/>
        <w:spacing w:beforeLines="0" w:afterLines="0"/>
        <w:outlineLvl w:val="9"/>
        <w:rPr>
          <w:rFonts w:ascii="宋体" w:eastAsia="宋体"/>
        </w:rPr>
      </w:pPr>
      <w:r>
        <w:rPr>
          <w:rFonts w:hint="eastAsia" w:ascii="宋体" w:eastAsia="宋体"/>
        </w:rPr>
        <w:t>个人破产债务人投诉监督程序见图4。</w:t>
      </w:r>
    </w:p>
    <w:p>
      <w:pPr>
        <w:pStyle w:val="60"/>
        <w:ind w:firstLine="0" w:firstLineChars="0"/>
        <w:jc w:val="center"/>
      </w:pPr>
      <w:r>
        <w:drawing>
          <wp:inline distT="0" distB="0" distL="0" distR="0">
            <wp:extent cx="5939790" cy="7002145"/>
            <wp:effectExtent l="0" t="0" r="0" b="0"/>
            <wp:docPr id="26792962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7929624" name="图片 3"/>
                    <pic:cNvPicPr>
                      <a:picLocks noChangeAspect="true" noChangeArrowheads="true"/>
                    </pic:cNvPicPr>
                  </pic:nvPicPr>
                  <pic:blipFill>
                    <a:blip r:embed="rId22" cstate="print">
                      <a:extLst>
                        <a:ext uri="{28A0092B-C50C-407E-A947-70E740481C1C}">
                          <a14:useLocalDpi xmlns:a14="http://schemas.microsoft.com/office/drawing/2010/main" val="false"/>
                        </a:ext>
                      </a:extLst>
                    </a:blip>
                    <a:srcRect/>
                    <a:stretch>
                      <a:fillRect/>
                    </a:stretch>
                  </pic:blipFill>
                  <pic:spPr>
                    <a:xfrm>
                      <a:off x="0" y="0"/>
                      <a:ext cx="5939790" cy="7002145"/>
                    </a:xfrm>
                    <a:prstGeom prst="rect">
                      <a:avLst/>
                    </a:prstGeom>
                    <a:noFill/>
                    <a:ln>
                      <a:noFill/>
                    </a:ln>
                  </pic:spPr>
                </pic:pic>
              </a:graphicData>
            </a:graphic>
          </wp:inline>
        </w:drawing>
      </w:r>
    </w:p>
    <w:p>
      <w:pPr>
        <w:pStyle w:val="118"/>
        <w:spacing w:beforeLines="0" w:after="156"/>
        <w:rPr>
          <w:rFonts w:hint="eastAsia"/>
        </w:rPr>
      </w:pPr>
      <w:r>
        <w:rPr>
          <w:rFonts w:hint="eastAsia"/>
        </w:rPr>
        <w:t>个人破产债务人投诉监督程序</w:t>
      </w:r>
    </w:p>
    <w:p>
      <w:pPr>
        <w:pStyle w:val="109"/>
        <w:spacing w:before="156" w:after="156"/>
        <w:ind w:left="420" w:hanging="420" w:hangingChars="200"/>
      </w:pPr>
      <w:bookmarkStart w:id="377" w:name="_Toc152335828"/>
      <w:bookmarkStart w:id="378" w:name="_Toc2045099260"/>
      <w:bookmarkStart w:id="379" w:name="_Toc152936642"/>
      <w:bookmarkStart w:id="380" w:name="_Toc307425857"/>
      <w:bookmarkStart w:id="381" w:name="_Toc730495261"/>
      <w:bookmarkStart w:id="382" w:name="_Toc152941317"/>
      <w:bookmarkStart w:id="383" w:name="_Toc153283500"/>
      <w:bookmarkStart w:id="384" w:name="_Toc152936695"/>
      <w:bookmarkStart w:id="385" w:name="_Toc11388"/>
      <w:r>
        <w:rPr>
          <w:rFonts w:hint="eastAsia"/>
        </w:rPr>
        <w:t>工作人员要求</w:t>
      </w:r>
      <w:bookmarkEnd w:id="377"/>
      <w:bookmarkEnd w:id="378"/>
      <w:bookmarkEnd w:id="379"/>
      <w:bookmarkEnd w:id="380"/>
      <w:bookmarkEnd w:id="381"/>
      <w:bookmarkEnd w:id="382"/>
      <w:bookmarkEnd w:id="383"/>
      <w:bookmarkEnd w:id="384"/>
      <w:bookmarkEnd w:id="385"/>
    </w:p>
    <w:p>
      <w:pPr>
        <w:pStyle w:val="60"/>
        <w:ind w:firstLine="420"/>
      </w:pPr>
      <w:r>
        <w:rPr>
          <w:rFonts w:hint="eastAsia"/>
        </w:rPr>
        <w:t>工作人员应</w:t>
      </w:r>
      <w:r>
        <w:t>满足</w:t>
      </w:r>
      <w:r>
        <w:rPr>
          <w:rFonts w:hint="eastAsia"/>
        </w:rPr>
        <w:t>以下要求：</w:t>
      </w:r>
    </w:p>
    <w:p>
      <w:pPr>
        <w:pStyle w:val="178"/>
        <w:numPr>
          <w:ilvl w:val="0"/>
          <w:numId w:val="46"/>
        </w:numPr>
      </w:pPr>
      <w:r>
        <w:rPr>
          <w:rFonts w:hint="eastAsia"/>
        </w:rPr>
        <w:t>严格遵守投诉监督工作规范和程序，及时告知债务人、相关案件的管理人有关投诉监督工作的安排；</w:t>
      </w:r>
    </w:p>
    <w:p>
      <w:pPr>
        <w:pStyle w:val="178"/>
      </w:pPr>
      <w:r>
        <w:rPr>
          <w:rFonts w:hint="eastAsia"/>
        </w:rPr>
        <w:t>具备相关法律知识和破产事务管理经验，可准确分析和处理投诉监督过程中的相关问题；</w:t>
      </w:r>
    </w:p>
    <w:p>
      <w:pPr>
        <w:pStyle w:val="178"/>
      </w:pPr>
      <w:r>
        <w:rPr>
          <w:rFonts w:hint="eastAsia"/>
        </w:rPr>
        <w:t>组织调查核实、收集证据时，应指派两名以上（含两名）工作人员参加并出示工作证件；</w:t>
      </w:r>
    </w:p>
    <w:p>
      <w:pPr>
        <w:pStyle w:val="178"/>
      </w:pPr>
      <w:r>
        <w:rPr>
          <w:rFonts w:hint="eastAsia"/>
        </w:rPr>
        <w:t>全面收集与案件有关的证据材料，如实记录投诉监督工作中发现的实际情况，可根据监督工作需要，采取拍照、录音、录像等方式记录调查情况；</w:t>
      </w:r>
    </w:p>
    <w:p>
      <w:pPr>
        <w:pStyle w:val="178"/>
      </w:pPr>
      <w:r>
        <w:rPr>
          <w:rFonts w:hint="eastAsia"/>
        </w:rPr>
        <w:t>对证据的真实性、合法性和关联性进行审查和判断，合理给出监督处置意见，更新、储存、管理债务人监督名录库；</w:t>
      </w:r>
    </w:p>
    <w:p>
      <w:pPr>
        <w:pStyle w:val="178"/>
      </w:pPr>
      <w:r>
        <w:rPr>
          <w:rFonts w:hint="eastAsia"/>
        </w:rPr>
        <w:t>工作人员不</w:t>
      </w:r>
      <w:r>
        <w:t>应</w:t>
      </w:r>
      <w:r>
        <w:rPr>
          <w:rFonts w:hint="eastAsia"/>
        </w:rPr>
        <w:t>实施的行为及回避情况见6.6.2和6.6.3。</w:t>
      </w:r>
    </w:p>
    <w:p>
      <w:pPr>
        <w:pStyle w:val="108"/>
        <w:spacing w:before="312" w:after="312"/>
      </w:pPr>
      <w:bookmarkStart w:id="386" w:name="_Toc152335829"/>
      <w:bookmarkStart w:id="387" w:name="_Toc152936696"/>
      <w:bookmarkStart w:id="388" w:name="_Toc3721"/>
      <w:bookmarkStart w:id="389" w:name="_Toc152941318"/>
      <w:bookmarkStart w:id="390" w:name="_Toc2089061708"/>
      <w:bookmarkStart w:id="391" w:name="_Toc10045"/>
      <w:bookmarkStart w:id="392" w:name="_Toc1902368818"/>
      <w:bookmarkStart w:id="393" w:name="_Toc153283501"/>
      <w:bookmarkStart w:id="394" w:name="_Toc9271"/>
      <w:bookmarkStart w:id="395" w:name="_Toc772452442"/>
      <w:bookmarkStart w:id="396" w:name="_Toc148539977"/>
      <w:bookmarkStart w:id="397" w:name="_Toc152936643"/>
      <w:r>
        <w:rPr>
          <w:rFonts w:hint="eastAsia"/>
        </w:rPr>
        <w:t>监督处置</w:t>
      </w:r>
      <w:bookmarkEnd w:id="386"/>
      <w:bookmarkEnd w:id="387"/>
      <w:bookmarkEnd w:id="388"/>
      <w:bookmarkEnd w:id="389"/>
      <w:bookmarkEnd w:id="390"/>
      <w:bookmarkEnd w:id="391"/>
      <w:bookmarkEnd w:id="392"/>
      <w:bookmarkEnd w:id="393"/>
      <w:bookmarkEnd w:id="394"/>
      <w:bookmarkEnd w:id="395"/>
      <w:bookmarkEnd w:id="396"/>
      <w:bookmarkEnd w:id="397"/>
    </w:p>
    <w:p>
      <w:pPr>
        <w:pStyle w:val="109"/>
        <w:spacing w:before="156" w:after="156"/>
        <w:ind w:left="420" w:hanging="420" w:hangingChars="200"/>
      </w:pPr>
      <w:bookmarkStart w:id="398" w:name="_Toc148539978"/>
      <w:bookmarkStart w:id="399" w:name="_Toc152936644"/>
      <w:bookmarkStart w:id="400" w:name="_Toc152335830"/>
      <w:bookmarkStart w:id="401" w:name="_Toc153283502"/>
      <w:bookmarkStart w:id="402" w:name="_Toc858603188"/>
      <w:bookmarkStart w:id="403" w:name="_Toc152941319"/>
      <w:bookmarkStart w:id="404" w:name="_Toc12708"/>
      <w:bookmarkStart w:id="405" w:name="_Toc1804916293"/>
      <w:bookmarkStart w:id="406" w:name="_Toc1001007291"/>
      <w:bookmarkStart w:id="407" w:name="_Toc152936697"/>
      <w:bookmarkStart w:id="408" w:name="_Toc19921"/>
      <w:r>
        <w:rPr>
          <w:rFonts w:hint="eastAsia"/>
        </w:rPr>
        <w:t>发出提醒函</w:t>
      </w:r>
      <w:bookmarkEnd w:id="398"/>
      <w:bookmarkEnd w:id="399"/>
      <w:bookmarkEnd w:id="400"/>
      <w:bookmarkEnd w:id="401"/>
      <w:bookmarkEnd w:id="402"/>
      <w:bookmarkEnd w:id="403"/>
      <w:bookmarkEnd w:id="404"/>
      <w:bookmarkEnd w:id="405"/>
      <w:bookmarkEnd w:id="406"/>
      <w:bookmarkEnd w:id="407"/>
      <w:bookmarkEnd w:id="408"/>
    </w:p>
    <w:p>
      <w:pPr>
        <w:snapToGrid w:val="0"/>
        <w:spacing w:line="240" w:lineRule="auto"/>
        <w:ind w:firstLine="420" w:firstLineChars="200"/>
        <w:rPr>
          <w:rFonts w:ascii="宋体" w:hAnsi="Times New Roman"/>
          <w:kern w:val="0"/>
          <w:szCs w:val="20"/>
        </w:rPr>
      </w:pPr>
      <w:r>
        <w:rPr>
          <w:rFonts w:hint="eastAsia" w:ascii="宋体" w:hAnsi="Times New Roman"/>
          <w:kern w:val="0"/>
          <w:szCs w:val="20"/>
        </w:rPr>
        <w:t>市破产事务管理署在债务人监督工作中发现债务人有以下情形之一时，应向债务人发出《提醒函》，并抄送对应的管理人：</w:t>
      </w:r>
    </w:p>
    <w:p>
      <w:pPr>
        <w:pStyle w:val="178"/>
        <w:numPr>
          <w:ilvl w:val="0"/>
          <w:numId w:val="47"/>
        </w:numPr>
      </w:pPr>
      <w:r>
        <w:rPr>
          <w:rFonts w:hint="eastAsia"/>
        </w:rPr>
        <w:t>债务人无正当理由不按时申报个人破产信息或者个人破产重大事项；</w:t>
      </w:r>
    </w:p>
    <w:p>
      <w:pPr>
        <w:pStyle w:val="178"/>
      </w:pPr>
      <w:r>
        <w:rPr>
          <w:rFonts w:hint="eastAsia"/>
        </w:rPr>
        <w:t>债务人申报的个人破产信息或者个人破产重大事项存在漏报、少报、不一致等情形；</w:t>
      </w:r>
    </w:p>
    <w:p>
      <w:pPr>
        <w:pStyle w:val="178"/>
      </w:pPr>
      <w:r>
        <w:rPr>
          <w:rFonts w:hint="eastAsia"/>
        </w:rPr>
        <w:t>债务人申报的个人破产信息或者个人破产重大事项被管理人作出两次以上（含两次）不予审核通过的意见；</w:t>
      </w:r>
    </w:p>
    <w:p>
      <w:pPr>
        <w:pStyle w:val="178"/>
      </w:pPr>
      <w:r>
        <w:rPr>
          <w:rFonts w:hint="eastAsia"/>
        </w:rPr>
        <w:t>债务人无正当理由不按照规定就个人基本信息发生变动的情况进行报告；</w:t>
      </w:r>
    </w:p>
    <w:p>
      <w:pPr>
        <w:pStyle w:val="178"/>
      </w:pPr>
      <w:r>
        <w:rPr>
          <w:rFonts w:hint="eastAsia"/>
        </w:rPr>
        <w:t>债务人离开居住地或者出境，已经按照规定履行审核批准手续但未按照规定进行报告；</w:t>
      </w:r>
    </w:p>
    <w:p>
      <w:pPr>
        <w:pStyle w:val="178"/>
      </w:pPr>
      <w:r>
        <w:rPr>
          <w:rFonts w:hint="eastAsia"/>
        </w:rPr>
        <w:t>债务人无正当理由超过两期或者半年未能足额执行重整计划或者和解协议；</w:t>
      </w:r>
    </w:p>
    <w:p>
      <w:pPr>
        <w:pStyle w:val="178"/>
      </w:pPr>
      <w:r>
        <w:rPr>
          <w:rFonts w:hint="eastAsia"/>
        </w:rPr>
        <w:t>市破产事务管理署认为应提醒的其他情形。</w:t>
      </w:r>
    </w:p>
    <w:p>
      <w:pPr>
        <w:pStyle w:val="109"/>
        <w:spacing w:before="156" w:after="156"/>
        <w:ind w:left="420" w:hanging="420" w:hangingChars="200"/>
      </w:pPr>
      <w:bookmarkStart w:id="409" w:name="_Toc11774"/>
      <w:bookmarkStart w:id="410" w:name="_Toc308205005"/>
      <w:bookmarkStart w:id="411" w:name="_Toc580902085"/>
      <w:bookmarkStart w:id="412" w:name="_Toc152936698"/>
      <w:bookmarkStart w:id="413" w:name="_Toc152936645"/>
      <w:bookmarkStart w:id="414" w:name="_Toc148539979"/>
      <w:bookmarkStart w:id="415" w:name="_Toc55517023"/>
      <w:bookmarkStart w:id="416" w:name="_Toc153283503"/>
      <w:bookmarkStart w:id="417" w:name="_Toc625"/>
      <w:bookmarkStart w:id="418" w:name="_Toc152335831"/>
      <w:bookmarkStart w:id="419" w:name="_Toc152941320"/>
      <w:r>
        <w:rPr>
          <w:rFonts w:hint="eastAsia"/>
        </w:rPr>
        <w:t>发出警示函</w:t>
      </w:r>
      <w:bookmarkEnd w:id="409"/>
      <w:bookmarkEnd w:id="410"/>
      <w:bookmarkEnd w:id="411"/>
      <w:bookmarkEnd w:id="412"/>
      <w:bookmarkEnd w:id="413"/>
      <w:bookmarkEnd w:id="414"/>
      <w:bookmarkEnd w:id="415"/>
      <w:bookmarkEnd w:id="416"/>
      <w:bookmarkEnd w:id="417"/>
      <w:bookmarkEnd w:id="418"/>
      <w:bookmarkEnd w:id="419"/>
    </w:p>
    <w:p>
      <w:pPr>
        <w:pStyle w:val="60"/>
        <w:ind w:firstLine="420"/>
      </w:pPr>
      <w:r>
        <w:rPr>
          <w:rFonts w:hint="eastAsia"/>
        </w:rPr>
        <w:t>市破产事务管理署在债务人监督工作中发现债务人有下列情形之一时，应向债务人发出《警示函》、约谈相应管理人，并将有关调查情况及证明材料报送人民法院：</w:t>
      </w:r>
    </w:p>
    <w:p>
      <w:pPr>
        <w:pStyle w:val="178"/>
        <w:numPr>
          <w:ilvl w:val="0"/>
          <w:numId w:val="48"/>
        </w:numPr>
      </w:pPr>
      <w:r>
        <w:rPr>
          <w:rFonts w:hint="eastAsia"/>
        </w:rPr>
        <w:t>债务人未按照《提醒函》要求改正；</w:t>
      </w:r>
    </w:p>
    <w:p>
      <w:pPr>
        <w:pStyle w:val="178"/>
      </w:pPr>
      <w:r>
        <w:rPr>
          <w:rFonts w:hint="eastAsia"/>
        </w:rPr>
        <w:t>债务人未经人民法院同意出境，或者债务人的出入境时间地点与人民法院同意的事项不符合；</w:t>
      </w:r>
    </w:p>
    <w:p>
      <w:pPr>
        <w:pStyle w:val="178"/>
      </w:pPr>
      <w:r>
        <w:rPr>
          <w:rFonts w:hint="eastAsia"/>
        </w:rPr>
        <w:t>清算债务人在考察期内担任有关董事、监事和高级管理人员职务，或者违反《限制消费行为决定书》的规定；</w:t>
      </w:r>
    </w:p>
    <w:p>
      <w:pPr>
        <w:pStyle w:val="178"/>
      </w:pPr>
      <w:r>
        <w:rPr>
          <w:rFonts w:hint="eastAsia"/>
        </w:rPr>
        <w:t>债务人拒不配合或者故意妨碍监督工作开展；</w:t>
      </w:r>
    </w:p>
    <w:p>
      <w:pPr>
        <w:pStyle w:val="178"/>
      </w:pPr>
      <w:r>
        <w:rPr>
          <w:rFonts w:hint="eastAsia"/>
        </w:rPr>
        <w:t>债务人提供虚假材料，隐瞒有关事实；</w:t>
      </w:r>
    </w:p>
    <w:p>
      <w:pPr>
        <w:pStyle w:val="178"/>
      </w:pPr>
      <w:r>
        <w:rPr>
          <w:rFonts w:hint="eastAsia"/>
        </w:rPr>
        <w:t>债务人存在破产欺诈及其他不诚信行为；</w:t>
      </w:r>
    </w:p>
    <w:p>
      <w:pPr>
        <w:pStyle w:val="178"/>
      </w:pPr>
      <w:r>
        <w:rPr>
          <w:rFonts w:hint="eastAsia"/>
        </w:rPr>
        <w:t>市破产事务管理署认为应警示的其他情形。</w:t>
      </w:r>
    </w:p>
    <w:p>
      <w:pPr>
        <w:pStyle w:val="109"/>
        <w:spacing w:before="156" w:after="156"/>
        <w:ind w:left="420" w:hanging="420" w:hangingChars="200"/>
      </w:pPr>
      <w:bookmarkStart w:id="420" w:name="_Toc152936699"/>
      <w:bookmarkStart w:id="421" w:name="_Toc597142785"/>
      <w:bookmarkStart w:id="422" w:name="_Toc148539980"/>
      <w:bookmarkStart w:id="423" w:name="_Toc219455580"/>
      <w:bookmarkStart w:id="424" w:name="_Toc153283504"/>
      <w:bookmarkStart w:id="425" w:name="_Toc208244909"/>
      <w:bookmarkStart w:id="426" w:name="_Toc152941321"/>
      <w:bookmarkStart w:id="427" w:name="_Toc152335832"/>
      <w:bookmarkStart w:id="428" w:name="_Toc928"/>
      <w:bookmarkStart w:id="429" w:name="_Toc18811"/>
      <w:bookmarkStart w:id="430" w:name="_Toc152936646"/>
      <w:r>
        <w:rPr>
          <w:rFonts w:hint="eastAsia"/>
        </w:rPr>
        <w:t>违法犯罪问题</w:t>
      </w:r>
      <w:bookmarkEnd w:id="420"/>
      <w:bookmarkEnd w:id="421"/>
      <w:bookmarkEnd w:id="422"/>
      <w:bookmarkEnd w:id="423"/>
      <w:bookmarkEnd w:id="424"/>
      <w:bookmarkEnd w:id="425"/>
      <w:bookmarkEnd w:id="426"/>
      <w:bookmarkEnd w:id="427"/>
      <w:bookmarkEnd w:id="428"/>
      <w:bookmarkEnd w:id="429"/>
      <w:bookmarkEnd w:id="430"/>
    </w:p>
    <w:p>
      <w:pPr>
        <w:pStyle w:val="169"/>
        <w:numPr>
          <w:ilvl w:val="3"/>
          <w:numId w:val="0"/>
        </w:numPr>
        <w:ind w:firstLine="420" w:firstLineChars="200"/>
      </w:pPr>
      <w:bookmarkStart w:id="431" w:name="_Toc6670"/>
      <w:bookmarkStart w:id="432" w:name="_Toc148539981"/>
      <w:r>
        <w:rPr>
          <w:rFonts w:hint="eastAsia"/>
        </w:rPr>
        <w:t>市破产事务管理署在债务人监督工作中，发现违法犯罪问题线索时，应收集相关证据，并在管理系统中进行登记，录入有关问题线索内容，将违法犯罪问题线索及时共享给人民法院及公安机关。</w:t>
      </w:r>
      <w:bookmarkEnd w:id="431"/>
      <w:bookmarkEnd w:id="432"/>
    </w:p>
    <w:p>
      <w:pPr>
        <w:pStyle w:val="108"/>
        <w:spacing w:before="312" w:after="312"/>
      </w:pPr>
      <w:bookmarkStart w:id="433" w:name="_Toc152936700"/>
      <w:bookmarkStart w:id="434" w:name="_Toc28574"/>
      <w:bookmarkStart w:id="435" w:name="_Toc377624940"/>
      <w:bookmarkStart w:id="436" w:name="_Toc148539982"/>
      <w:bookmarkStart w:id="437" w:name="_Toc153283505"/>
      <w:bookmarkStart w:id="438" w:name="_Toc31218"/>
      <w:bookmarkStart w:id="439" w:name="_Toc1619660063"/>
      <w:bookmarkStart w:id="440" w:name="_Toc152335833"/>
      <w:bookmarkStart w:id="441" w:name="_Toc152936647"/>
      <w:bookmarkStart w:id="442" w:name="_Toc152941322"/>
      <w:bookmarkStart w:id="443" w:name="_Toc17655"/>
      <w:bookmarkStart w:id="444" w:name="_Toc1489165981"/>
      <w:r>
        <w:rPr>
          <w:rFonts w:hint="eastAsia"/>
        </w:rPr>
        <w:t>监督情况反馈</w:t>
      </w:r>
      <w:bookmarkEnd w:id="433"/>
      <w:bookmarkEnd w:id="434"/>
      <w:bookmarkEnd w:id="435"/>
      <w:bookmarkEnd w:id="436"/>
      <w:bookmarkEnd w:id="437"/>
      <w:bookmarkEnd w:id="438"/>
      <w:bookmarkEnd w:id="439"/>
      <w:bookmarkEnd w:id="440"/>
      <w:bookmarkEnd w:id="441"/>
      <w:bookmarkEnd w:id="442"/>
      <w:bookmarkEnd w:id="443"/>
      <w:bookmarkEnd w:id="444"/>
    </w:p>
    <w:p>
      <w:pPr>
        <w:pStyle w:val="166"/>
        <w:ind w:left="0"/>
      </w:pPr>
      <w:r>
        <w:rPr>
          <w:rFonts w:hint="eastAsia"/>
        </w:rPr>
        <w:t>市破产事务管理署应设立债务人监督情况反馈渠道，人民法院裁定免除债务人未清偿债务前，人民法院或者管理人可以以书面方式征询市破产事务管理署的意见。</w:t>
      </w:r>
    </w:p>
    <w:p>
      <w:pPr>
        <w:pStyle w:val="166"/>
        <w:ind w:left="0"/>
      </w:pPr>
      <w:r>
        <w:rPr>
          <w:rFonts w:hint="eastAsia"/>
        </w:rPr>
        <w:t>市破产事务管理署应对债务人履行破产程序义务及有关监督情况进行客观总结，并以书面方式反馈给人民法院及对应管理人。</w:t>
      </w:r>
    </w:p>
    <w:p>
      <w:pPr>
        <w:pStyle w:val="108"/>
        <w:spacing w:before="312" w:after="312"/>
      </w:pPr>
      <w:bookmarkStart w:id="445" w:name="_Toc152941323"/>
      <w:bookmarkStart w:id="446" w:name="_Toc15909"/>
      <w:bookmarkStart w:id="447" w:name="_Toc152936648"/>
      <w:bookmarkStart w:id="448" w:name="_Toc153283506"/>
      <w:bookmarkStart w:id="449" w:name="_Toc1364642056"/>
      <w:bookmarkStart w:id="450" w:name="_Toc152936701"/>
      <w:bookmarkStart w:id="451" w:name="_Toc1213158966"/>
      <w:bookmarkStart w:id="452" w:name="_Toc1159625365"/>
      <w:bookmarkStart w:id="453" w:name="_Toc152335834"/>
      <w:r>
        <w:rPr>
          <w:rFonts w:hint="eastAsia"/>
        </w:rPr>
        <w:t>信息共享与信息公开</w:t>
      </w:r>
      <w:bookmarkEnd w:id="445"/>
      <w:bookmarkEnd w:id="446"/>
      <w:bookmarkEnd w:id="447"/>
      <w:bookmarkEnd w:id="448"/>
      <w:bookmarkEnd w:id="449"/>
      <w:bookmarkEnd w:id="450"/>
      <w:bookmarkEnd w:id="451"/>
      <w:bookmarkEnd w:id="452"/>
      <w:bookmarkEnd w:id="453"/>
    </w:p>
    <w:p>
      <w:pPr>
        <w:pStyle w:val="166"/>
        <w:ind w:left="0"/>
      </w:pPr>
      <w:r>
        <w:rPr>
          <w:rFonts w:hint="eastAsia"/>
        </w:rPr>
        <w:t>市破产事务管理署应按照Q/BAAS 00</w:t>
      </w:r>
      <w:r>
        <w:t>7</w:t>
      </w:r>
      <w:r>
        <w:rPr>
          <w:rFonts w:hint="eastAsia"/>
        </w:rPr>
        <w:t>的规定共享与其他各部门之间的相关信息。</w:t>
      </w:r>
    </w:p>
    <w:p>
      <w:pPr>
        <w:pStyle w:val="166"/>
        <w:ind w:left="0"/>
      </w:pPr>
      <w:r>
        <w:rPr>
          <w:rFonts w:hint="eastAsia"/>
        </w:rPr>
        <w:t>市破产事务管理署应按照Q/BAAS 003的规定及时公开个人破产申请、限制或者解除限制消费行为相关决定、财产申报、债权申报、重整计划、和解协议、免责考察、投诉举报渠道等信息。</w:t>
      </w:r>
    </w:p>
    <w:p>
      <w:pPr>
        <w:pStyle w:val="108"/>
        <w:spacing w:before="312" w:after="312"/>
      </w:pPr>
      <w:bookmarkStart w:id="454" w:name="_Toc152936649"/>
      <w:bookmarkStart w:id="455" w:name="_Toc152941324"/>
      <w:bookmarkStart w:id="456" w:name="_Toc20346"/>
      <w:bookmarkStart w:id="457" w:name="_Toc152335835"/>
      <w:bookmarkStart w:id="458" w:name="_Toc152936702"/>
      <w:bookmarkStart w:id="459" w:name="_Toc153283507"/>
      <w:bookmarkStart w:id="460" w:name="_Toc1277771156"/>
      <w:bookmarkStart w:id="461" w:name="_Toc1618131130"/>
      <w:bookmarkStart w:id="462" w:name="_Toc409400575"/>
      <w:r>
        <w:rPr>
          <w:rFonts w:hint="eastAsia"/>
        </w:rPr>
        <w:t>投诉</w:t>
      </w:r>
      <w:bookmarkEnd w:id="454"/>
      <w:bookmarkEnd w:id="455"/>
      <w:bookmarkEnd w:id="456"/>
      <w:bookmarkEnd w:id="457"/>
      <w:bookmarkEnd w:id="458"/>
      <w:bookmarkEnd w:id="459"/>
      <w:bookmarkEnd w:id="460"/>
      <w:bookmarkEnd w:id="461"/>
      <w:bookmarkEnd w:id="462"/>
    </w:p>
    <w:p>
      <w:pPr>
        <w:pStyle w:val="166"/>
        <w:ind w:left="0"/>
      </w:pPr>
      <w:r>
        <w:rPr>
          <w:rFonts w:hint="eastAsia"/>
        </w:rPr>
        <w:t>市破产事务管理署宜建立并畅通投诉渠道。任何组织、个人发现债务人存在违反破产程序义务、破产欺诈或者相关违法行为，可以通过电话、电子邮件或者书面方式向市破产事务管理署投诉举报。</w:t>
      </w:r>
    </w:p>
    <w:p>
      <w:pPr>
        <w:pStyle w:val="166"/>
        <w:ind w:left="0"/>
      </w:pPr>
      <w:r>
        <w:rPr>
          <w:rFonts w:hint="eastAsia"/>
        </w:rPr>
        <w:t>市破产事务管理署宜指定专人负责处理投诉、举报事宜，及时调查、核实并根据情况采取相应的处理措施。</w:t>
      </w:r>
    </w:p>
    <w:p>
      <w:pPr>
        <w:pStyle w:val="166"/>
        <w:ind w:left="0"/>
      </w:pPr>
      <w:r>
        <w:rPr>
          <w:rFonts w:hint="eastAsia"/>
        </w:rPr>
        <w:t>市破产事务管理署应向投诉、举报人及时反馈处理结果，或者通过公开渠道发布公告向公众公开处理结果。</w:t>
      </w:r>
    </w:p>
    <w:p>
      <w:pPr>
        <w:pStyle w:val="166"/>
        <w:ind w:left="0"/>
      </w:pPr>
      <w:r>
        <w:rPr>
          <w:rFonts w:hint="eastAsia"/>
        </w:rPr>
        <w:t>市破产事务管理署应采取严格的保密措施，妥善保护投诉人、举报人的个人信息。</w:t>
      </w:r>
    </w:p>
    <w:p>
      <w:pPr>
        <w:pStyle w:val="108"/>
        <w:spacing w:before="312" w:after="312"/>
      </w:pPr>
      <w:bookmarkStart w:id="463" w:name="_Toc152936650"/>
      <w:bookmarkStart w:id="464" w:name="_Toc152936703"/>
      <w:bookmarkStart w:id="465" w:name="_Toc18287"/>
      <w:bookmarkStart w:id="466" w:name="_Toc152941325"/>
      <w:bookmarkStart w:id="467" w:name="_Toc1750690349"/>
      <w:bookmarkStart w:id="468" w:name="_Toc16412"/>
      <w:bookmarkStart w:id="469" w:name="_Toc153283508"/>
      <w:bookmarkStart w:id="470" w:name="_Toc148539983"/>
      <w:bookmarkStart w:id="471" w:name="_Toc23901"/>
      <w:bookmarkStart w:id="472" w:name="_Toc39392034"/>
      <w:bookmarkStart w:id="473" w:name="_Toc152335836"/>
      <w:bookmarkStart w:id="474" w:name="_Toc510393283"/>
      <w:r>
        <w:rPr>
          <w:rFonts w:hint="eastAsia"/>
        </w:rPr>
        <w:t>档案管理</w:t>
      </w:r>
      <w:bookmarkEnd w:id="463"/>
      <w:bookmarkEnd w:id="464"/>
      <w:bookmarkEnd w:id="465"/>
      <w:bookmarkEnd w:id="466"/>
      <w:bookmarkEnd w:id="467"/>
      <w:bookmarkEnd w:id="468"/>
      <w:bookmarkEnd w:id="469"/>
      <w:bookmarkEnd w:id="470"/>
      <w:bookmarkEnd w:id="471"/>
      <w:bookmarkEnd w:id="472"/>
      <w:bookmarkEnd w:id="473"/>
      <w:bookmarkEnd w:id="474"/>
    </w:p>
    <w:p>
      <w:pPr>
        <w:pStyle w:val="166"/>
        <w:adjustRightInd w:val="0"/>
        <w:snapToGrid w:val="0"/>
        <w:ind w:left="0"/>
      </w:pPr>
      <w:r>
        <w:rPr>
          <w:rFonts w:hint="eastAsia"/>
        </w:rPr>
        <w:t>市破产事务管理署宜按照Q/BAAS 00</w:t>
      </w:r>
      <w:r>
        <w:t>8</w:t>
      </w:r>
      <w:r>
        <w:rPr>
          <w:rFonts w:hint="eastAsia"/>
        </w:rPr>
        <w:t>规定对档案进行分类编码，相关档案应立卷归档保存。</w:t>
      </w:r>
    </w:p>
    <w:p>
      <w:pPr>
        <w:pStyle w:val="166"/>
        <w:adjustRightInd w:val="0"/>
        <w:snapToGrid w:val="0"/>
        <w:ind w:left="0"/>
      </w:pPr>
      <w:r>
        <w:rPr>
          <w:rFonts w:hint="eastAsia"/>
        </w:rPr>
        <w:t>市破产事务管理署建设智慧档案管理系统后，应在系统中对债务人监督相关工作中产生的各种重要资料进行动态更新维护。</w:t>
      </w:r>
    </w:p>
    <w:p>
      <w:pPr>
        <w:pStyle w:val="202"/>
      </w:pPr>
      <w:r>
        <w:br w:type="page"/>
      </w:r>
      <w:bookmarkEnd w:id="32"/>
      <w:bookmarkStart w:id="475" w:name="BookMark5"/>
    </w:p>
    <w:p>
      <w:pPr>
        <w:pStyle w:val="203"/>
      </w:pPr>
    </w:p>
    <w:p>
      <w:pPr>
        <w:pStyle w:val="80"/>
        <w:spacing w:before="78" w:after="156"/>
      </w:pPr>
      <w:bookmarkStart w:id="476" w:name="_Toc1324362027"/>
      <w:bookmarkStart w:id="477" w:name="_Toc711950737"/>
      <w:r>
        <w:br w:type="textWrapping"/>
      </w:r>
      <w:bookmarkStart w:id="478" w:name="_Toc153283509"/>
      <w:r>
        <w:rPr>
          <w:rFonts w:hint="eastAsia"/>
        </w:rPr>
        <w:t>（资料性）</w:t>
      </w:r>
      <w:r>
        <w:br w:type="textWrapping"/>
      </w:r>
      <w:r>
        <w:rPr>
          <w:rFonts w:hint="eastAsia"/>
        </w:rPr>
        <w:t>日常监督、专项监督、投诉监督的程序</w:t>
      </w:r>
      <w:bookmarkEnd w:id="476"/>
      <w:bookmarkEnd w:id="477"/>
      <w:bookmarkEnd w:id="478"/>
      <w:r>
        <w:rPr>
          <w:rFonts w:hint="eastAsia"/>
        </w:rPr>
        <w:t>关系</w:t>
      </w:r>
    </w:p>
    <w:p>
      <w:pPr>
        <w:pStyle w:val="136"/>
        <w:numPr>
          <w:ilvl w:val="255"/>
          <w:numId w:val="0"/>
        </w:numPr>
        <w:ind w:firstLine="420" w:firstLineChars="200"/>
      </w:pPr>
      <w:r>
        <w:rPr>
          <w:rFonts w:hint="eastAsia"/>
        </w:rPr>
        <w:t>图A.1为市破产事务管理署日常监督、专项监督、投诉监督的转换关系。人民法院宣告破产的债务人、人民法院裁定批准重整计划或者认可和解协议的债务人均被纳入日常监督范围。</w:t>
      </w:r>
    </w:p>
    <w:p>
      <w:pPr>
        <w:pStyle w:val="136"/>
        <w:numPr>
          <w:ilvl w:val="255"/>
          <w:numId w:val="0"/>
        </w:numPr>
        <w:ind w:left="0" w:firstLine="420" w:firstLineChars="200"/>
        <w:jc w:val="both"/>
      </w:pPr>
      <w:r>
        <w:rPr>
          <w:rFonts w:hint="eastAsia"/>
        </w:rPr>
        <w:t>基于日常监督工作，若债务人有以下情形之一，将被纳入专项监督范围：（1）清算债务人或者清偿比例低于本金60%的重整、和解的债务人；（2）超过两期或者半年未能足额执行重整计划或者和解协议；（3）因经济状况、家庭关系恶化导致重整计划、和解协议存在执行不能风险；（4）收到市破产事务管理署发出的《警示函》。此外，其余日常监督范围内的债务人也会被随机选取一定比例纳入专项监督范围。若市破产事务管理署收到关于债务人的投诉举报或其他单位转办、交办的问题线索时，经市破产事务管理署主要负责人批准后，则转入投诉监督程序。</w:t>
      </w:r>
    </w:p>
    <w:p>
      <w:pPr>
        <w:pStyle w:val="136"/>
        <w:numPr>
          <w:ilvl w:val="255"/>
          <w:numId w:val="0"/>
        </w:numPr>
        <w:ind w:left="0" w:firstLine="0" w:firstLineChars="0"/>
        <w:jc w:val="both"/>
        <w:rPr>
          <w:rFonts w:hint="eastAsia" w:eastAsia="宋体"/>
          <w:lang w:eastAsia="zh-CN"/>
        </w:rPr>
      </w:pPr>
      <w:r>
        <w:rPr>
          <w:rFonts w:hint="eastAsia" w:eastAsia="宋体"/>
          <w:lang w:eastAsia="zh-CN"/>
        </w:rPr>
        <w:drawing>
          <wp:inline distT="0" distB="0" distL="114300" distR="114300">
            <wp:extent cx="5928995" cy="5572760"/>
            <wp:effectExtent l="0" t="0" r="0" b="0"/>
            <wp:docPr id="7" name="图片 7" descr="日常+专项+投诉"/>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日常+专项+投诉"/>
                    <pic:cNvPicPr>
                      <a:picLocks noChangeAspect="true"/>
                    </pic:cNvPicPr>
                  </pic:nvPicPr>
                  <pic:blipFill>
                    <a:blip r:embed="rId23"/>
                    <a:stretch>
                      <a:fillRect/>
                    </a:stretch>
                  </pic:blipFill>
                  <pic:spPr>
                    <a:xfrm>
                      <a:off x="0" y="0"/>
                      <a:ext cx="5928995" cy="5572760"/>
                    </a:xfrm>
                    <a:prstGeom prst="rect">
                      <a:avLst/>
                    </a:prstGeom>
                  </pic:spPr>
                </pic:pic>
              </a:graphicData>
            </a:graphic>
          </wp:inline>
        </w:drawing>
      </w:r>
    </w:p>
    <w:p>
      <w:pPr>
        <w:pStyle w:val="87"/>
        <w:spacing w:before="156" w:after="156"/>
        <w:sectPr>
          <w:footerReference r:id="rId14" w:type="default"/>
          <w:pgSz w:w="11906" w:h="16838"/>
          <w:pgMar w:top="1928" w:right="1134" w:bottom="1134" w:left="1134" w:header="1418" w:footer="1134" w:gutter="284"/>
          <w:pgNumType w:start="1"/>
          <w:cols w:space="425" w:num="1"/>
          <w:formProt w:val="0"/>
          <w:docGrid w:type="lines" w:linePitch="312" w:charSpace="0"/>
        </w:sectPr>
      </w:pPr>
      <w:r>
        <w:rPr>
          <w:rFonts w:hint="eastAsia"/>
        </w:rPr>
        <w:t>日常监督、专项监督、投诉监督的程序关系</w:t>
      </w:r>
    </w:p>
    <w:bookmarkEnd w:id="475"/>
    <w:p>
      <w:pPr>
        <w:pStyle w:val="67"/>
        <w:spacing w:after="156"/>
      </w:pPr>
      <w:bookmarkStart w:id="479" w:name="_Toc13218"/>
      <w:bookmarkEnd w:id="479"/>
      <w:bookmarkStart w:id="480" w:name="_Toc152936704"/>
      <w:bookmarkEnd w:id="480"/>
      <w:bookmarkStart w:id="481" w:name="_Toc152936651"/>
      <w:bookmarkEnd w:id="481"/>
      <w:bookmarkStart w:id="482" w:name="_Toc626"/>
      <w:bookmarkEnd w:id="482"/>
      <w:bookmarkStart w:id="483" w:name="_Toc152941326"/>
      <w:bookmarkEnd w:id="483"/>
      <w:bookmarkStart w:id="484" w:name="_Toc1023097281"/>
      <w:bookmarkEnd w:id="484"/>
      <w:bookmarkStart w:id="485" w:name="_Toc152335837"/>
      <w:bookmarkEnd w:id="485"/>
      <w:bookmarkStart w:id="486" w:name="_Toc152941329"/>
      <w:bookmarkStart w:id="487" w:name="_Toc148539986"/>
      <w:bookmarkStart w:id="488" w:name="_Toc449179490"/>
      <w:bookmarkStart w:id="489" w:name="_Toc32728"/>
      <w:bookmarkStart w:id="490" w:name="_Toc153283510"/>
      <w:bookmarkStart w:id="491" w:name="_Toc152936707"/>
      <w:bookmarkStart w:id="492" w:name="_Toc499"/>
      <w:bookmarkStart w:id="493" w:name="_Toc152936654"/>
      <w:bookmarkStart w:id="494" w:name="_Toc839638431"/>
      <w:bookmarkStart w:id="495" w:name="_Toc1984948766"/>
      <w:bookmarkStart w:id="496" w:name="_Toc152335840"/>
      <w:bookmarkStart w:id="497" w:name="BookMark6"/>
      <w:r>
        <w:rPr>
          <w:rFonts w:hint="eastAsia"/>
          <w:spacing w:val="105"/>
        </w:rPr>
        <w:t>参考文</w:t>
      </w:r>
      <w:r>
        <w:rPr>
          <w:rFonts w:hint="eastAsia"/>
        </w:rPr>
        <w:t>献</w:t>
      </w:r>
      <w:bookmarkEnd w:id="486"/>
      <w:bookmarkEnd w:id="487"/>
      <w:bookmarkEnd w:id="488"/>
      <w:bookmarkEnd w:id="489"/>
      <w:bookmarkEnd w:id="490"/>
      <w:bookmarkEnd w:id="491"/>
      <w:bookmarkEnd w:id="492"/>
      <w:bookmarkEnd w:id="493"/>
      <w:bookmarkEnd w:id="494"/>
      <w:bookmarkEnd w:id="495"/>
      <w:bookmarkEnd w:id="496"/>
    </w:p>
    <w:p>
      <w:pPr>
        <w:pStyle w:val="60"/>
        <w:ind w:firstLine="420"/>
      </w:pPr>
      <w:r>
        <w:rPr>
          <w:rFonts w:hint="eastAsia"/>
        </w:rPr>
        <w:t>[1]</w:t>
      </w:r>
      <w:r>
        <w:t xml:space="preserve">  </w:t>
      </w:r>
      <w:r>
        <w:rPr>
          <w:rFonts w:hint="eastAsia"/>
        </w:rPr>
        <w:t xml:space="preserve">GB/T 20001.6 </w:t>
      </w:r>
      <w:r>
        <w:t xml:space="preserve"> </w:t>
      </w:r>
      <w:r>
        <w:rPr>
          <w:rFonts w:hint="eastAsia"/>
        </w:rPr>
        <w:t>标准编写规则 第6部分：规程标准</w:t>
      </w:r>
    </w:p>
    <w:p>
      <w:pPr>
        <w:pStyle w:val="60"/>
        <w:ind w:firstLine="420"/>
        <w:jc w:val="left"/>
        <w:rPr>
          <w:rFonts w:hint="eastAsia"/>
        </w:rPr>
      </w:pPr>
      <w:r>
        <w:rPr>
          <w:rFonts w:hint="eastAsia"/>
        </w:rPr>
        <w:t>[</w:t>
      </w:r>
      <w:r>
        <w:t>2</w:t>
      </w:r>
      <w:r>
        <w:rPr>
          <w:rFonts w:hint="eastAsia"/>
        </w:rPr>
        <w:t>]</w:t>
      </w:r>
      <w:r>
        <w:t xml:space="preserve">  </w:t>
      </w:r>
      <w:r>
        <w:rPr>
          <w:rFonts w:hint="eastAsia"/>
        </w:rPr>
        <w:t xml:space="preserve">DB4403/T 271—2022 </w:t>
      </w:r>
      <w:r>
        <w:t xml:space="preserve"> </w:t>
      </w:r>
      <w:r>
        <w:rPr>
          <w:rFonts w:hint="eastAsia"/>
        </w:rPr>
        <w:t>公共数据安全要求</w:t>
      </w:r>
    </w:p>
    <w:p>
      <w:pPr>
        <w:pStyle w:val="60"/>
        <w:ind w:firstLine="420"/>
      </w:pPr>
      <w:r>
        <w:rPr>
          <w:rFonts w:hint="eastAsia"/>
        </w:rPr>
        <w:t>[</w:t>
      </w:r>
      <w:r>
        <w:t>3</w:t>
      </w:r>
      <w:r>
        <w:rPr>
          <w:rFonts w:hint="eastAsia"/>
        </w:rPr>
        <w:t>]</w:t>
      </w:r>
      <w:r>
        <w:t xml:space="preserve">  </w:t>
      </w:r>
      <w:r>
        <w:rPr>
          <w:rFonts w:hint="eastAsia"/>
        </w:rPr>
        <w:t>深圳经济特区个人破产条例（深圳市第六届人民代表大会常务委员会公告第二〇八号）</w:t>
      </w:r>
    </w:p>
    <w:p>
      <w:pPr>
        <w:pStyle w:val="60"/>
        <w:ind w:firstLine="420"/>
      </w:pPr>
      <w:r>
        <w:rPr>
          <w:rFonts w:hint="eastAsia"/>
        </w:rPr>
        <w:t>[</w:t>
      </w:r>
      <w:r>
        <w:t>4</w:t>
      </w:r>
      <w:r>
        <w:rPr>
          <w:rFonts w:hint="eastAsia"/>
        </w:rPr>
        <w:t>]</w:t>
      </w:r>
      <w:r>
        <w:t xml:space="preserve">  </w:t>
      </w:r>
      <w:r>
        <w:rPr>
          <w:rFonts w:hint="eastAsia"/>
        </w:rPr>
        <w:t>深圳经济特区数据条例（深圳市第七届人民代表大会常务委员会公告第十号）</w:t>
      </w:r>
    </w:p>
    <w:p>
      <w:pPr>
        <w:pStyle w:val="60"/>
        <w:ind w:firstLine="420"/>
      </w:pPr>
      <w:r>
        <w:rPr>
          <w:rFonts w:hint="eastAsia"/>
        </w:rPr>
        <w:t>[</w:t>
      </w:r>
      <w:r>
        <w:t>5</w:t>
      </w:r>
      <w:r>
        <w:rPr>
          <w:rFonts w:hint="eastAsia"/>
        </w:rPr>
        <w:t xml:space="preserve">] </w:t>
      </w:r>
      <w:r>
        <w:t xml:space="preserve"> </w:t>
      </w:r>
      <w:r>
        <w:rPr>
          <w:rFonts w:hint="eastAsia"/>
        </w:rPr>
        <w:t>深圳市居民经济状况核对办法（深圳市人民政府令 第335号）</w:t>
      </w:r>
    </w:p>
    <w:p>
      <w:pPr>
        <w:pStyle w:val="60"/>
        <w:ind w:firstLine="420"/>
      </w:pPr>
    </w:p>
    <w:p>
      <w:pPr>
        <w:pStyle w:val="60"/>
        <w:ind w:firstLine="420"/>
        <w:jc w:val="left"/>
      </w:pPr>
    </w:p>
    <w:p>
      <w:pPr>
        <w:pStyle w:val="60"/>
        <w:ind w:firstLine="420"/>
      </w:pPr>
    </w:p>
    <w:bookmarkEnd w:id="497"/>
    <w:p>
      <w:pPr>
        <w:pStyle w:val="60"/>
        <w:ind w:firstLine="420"/>
      </w:pPr>
    </w:p>
    <w:p>
      <w:pPr>
        <w:pStyle w:val="60"/>
        <w:ind w:firstLine="0" w:firstLineChars="0"/>
        <w:jc w:val="center"/>
      </w:pPr>
      <w:bookmarkStart w:id="498" w:name="BookMark8"/>
      <w:r>
        <w:rPr>
          <w:rFonts w:hint="eastAsia"/>
        </w:rPr>
        <w:drawing>
          <wp:inline distT="0" distB="0" distL="0" distR="0">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4">
                      <a:extLst>
                        <a:ext uri="{28A0092B-C50C-407E-A947-70E740481C1C}">
                          <a14:useLocalDpi xmlns:a14="http://schemas.microsoft.com/office/drawing/2010/main" val="false"/>
                        </a:ext>
                      </a:extLst>
                    </a:blip>
                    <a:stretch>
                      <a:fillRect/>
                    </a:stretch>
                  </pic:blipFill>
                  <pic:spPr>
                    <a:xfrm>
                      <a:off x="0" y="0"/>
                      <a:ext cx="1485900" cy="317500"/>
                    </a:xfrm>
                    <a:prstGeom prst="rect">
                      <a:avLst/>
                    </a:prstGeom>
                  </pic:spPr>
                </pic:pic>
              </a:graphicData>
            </a:graphic>
          </wp:inline>
        </w:drawing>
      </w:r>
      <w:bookmarkEnd w:id="498"/>
    </w:p>
    <w:sectPr>
      <w:headerReference r:id="rId15" w:type="default"/>
      <w:footerReference r:id="rId16" w:type="default"/>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Light">
    <w:altName w:val="华文仿宋"/>
    <w:panose1 w:val="02010600030101010101"/>
    <w:charset w:val="86"/>
    <w:family w:val="auto"/>
    <w:pitch w:val="default"/>
    <w:sig w:usb0="00000000" w:usb1="00000000" w:usb2="00000016" w:usb3="00000000" w:csb0="0004000F" w:csb1="00000000"/>
  </w:font>
  <w:font w:name="仿宋_GB2312">
    <w:altName w:val="方正仿宋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C059">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IkRNFQIAABs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Y3dXlBimsaPTt6+n7z9PP74Q&#10;2ABQ68IMcY8OkbF7Y7uKRr8XgyvAnkbvpNfpi6EIQoD28YKw6CLhMI6nk+m0hIvDNygoUTz/7nyI&#10;b4XVJAkV9VhhRpYd1iGeQ4eQVM3YVaNUXqMypK3o9dXrMv9w8SC5MqiR5jg3m6TYbbp+uI2tj5jN&#10;2zM9guOrBsXXLMQH5sEHNAyOx3s8UlkUsb1Eyc76z3+zp3isCV5KWvCrogYHQIl6Z7C+RMVB8IOw&#10;GQSz17cWhB3jdhzPIn7wUQ2i9FZ/AvGXqYZkKiAxMxzVsJpBvI3QeicOiIvl8qKDfI7FtXl0vF9m&#10;wjK45T4CzwxzwugMTA8dGJgX1V9Loviveo56vunF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9IkRNFQIAABsEAAAOAAAAAAAAAAEAIAAAADUBAABkcnMvZTJvRG9jLnhtbFBLBQYAAAAABgAG&#10;AFkBAAC8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jc w:val="left"/>
                          </w:pPr>
                          <w:r>
                            <w:fldChar w:fldCharType="begin"/>
                          </w:r>
                          <w:r>
                            <w:instrText xml:space="preserve">PAGE   \* MERGEFORMAT</w:instrText>
                          </w:r>
                          <w:r>
                            <w:fldChar w:fldCharType="separate"/>
                          </w:r>
                          <w:r>
                            <w:rPr>
                              <w:lang w:val="zh-CN"/>
                            </w:rPr>
                            <w:t>16</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uix5FQIAABs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KEsM0dnT69vX0/fH04wuB&#10;DQC1LswQt3aIjN0b21U0+r0YXAH2NHonvU5fDEUQArSPF4RFFwmHcTydTKclXBy+QUGJ4ul350N8&#10;K6wmSaioxwozsuxwF+I5dAhJ1YxdNUrlNSpD2opevXxd5h8uHiRXBjXSHOdmkxS7TdcPt7H1EbN5&#10;e6ZHcHzVoPgdC/GBefABDYPj8R6PVBZFbC9RsrP+89/sKR5rgpeSFvyqqMEBUKLeGawvUXEQ/CBs&#10;BsHs9Y0FYce4HceziB98VIMovdWfQPxlqiGZCkjMDEc1rGYQbyK03okD4mK5vOggn2Pxzqwd75eZ&#10;sAxuuY/AM8OcMDoD00MHBuZF9deSKP6rnqOebnr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vuix5FQIAABsEAAAOAAAAAAAAAAEAIAAAADUBAABkcnMvZTJvRG9jLnhtbFBLBQYAAAAABgAG&#10;AFkBAAC8BQAAAAA=&#10;">
              <v:fill on="f" focussize="0,0"/>
              <v:stroke on="f" weight="0.5pt"/>
              <v:imagedata o:title=""/>
              <o:lock v:ext="edit" aspectratio="f"/>
              <v:textbox inset="0mm,0mm,0mm,0mm" style="mso-fit-shape-to-text:t;">
                <w:txbxContent>
                  <w:p>
                    <w:pPr>
                      <w:pStyle w:val="18"/>
                      <w:jc w:val="left"/>
                    </w:pPr>
                    <w:r>
                      <w:fldChar w:fldCharType="begin"/>
                    </w:r>
                    <w:r>
                      <w:instrText xml:space="preserve">PAGE   \* MERGEFORMAT</w:instrText>
                    </w:r>
                    <w:r>
                      <w:fldChar w:fldCharType="separate"/>
                    </w:r>
                    <w:r>
                      <w:rPr>
                        <w:lang w:val="zh-CN"/>
                      </w:rPr>
                      <w:t>16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r>
      <w:rPr>
        <w:sz w:val="2"/>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i8L5FQIAABsEAAAOAAAAZHJz&#10;L2Uyb0RvYy54bWytU8uO0zAU3SPxD5b3NGnR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Y3dXlBimsaPTt6+n7z9PP74Q&#10;2ABQ68IMcY8OkbF7Y7uKRr8XgyvAnkbvpNfpi6EIQoD28YKw6CLhMI6nk+m0hIvDNygoUTz/7nyI&#10;b4XVJAkV9VhhRpYd1iGeQ4eQVM3YVaNUXqMypK3o9eurMv9w8SC5MqiR5jg3m6TYbbp+uI2tj5jN&#10;2zM9guOrBsXXLMQH5sEHNAyOx3s8UlkUsb1Eyc76z3+zp3isCV5KWvCrogYHQIl6Z7C+RMVB8IOw&#10;GQSz17cWhB3jdhzPIn7wUQ2i9FZ/AvGXqYZkKiAxMxzVsJpBvI3QeicOiIvl8qKDfI7FtXl0vF9m&#10;wjK45T4CzwxzwugMTA8dGJgX1V9Loviveo56vunF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fi8L5FQIAABsEAAAOAAAAAAAAAAEAIAAAADUBAABkcnMvZTJvRG9jLnhtbFBLBQYAAAAABgAG&#10;AFkBAAC8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w:fldChar w:fldCharType="begin"/>
    </w:r>
    <w:r>
      <w:instrText xml:space="preserve">PAGE   \* MERGEFORMAT</w:instrText>
    </w:r>
    <w:r>
      <w:fldChar w:fldCharType="separate"/>
    </w:r>
    <w:r>
      <w:rPr>
        <w:lang w:val="zh-CN"/>
      </w:rPr>
      <w:t>14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6006309"/>
    </w:sdtPr>
    <w:sdtContent>
      <w:p>
        <w:pPr>
          <w:pStyle w:val="18"/>
        </w:pPr>
        <w:r>
          <w:fldChar w:fldCharType="begin"/>
        </w:r>
        <w:r>
          <w:instrText xml:space="preserve">PAGE   \* MERGEFORMAT</w:instrText>
        </w:r>
        <w:r>
          <w:fldChar w:fldCharType="separate"/>
        </w:r>
        <w:r>
          <w:rPr>
            <w:lang w:val="zh-CN"/>
          </w:rPr>
          <w:t>13</w:t>
        </w:r>
        <w:r>
          <w:fldChar w:fldCharType="end"/>
        </w:r>
      </w:p>
    </w:sdtContent>
  </w:sdt>
  <w:p>
    <w:pPr>
      <w:pStyle w:val="5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lang w:val="zh-CN"/>
      </w:rPr>
    </w:pPr>
    <w:r>
      <w:rPr>
        <w:lang w:val="zh-CN"/>
      </w:rPr>
      <w:fldChar w:fldCharType="begin"/>
    </w:r>
    <w:r>
      <w:rPr>
        <w:lang w:val="zh-CN"/>
      </w:rPr>
      <w:instrText xml:space="preserve">PAGE   \* MERGEFORMAT</w:instrText>
    </w:r>
    <w:r>
      <w:rPr>
        <w:lang w:val="zh-CN"/>
      </w:rPr>
      <w:fldChar w:fldCharType="separate"/>
    </w:r>
    <w:r>
      <w:rPr>
        <w:lang w:val="zh-CN"/>
      </w:rPr>
      <w:t>15</w:t>
    </w:r>
    <w:r>
      <w:rPr>
        <w:lang w:val="zh-CN"/>
      </w:rPr>
      <w:fldChar w:fldCharType="end"/>
    </w:r>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wordWrap w:val="0"/>
      <w:rPr>
        <w:rFonts w:hint="default" w:eastAsia="黑体"/>
        <w:lang w:val="en-US" w:eastAsia="zh-CN"/>
      </w:rPr>
    </w:pPr>
    <w:r>
      <w:rPr>
        <w:rFonts w:hint="eastAsia"/>
        <w:lang w:val="en-US" w:eastAsia="zh-CN"/>
      </w:rPr>
      <w:t>Q/BAAS 005—XXXX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rPr>
        <w:rFonts w:hint="default" w:eastAsia="黑体"/>
        <w:lang w:val="en-US" w:eastAsia="zh-CN"/>
      </w:rPr>
    </w:pPr>
    <w:r>
      <w:rPr>
        <w:rFonts w:hint="eastAsia"/>
        <w:lang w:val="en-US" w:eastAsia="zh-CN"/>
      </w:rPr>
      <w:t>Q/BAAS 005—XXXX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wordWrap w:val="0"/>
      <w:rPr>
        <w:rFonts w:hint="default" w:eastAsia="黑体"/>
        <w:lang w:val="en-US" w:eastAsia="zh-CN"/>
      </w:rPr>
    </w:pPr>
    <w:r>
      <w:rPr>
        <w:rFonts w:hint="eastAsia"/>
        <w:lang w:val="en-US" w:eastAsia="zh-CN"/>
      </w:rPr>
      <w:t>Q/BAAS 005—XXXX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F46E2"/>
    <w:multiLevelType w:val="multilevel"/>
    <w:tmpl w:val="949F46E2"/>
    <w:lvl w:ilvl="0" w:tentative="0">
      <w:start w:val="1"/>
      <w:numFmt w:val="lowerLetter"/>
      <w:pStyle w:val="178"/>
      <w:lvlText w:val="%1)"/>
      <w:lvlJc w:val="left"/>
      <w:pPr>
        <w:tabs>
          <w:tab w:val="left" w:pos="851"/>
        </w:tabs>
        <w:ind w:left="846"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0" w:firstLine="0"/>
      </w:pPr>
      <w:rPr>
        <w:rFonts w:hint="eastAsia" w:ascii="黑体" w:eastAsia="黑体"/>
        <w:b w:val="0"/>
        <w:i w:val="0"/>
        <w:sz w:val="21"/>
      </w:rPr>
    </w:lvl>
    <w:lvl w:ilvl="2" w:tentative="0">
      <w:start w:val="1"/>
      <w:numFmt w:val="decimal"/>
      <w:pStyle w:val="109"/>
      <w:suff w:val="nothing"/>
      <w:lvlText w:val="%1%2.%3　"/>
      <w:lvlJc w:val="left"/>
      <w:pPr>
        <w:ind w:left="709"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9"/>
      <w:suff w:val="nothing"/>
      <w:lvlText w:val="%1%2.%3.%4　"/>
      <w:lvlJc w:val="left"/>
      <w:pPr>
        <w:ind w:left="0" w:firstLine="0"/>
      </w:pPr>
      <w:rPr>
        <w:rFonts w:hint="eastAsia" w:ascii="黑体" w:eastAsia="黑体"/>
        <w:b w:val="0"/>
        <w:i w:val="0"/>
        <w:sz w:val="21"/>
      </w:rPr>
    </w:lvl>
    <w:lvl w:ilvl="4" w:tentative="0">
      <w:start w:val="1"/>
      <w:numFmt w:val="decimal"/>
      <w:pStyle w:val="98"/>
      <w:suff w:val="nothing"/>
      <w:lvlText w:val="%1%2.%3.%4.%5　"/>
      <w:lvlJc w:val="left"/>
      <w:pPr>
        <w:ind w:left="0"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3"/>
      <w:lvlText w:val="%1注："/>
      <w:lvlJc w:val="left"/>
      <w:pPr>
        <w:tabs>
          <w:tab w:val="left" w:pos="420"/>
        </w:tabs>
        <w:ind w:left="1157" w:hanging="374"/>
      </w:pPr>
      <w:rPr>
        <w:rFonts w:hint="eastAsia" w:ascii="黑体" w:eastAsia="黑体"/>
        <w:b w:val="0"/>
        <w:i w:val="0"/>
        <w:sz w:val="18"/>
      </w:rPr>
    </w:lvl>
    <w:lvl w:ilvl="1" w:tentative="0">
      <w:start w:val="1"/>
      <w:numFmt w:val="lowerLetter"/>
      <w:lvlText w:val="%2)"/>
      <w:lvlJc w:val="left"/>
      <w:pPr>
        <w:tabs>
          <w:tab w:val="left" w:pos="1560"/>
        </w:tabs>
        <w:ind w:left="1146" w:hanging="363"/>
      </w:pPr>
      <w:rPr>
        <w:rFonts w:hint="eastAsia"/>
      </w:rPr>
    </w:lvl>
    <w:lvl w:ilvl="2" w:tentative="0">
      <w:start w:val="1"/>
      <w:numFmt w:val="lowerRoman"/>
      <w:lvlText w:val="%3."/>
      <w:lvlJc w:val="right"/>
      <w:pPr>
        <w:tabs>
          <w:tab w:val="left" w:pos="1560"/>
        </w:tabs>
        <w:ind w:left="1146" w:hanging="363"/>
      </w:pPr>
      <w:rPr>
        <w:rFonts w:hint="eastAsia"/>
      </w:rPr>
    </w:lvl>
    <w:lvl w:ilvl="3" w:tentative="0">
      <w:start w:val="1"/>
      <w:numFmt w:val="decimal"/>
      <w:lvlText w:val="%4."/>
      <w:lvlJc w:val="left"/>
      <w:pPr>
        <w:tabs>
          <w:tab w:val="left" w:pos="1560"/>
        </w:tabs>
        <w:ind w:left="1146" w:hanging="363"/>
      </w:pPr>
      <w:rPr>
        <w:rFonts w:hint="eastAsia"/>
      </w:rPr>
    </w:lvl>
    <w:lvl w:ilvl="4" w:tentative="0">
      <w:start w:val="1"/>
      <w:numFmt w:val="lowerLetter"/>
      <w:lvlText w:val="%5)"/>
      <w:lvlJc w:val="left"/>
      <w:pPr>
        <w:tabs>
          <w:tab w:val="left" w:pos="1560"/>
        </w:tabs>
        <w:ind w:left="1146" w:hanging="363"/>
      </w:pPr>
      <w:rPr>
        <w:rFonts w:hint="eastAsia"/>
      </w:rPr>
    </w:lvl>
    <w:lvl w:ilvl="5" w:tentative="0">
      <w:start w:val="1"/>
      <w:numFmt w:val="lowerRoman"/>
      <w:lvlText w:val="%6."/>
      <w:lvlJc w:val="right"/>
      <w:pPr>
        <w:tabs>
          <w:tab w:val="left" w:pos="1560"/>
        </w:tabs>
        <w:ind w:left="1146" w:hanging="363"/>
      </w:pPr>
      <w:rPr>
        <w:rFonts w:hint="eastAsia"/>
      </w:rPr>
    </w:lvl>
    <w:lvl w:ilvl="6" w:tentative="0">
      <w:start w:val="1"/>
      <w:numFmt w:val="decimal"/>
      <w:lvlText w:val="%7."/>
      <w:lvlJc w:val="left"/>
      <w:pPr>
        <w:tabs>
          <w:tab w:val="left" w:pos="1560"/>
        </w:tabs>
        <w:ind w:left="1146" w:hanging="363"/>
      </w:pPr>
      <w:rPr>
        <w:rFonts w:hint="eastAsia"/>
      </w:rPr>
    </w:lvl>
    <w:lvl w:ilvl="7" w:tentative="0">
      <w:start w:val="1"/>
      <w:numFmt w:val="lowerLetter"/>
      <w:lvlText w:val="%8)"/>
      <w:lvlJc w:val="left"/>
      <w:pPr>
        <w:tabs>
          <w:tab w:val="left" w:pos="1560"/>
        </w:tabs>
        <w:ind w:left="1146" w:hanging="363"/>
      </w:pPr>
      <w:rPr>
        <w:rFonts w:hint="eastAsia"/>
      </w:rPr>
    </w:lvl>
    <w:lvl w:ilvl="8" w:tentative="0">
      <w:start w:val="1"/>
      <w:numFmt w:val="lowerRoman"/>
      <w:lvlText w:val="%9."/>
      <w:lvlJc w:val="right"/>
      <w:pPr>
        <w:tabs>
          <w:tab w:val="left" w:pos="1560"/>
        </w:tabs>
        <w:ind w:left="1146" w:hanging="363"/>
      </w:pPr>
      <w:rPr>
        <w:rFonts w:hint="eastAsia"/>
      </w:rPr>
    </w:lvl>
  </w:abstractNum>
  <w:abstractNum w:abstractNumId="29">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7"/>
  </w:num>
  <w:num w:numId="3">
    <w:abstractNumId w:val="6"/>
  </w:num>
  <w:num w:numId="4">
    <w:abstractNumId w:val="23"/>
  </w:num>
  <w:num w:numId="5">
    <w:abstractNumId w:val="18"/>
  </w:num>
  <w:num w:numId="6">
    <w:abstractNumId w:val="13"/>
  </w:num>
  <w:num w:numId="7">
    <w:abstractNumId w:val="9"/>
  </w:num>
  <w:num w:numId="8">
    <w:abstractNumId w:val="4"/>
  </w:num>
  <w:num w:numId="9">
    <w:abstractNumId w:val="10"/>
  </w:num>
  <w:num w:numId="10">
    <w:abstractNumId w:val="16"/>
  </w:num>
  <w:num w:numId="11">
    <w:abstractNumId w:val="25"/>
  </w:num>
  <w:num w:numId="12">
    <w:abstractNumId w:val="12"/>
  </w:num>
  <w:num w:numId="13">
    <w:abstractNumId w:val="0"/>
  </w:num>
  <w:num w:numId="14">
    <w:abstractNumId w:val="8"/>
  </w:num>
  <w:num w:numId="15">
    <w:abstractNumId w:val="19"/>
  </w:num>
  <w:num w:numId="16">
    <w:abstractNumId w:val="21"/>
  </w:num>
  <w:num w:numId="17">
    <w:abstractNumId w:val="17"/>
  </w:num>
  <w:num w:numId="18">
    <w:abstractNumId w:val="29"/>
  </w:num>
  <w:num w:numId="19">
    <w:abstractNumId w:val="15"/>
  </w:num>
  <w:num w:numId="20">
    <w:abstractNumId w:val="2"/>
  </w:num>
  <w:num w:numId="21">
    <w:abstractNumId w:val="11"/>
  </w:num>
  <w:num w:numId="22">
    <w:abstractNumId w:val="30"/>
  </w:num>
  <w:num w:numId="23">
    <w:abstractNumId w:val="20"/>
  </w:num>
  <w:num w:numId="24">
    <w:abstractNumId w:val="7"/>
  </w:num>
  <w:num w:numId="25">
    <w:abstractNumId w:val="26"/>
  </w:num>
  <w:num w:numId="26">
    <w:abstractNumId w:val="28"/>
  </w:num>
  <w:num w:numId="27">
    <w:abstractNumId w:val="3"/>
  </w:num>
  <w:num w:numId="28">
    <w:abstractNumId w:val="5"/>
  </w:num>
  <w:num w:numId="29">
    <w:abstractNumId w:val="14"/>
  </w:num>
  <w:num w:numId="30">
    <w:abstractNumId w:val="24"/>
  </w:num>
  <w:num w:numId="31">
    <w:abstractNumId w:val="22"/>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true"/>
  <w:bordersDoNotSurroundFooter w:val="true"/>
  <w:documentProtection w:edit="forms" w:enforcement="0"/>
  <w:defaultTabStop w:val="420"/>
  <w:evenAndOddHeaders w:val="true"/>
  <w:drawingGridHorizontalSpacing w:val="105"/>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wYmZhYTVmNzQ1MWJjMjhlMWU0NDBjM2Q2MDljYWIifQ=="/>
  </w:docVars>
  <w:rsids>
    <w:rsidRoot w:val="005A33C9"/>
    <w:rsid w:val="0000040A"/>
    <w:rsid w:val="00000A94"/>
    <w:rsid w:val="00001972"/>
    <w:rsid w:val="00001D9A"/>
    <w:rsid w:val="0000380F"/>
    <w:rsid w:val="00007B3A"/>
    <w:rsid w:val="00010070"/>
    <w:rsid w:val="000107E0"/>
    <w:rsid w:val="0001099D"/>
    <w:rsid w:val="00011CB3"/>
    <w:rsid w:val="00011FDE"/>
    <w:rsid w:val="00012FFD"/>
    <w:rsid w:val="00014162"/>
    <w:rsid w:val="00014340"/>
    <w:rsid w:val="00016A9C"/>
    <w:rsid w:val="00022184"/>
    <w:rsid w:val="00022762"/>
    <w:rsid w:val="000238E0"/>
    <w:rsid w:val="000249DB"/>
    <w:rsid w:val="0002595E"/>
    <w:rsid w:val="00026AD8"/>
    <w:rsid w:val="000303C3"/>
    <w:rsid w:val="00031007"/>
    <w:rsid w:val="00032D95"/>
    <w:rsid w:val="000331D3"/>
    <w:rsid w:val="000346A5"/>
    <w:rsid w:val="0003486B"/>
    <w:rsid w:val="00034E36"/>
    <w:rsid w:val="000359C3"/>
    <w:rsid w:val="00035A7D"/>
    <w:rsid w:val="000365ED"/>
    <w:rsid w:val="0004249A"/>
    <w:rsid w:val="000424CD"/>
    <w:rsid w:val="00042A9A"/>
    <w:rsid w:val="00043282"/>
    <w:rsid w:val="00044286"/>
    <w:rsid w:val="00045FE4"/>
    <w:rsid w:val="00047F28"/>
    <w:rsid w:val="000503AA"/>
    <w:rsid w:val="000506A1"/>
    <w:rsid w:val="000509EC"/>
    <w:rsid w:val="000515DD"/>
    <w:rsid w:val="0005162D"/>
    <w:rsid w:val="0005265A"/>
    <w:rsid w:val="000539DD"/>
    <w:rsid w:val="00053BD3"/>
    <w:rsid w:val="000556ED"/>
    <w:rsid w:val="00055FE2"/>
    <w:rsid w:val="0005616F"/>
    <w:rsid w:val="00056865"/>
    <w:rsid w:val="00060C2E"/>
    <w:rsid w:val="00061033"/>
    <w:rsid w:val="000619E9"/>
    <w:rsid w:val="000622D4"/>
    <w:rsid w:val="00062A4E"/>
    <w:rsid w:val="0006357D"/>
    <w:rsid w:val="00065600"/>
    <w:rsid w:val="00067681"/>
    <w:rsid w:val="00067F1E"/>
    <w:rsid w:val="00071CC0"/>
    <w:rsid w:val="000730B8"/>
    <w:rsid w:val="00073C8C"/>
    <w:rsid w:val="00074E9A"/>
    <w:rsid w:val="0007527D"/>
    <w:rsid w:val="00077982"/>
    <w:rsid w:val="00077B64"/>
    <w:rsid w:val="00080A1C"/>
    <w:rsid w:val="00082317"/>
    <w:rsid w:val="00083728"/>
    <w:rsid w:val="00083D2C"/>
    <w:rsid w:val="000849FF"/>
    <w:rsid w:val="00086AA1"/>
    <w:rsid w:val="00087A77"/>
    <w:rsid w:val="00090CA6"/>
    <w:rsid w:val="00092B8A"/>
    <w:rsid w:val="00092FB0"/>
    <w:rsid w:val="000934C5"/>
    <w:rsid w:val="00093532"/>
    <w:rsid w:val="00093D25"/>
    <w:rsid w:val="00093DAB"/>
    <w:rsid w:val="00094ACA"/>
    <w:rsid w:val="00094D73"/>
    <w:rsid w:val="000955D1"/>
    <w:rsid w:val="00096295"/>
    <w:rsid w:val="00096D63"/>
    <w:rsid w:val="00097256"/>
    <w:rsid w:val="000977F1"/>
    <w:rsid w:val="000A0B60"/>
    <w:rsid w:val="000A0EB8"/>
    <w:rsid w:val="000A19FC"/>
    <w:rsid w:val="000A296B"/>
    <w:rsid w:val="000A30E0"/>
    <w:rsid w:val="000A35B4"/>
    <w:rsid w:val="000A469E"/>
    <w:rsid w:val="000A7311"/>
    <w:rsid w:val="000B028E"/>
    <w:rsid w:val="000B060F"/>
    <w:rsid w:val="000B0C7D"/>
    <w:rsid w:val="000B1592"/>
    <w:rsid w:val="000B1FF2"/>
    <w:rsid w:val="000B39F4"/>
    <w:rsid w:val="000B3CBB"/>
    <w:rsid w:val="000B3CDA"/>
    <w:rsid w:val="000B4AD0"/>
    <w:rsid w:val="000B6A0B"/>
    <w:rsid w:val="000B6A52"/>
    <w:rsid w:val="000C0F6C"/>
    <w:rsid w:val="000C11DB"/>
    <w:rsid w:val="000C1492"/>
    <w:rsid w:val="000C23B3"/>
    <w:rsid w:val="000C2FBD"/>
    <w:rsid w:val="000C4B41"/>
    <w:rsid w:val="000C57D6"/>
    <w:rsid w:val="000C6362"/>
    <w:rsid w:val="000C7666"/>
    <w:rsid w:val="000D0056"/>
    <w:rsid w:val="000D0A9C"/>
    <w:rsid w:val="000D1416"/>
    <w:rsid w:val="000D1795"/>
    <w:rsid w:val="000D2A89"/>
    <w:rsid w:val="000D329A"/>
    <w:rsid w:val="000D37A1"/>
    <w:rsid w:val="000D4B9C"/>
    <w:rsid w:val="000D4EB6"/>
    <w:rsid w:val="000D5685"/>
    <w:rsid w:val="000D6245"/>
    <w:rsid w:val="000D753B"/>
    <w:rsid w:val="000E2CD0"/>
    <w:rsid w:val="000E2D68"/>
    <w:rsid w:val="000E2FDF"/>
    <w:rsid w:val="000E4C9E"/>
    <w:rsid w:val="000E5DCA"/>
    <w:rsid w:val="000E6FD7"/>
    <w:rsid w:val="000F06E1"/>
    <w:rsid w:val="000F0E3C"/>
    <w:rsid w:val="000F0F82"/>
    <w:rsid w:val="000F19D5"/>
    <w:rsid w:val="000F44FA"/>
    <w:rsid w:val="000F4AEA"/>
    <w:rsid w:val="000F587B"/>
    <w:rsid w:val="000F67E9"/>
    <w:rsid w:val="000F7909"/>
    <w:rsid w:val="00104926"/>
    <w:rsid w:val="00113B1E"/>
    <w:rsid w:val="0011711C"/>
    <w:rsid w:val="0012173D"/>
    <w:rsid w:val="0012416B"/>
    <w:rsid w:val="00124E4F"/>
    <w:rsid w:val="00124EB7"/>
    <w:rsid w:val="00124FE8"/>
    <w:rsid w:val="0012593B"/>
    <w:rsid w:val="001260B7"/>
    <w:rsid w:val="001265CB"/>
    <w:rsid w:val="00130209"/>
    <w:rsid w:val="00130D42"/>
    <w:rsid w:val="001321C6"/>
    <w:rsid w:val="001325C4"/>
    <w:rsid w:val="00133010"/>
    <w:rsid w:val="001338EE"/>
    <w:rsid w:val="00133AAE"/>
    <w:rsid w:val="00133FD4"/>
    <w:rsid w:val="00135323"/>
    <w:rsid w:val="001356C4"/>
    <w:rsid w:val="00136FAB"/>
    <w:rsid w:val="00141114"/>
    <w:rsid w:val="001414E1"/>
    <w:rsid w:val="0014252A"/>
    <w:rsid w:val="00142969"/>
    <w:rsid w:val="001446C2"/>
    <w:rsid w:val="001457E7"/>
    <w:rsid w:val="00145D9D"/>
    <w:rsid w:val="00146388"/>
    <w:rsid w:val="00147CD4"/>
    <w:rsid w:val="001529E5"/>
    <w:rsid w:val="00153C7E"/>
    <w:rsid w:val="00154D6F"/>
    <w:rsid w:val="00155C26"/>
    <w:rsid w:val="00156B25"/>
    <w:rsid w:val="00156E1A"/>
    <w:rsid w:val="00157894"/>
    <w:rsid w:val="00157B55"/>
    <w:rsid w:val="00160DB3"/>
    <w:rsid w:val="0016147F"/>
    <w:rsid w:val="00162A9D"/>
    <w:rsid w:val="001642FA"/>
    <w:rsid w:val="001649EB"/>
    <w:rsid w:val="00164BAF"/>
    <w:rsid w:val="00164D56"/>
    <w:rsid w:val="00164FA8"/>
    <w:rsid w:val="00165065"/>
    <w:rsid w:val="00165434"/>
    <w:rsid w:val="0016580B"/>
    <w:rsid w:val="00165F49"/>
    <w:rsid w:val="00166B88"/>
    <w:rsid w:val="0016770A"/>
    <w:rsid w:val="00167826"/>
    <w:rsid w:val="00170804"/>
    <w:rsid w:val="001708E9"/>
    <w:rsid w:val="00171250"/>
    <w:rsid w:val="00171F4C"/>
    <w:rsid w:val="0017269B"/>
    <w:rsid w:val="0017340B"/>
    <w:rsid w:val="00173FB1"/>
    <w:rsid w:val="00173FBD"/>
    <w:rsid w:val="00176DFD"/>
    <w:rsid w:val="00176E15"/>
    <w:rsid w:val="001852C9"/>
    <w:rsid w:val="00190087"/>
    <w:rsid w:val="0019023F"/>
    <w:rsid w:val="001913C4"/>
    <w:rsid w:val="0019348F"/>
    <w:rsid w:val="00193A07"/>
    <w:rsid w:val="00194C95"/>
    <w:rsid w:val="00195C34"/>
    <w:rsid w:val="00196004"/>
    <w:rsid w:val="00196EF5"/>
    <w:rsid w:val="001A00D8"/>
    <w:rsid w:val="001A1A53"/>
    <w:rsid w:val="001A234A"/>
    <w:rsid w:val="001A32B1"/>
    <w:rsid w:val="001A43F7"/>
    <w:rsid w:val="001A4CF3"/>
    <w:rsid w:val="001A588D"/>
    <w:rsid w:val="001A594E"/>
    <w:rsid w:val="001A7B42"/>
    <w:rsid w:val="001A7C1B"/>
    <w:rsid w:val="001B06E8"/>
    <w:rsid w:val="001B45E0"/>
    <w:rsid w:val="001B6165"/>
    <w:rsid w:val="001B6BC0"/>
    <w:rsid w:val="001B71D0"/>
    <w:rsid w:val="001B71EE"/>
    <w:rsid w:val="001C04A8"/>
    <w:rsid w:val="001C0C2F"/>
    <w:rsid w:val="001C2C03"/>
    <w:rsid w:val="001C42F7"/>
    <w:rsid w:val="001C49E5"/>
    <w:rsid w:val="001C680C"/>
    <w:rsid w:val="001C7FEA"/>
    <w:rsid w:val="001D0499"/>
    <w:rsid w:val="001D0BBE"/>
    <w:rsid w:val="001D0ED4"/>
    <w:rsid w:val="001D212F"/>
    <w:rsid w:val="001D29D7"/>
    <w:rsid w:val="001D2DE7"/>
    <w:rsid w:val="001D2E8F"/>
    <w:rsid w:val="001D3A01"/>
    <w:rsid w:val="001D411C"/>
    <w:rsid w:val="001E1B6A"/>
    <w:rsid w:val="001E2484"/>
    <w:rsid w:val="001E276E"/>
    <w:rsid w:val="001E3CC4"/>
    <w:rsid w:val="001E4882"/>
    <w:rsid w:val="001E72EA"/>
    <w:rsid w:val="001E73AB"/>
    <w:rsid w:val="001F092D"/>
    <w:rsid w:val="001F11B1"/>
    <w:rsid w:val="001F143A"/>
    <w:rsid w:val="001F1605"/>
    <w:rsid w:val="001F2147"/>
    <w:rsid w:val="001F225A"/>
    <w:rsid w:val="001F2508"/>
    <w:rsid w:val="001F4816"/>
    <w:rsid w:val="001F69B4"/>
    <w:rsid w:val="001F74D2"/>
    <w:rsid w:val="001F77C7"/>
    <w:rsid w:val="001F77CA"/>
    <w:rsid w:val="00200183"/>
    <w:rsid w:val="00200333"/>
    <w:rsid w:val="00200438"/>
    <w:rsid w:val="0020107D"/>
    <w:rsid w:val="0020264E"/>
    <w:rsid w:val="002027A3"/>
    <w:rsid w:val="00202AA4"/>
    <w:rsid w:val="002031F7"/>
    <w:rsid w:val="002040E6"/>
    <w:rsid w:val="0020527B"/>
    <w:rsid w:val="0020529B"/>
    <w:rsid w:val="00205F2C"/>
    <w:rsid w:val="0020720D"/>
    <w:rsid w:val="002074F3"/>
    <w:rsid w:val="00210755"/>
    <w:rsid w:val="00210B15"/>
    <w:rsid w:val="002142EA"/>
    <w:rsid w:val="0021543E"/>
    <w:rsid w:val="00217577"/>
    <w:rsid w:val="002204BB"/>
    <w:rsid w:val="00221B79"/>
    <w:rsid w:val="00221C6B"/>
    <w:rsid w:val="00223B45"/>
    <w:rsid w:val="002252D3"/>
    <w:rsid w:val="002253A1"/>
    <w:rsid w:val="00225CF8"/>
    <w:rsid w:val="002268F5"/>
    <w:rsid w:val="0022794E"/>
    <w:rsid w:val="00233D64"/>
    <w:rsid w:val="0023482A"/>
    <w:rsid w:val="002359CB"/>
    <w:rsid w:val="00240047"/>
    <w:rsid w:val="002405E7"/>
    <w:rsid w:val="002421FF"/>
    <w:rsid w:val="00243540"/>
    <w:rsid w:val="0024497B"/>
    <w:rsid w:val="0024515B"/>
    <w:rsid w:val="00246021"/>
    <w:rsid w:val="00246261"/>
    <w:rsid w:val="0024666E"/>
    <w:rsid w:val="00247742"/>
    <w:rsid w:val="00247F52"/>
    <w:rsid w:val="00250888"/>
    <w:rsid w:val="00250A7D"/>
    <w:rsid w:val="00250B25"/>
    <w:rsid w:val="00250BBE"/>
    <w:rsid w:val="002515C2"/>
    <w:rsid w:val="0025194F"/>
    <w:rsid w:val="002526BC"/>
    <w:rsid w:val="00254DDE"/>
    <w:rsid w:val="00255E32"/>
    <w:rsid w:val="00256CAA"/>
    <w:rsid w:val="0025741F"/>
    <w:rsid w:val="00257A69"/>
    <w:rsid w:val="0026148A"/>
    <w:rsid w:val="00262696"/>
    <w:rsid w:val="00263049"/>
    <w:rsid w:val="00263D25"/>
    <w:rsid w:val="002643C3"/>
    <w:rsid w:val="00264A0C"/>
    <w:rsid w:val="00264A17"/>
    <w:rsid w:val="00265E4A"/>
    <w:rsid w:val="00266320"/>
    <w:rsid w:val="00266EEB"/>
    <w:rsid w:val="00267E08"/>
    <w:rsid w:val="00267EF4"/>
    <w:rsid w:val="00270CB8"/>
    <w:rsid w:val="00270F2B"/>
    <w:rsid w:val="0027197C"/>
    <w:rsid w:val="002720E6"/>
    <w:rsid w:val="002725AD"/>
    <w:rsid w:val="00272B08"/>
    <w:rsid w:val="00273154"/>
    <w:rsid w:val="00273BEC"/>
    <w:rsid w:val="00273E80"/>
    <w:rsid w:val="00275B7D"/>
    <w:rsid w:val="0028075C"/>
    <w:rsid w:val="00281BB8"/>
    <w:rsid w:val="00281E9E"/>
    <w:rsid w:val="00281FB9"/>
    <w:rsid w:val="00282405"/>
    <w:rsid w:val="00285170"/>
    <w:rsid w:val="00285361"/>
    <w:rsid w:val="00290CB6"/>
    <w:rsid w:val="00292693"/>
    <w:rsid w:val="00292D60"/>
    <w:rsid w:val="00293B30"/>
    <w:rsid w:val="002945E1"/>
    <w:rsid w:val="00294D34"/>
    <w:rsid w:val="00294E3B"/>
    <w:rsid w:val="00296193"/>
    <w:rsid w:val="00296BFC"/>
    <w:rsid w:val="00296C66"/>
    <w:rsid w:val="00296EBE"/>
    <w:rsid w:val="002974E3"/>
    <w:rsid w:val="002A084B"/>
    <w:rsid w:val="002A1260"/>
    <w:rsid w:val="002A1589"/>
    <w:rsid w:val="002A1608"/>
    <w:rsid w:val="002A25DC"/>
    <w:rsid w:val="002A3AAB"/>
    <w:rsid w:val="002A3AB0"/>
    <w:rsid w:val="002A4CEA"/>
    <w:rsid w:val="002A56DA"/>
    <w:rsid w:val="002A594B"/>
    <w:rsid w:val="002A5977"/>
    <w:rsid w:val="002A5A13"/>
    <w:rsid w:val="002A6937"/>
    <w:rsid w:val="002A757F"/>
    <w:rsid w:val="002A7F44"/>
    <w:rsid w:val="002B04C6"/>
    <w:rsid w:val="002B0C40"/>
    <w:rsid w:val="002B17F3"/>
    <w:rsid w:val="002B1966"/>
    <w:rsid w:val="002B286D"/>
    <w:rsid w:val="002B4508"/>
    <w:rsid w:val="002B4B88"/>
    <w:rsid w:val="002B551D"/>
    <w:rsid w:val="002B5779"/>
    <w:rsid w:val="002B686C"/>
    <w:rsid w:val="002B7332"/>
    <w:rsid w:val="002B7F51"/>
    <w:rsid w:val="002C09E7"/>
    <w:rsid w:val="002C09F0"/>
    <w:rsid w:val="002C1E06"/>
    <w:rsid w:val="002C3F07"/>
    <w:rsid w:val="002C5278"/>
    <w:rsid w:val="002C5F30"/>
    <w:rsid w:val="002C7EBB"/>
    <w:rsid w:val="002D05D7"/>
    <w:rsid w:val="002D06C1"/>
    <w:rsid w:val="002D165F"/>
    <w:rsid w:val="002D3DFB"/>
    <w:rsid w:val="002D42B5"/>
    <w:rsid w:val="002D4F1A"/>
    <w:rsid w:val="002D6D97"/>
    <w:rsid w:val="002D6EC6"/>
    <w:rsid w:val="002D79AC"/>
    <w:rsid w:val="002E039D"/>
    <w:rsid w:val="002E1D97"/>
    <w:rsid w:val="002E3678"/>
    <w:rsid w:val="002E4270"/>
    <w:rsid w:val="002E4D5A"/>
    <w:rsid w:val="002E6326"/>
    <w:rsid w:val="002F240C"/>
    <w:rsid w:val="002F30E0"/>
    <w:rsid w:val="002F35E4"/>
    <w:rsid w:val="002F35EC"/>
    <w:rsid w:val="002F3730"/>
    <w:rsid w:val="002F38E1"/>
    <w:rsid w:val="002F7AF6"/>
    <w:rsid w:val="00300CC0"/>
    <w:rsid w:val="00300E63"/>
    <w:rsid w:val="00302D92"/>
    <w:rsid w:val="00302F5F"/>
    <w:rsid w:val="00303634"/>
    <w:rsid w:val="0030441D"/>
    <w:rsid w:val="00306063"/>
    <w:rsid w:val="003078E2"/>
    <w:rsid w:val="003101BC"/>
    <w:rsid w:val="003128EB"/>
    <w:rsid w:val="00312DB2"/>
    <w:rsid w:val="00313B85"/>
    <w:rsid w:val="003144CE"/>
    <w:rsid w:val="003168FB"/>
    <w:rsid w:val="00317988"/>
    <w:rsid w:val="00320489"/>
    <w:rsid w:val="0032100A"/>
    <w:rsid w:val="003221B4"/>
    <w:rsid w:val="0032258D"/>
    <w:rsid w:val="00322E62"/>
    <w:rsid w:val="0032446D"/>
    <w:rsid w:val="00324D13"/>
    <w:rsid w:val="00324EDD"/>
    <w:rsid w:val="003258C3"/>
    <w:rsid w:val="00325D2A"/>
    <w:rsid w:val="003320BC"/>
    <w:rsid w:val="00332EC8"/>
    <w:rsid w:val="003331E4"/>
    <w:rsid w:val="00333267"/>
    <w:rsid w:val="0033565D"/>
    <w:rsid w:val="003356F0"/>
    <w:rsid w:val="00336C64"/>
    <w:rsid w:val="00337162"/>
    <w:rsid w:val="003404DE"/>
    <w:rsid w:val="00340D32"/>
    <w:rsid w:val="0034131E"/>
    <w:rsid w:val="0034194F"/>
    <w:rsid w:val="00342647"/>
    <w:rsid w:val="00343188"/>
    <w:rsid w:val="00343E9D"/>
    <w:rsid w:val="00344605"/>
    <w:rsid w:val="00345BC6"/>
    <w:rsid w:val="00346E82"/>
    <w:rsid w:val="003474AA"/>
    <w:rsid w:val="00347A2B"/>
    <w:rsid w:val="00350D1D"/>
    <w:rsid w:val="00352C83"/>
    <w:rsid w:val="00353D15"/>
    <w:rsid w:val="003551C4"/>
    <w:rsid w:val="00355A3C"/>
    <w:rsid w:val="00356544"/>
    <w:rsid w:val="00356DA8"/>
    <w:rsid w:val="00357E13"/>
    <w:rsid w:val="00360873"/>
    <w:rsid w:val="003615D2"/>
    <w:rsid w:val="0036429C"/>
    <w:rsid w:val="00364A53"/>
    <w:rsid w:val="003654CB"/>
    <w:rsid w:val="00365AA9"/>
    <w:rsid w:val="00365F86"/>
    <w:rsid w:val="00365F87"/>
    <w:rsid w:val="00366E89"/>
    <w:rsid w:val="00367F20"/>
    <w:rsid w:val="003705F4"/>
    <w:rsid w:val="00370D58"/>
    <w:rsid w:val="00370D9F"/>
    <w:rsid w:val="00371316"/>
    <w:rsid w:val="0037340A"/>
    <w:rsid w:val="00376713"/>
    <w:rsid w:val="00381815"/>
    <w:rsid w:val="003819AF"/>
    <w:rsid w:val="003820E9"/>
    <w:rsid w:val="00382DE7"/>
    <w:rsid w:val="003830D2"/>
    <w:rsid w:val="00383174"/>
    <w:rsid w:val="00384F56"/>
    <w:rsid w:val="00384FFC"/>
    <w:rsid w:val="00386462"/>
    <w:rsid w:val="003872FC"/>
    <w:rsid w:val="00387ADC"/>
    <w:rsid w:val="00390020"/>
    <w:rsid w:val="003903D6"/>
    <w:rsid w:val="00390EE6"/>
    <w:rsid w:val="0039118F"/>
    <w:rsid w:val="00392AD7"/>
    <w:rsid w:val="00392F7D"/>
    <w:rsid w:val="003938D9"/>
    <w:rsid w:val="00394376"/>
    <w:rsid w:val="003943FF"/>
    <w:rsid w:val="0039482B"/>
    <w:rsid w:val="003974EB"/>
    <w:rsid w:val="00397561"/>
    <w:rsid w:val="00397CC5"/>
    <w:rsid w:val="003A0751"/>
    <w:rsid w:val="003A1582"/>
    <w:rsid w:val="003A38F4"/>
    <w:rsid w:val="003A4077"/>
    <w:rsid w:val="003A6B66"/>
    <w:rsid w:val="003B09AD"/>
    <w:rsid w:val="003B1F18"/>
    <w:rsid w:val="003B4B60"/>
    <w:rsid w:val="003B5B1A"/>
    <w:rsid w:val="003B5BF0"/>
    <w:rsid w:val="003B60BF"/>
    <w:rsid w:val="003B628B"/>
    <w:rsid w:val="003B6BE3"/>
    <w:rsid w:val="003C010C"/>
    <w:rsid w:val="003C0A6C"/>
    <w:rsid w:val="003C14F8"/>
    <w:rsid w:val="003C2A84"/>
    <w:rsid w:val="003C2EF8"/>
    <w:rsid w:val="003C343A"/>
    <w:rsid w:val="003C47DE"/>
    <w:rsid w:val="003C4CB9"/>
    <w:rsid w:val="003C4E3F"/>
    <w:rsid w:val="003C4F52"/>
    <w:rsid w:val="003C5A43"/>
    <w:rsid w:val="003D0519"/>
    <w:rsid w:val="003D0FF6"/>
    <w:rsid w:val="003D12B5"/>
    <w:rsid w:val="003D1576"/>
    <w:rsid w:val="003D2001"/>
    <w:rsid w:val="003D2258"/>
    <w:rsid w:val="003D262C"/>
    <w:rsid w:val="003D4CCF"/>
    <w:rsid w:val="003D6538"/>
    <w:rsid w:val="003D6D61"/>
    <w:rsid w:val="003E091D"/>
    <w:rsid w:val="003E1C53"/>
    <w:rsid w:val="003E2A69"/>
    <w:rsid w:val="003E2D49"/>
    <w:rsid w:val="003E2FD4"/>
    <w:rsid w:val="003E338A"/>
    <w:rsid w:val="003E49F6"/>
    <w:rsid w:val="003E55C6"/>
    <w:rsid w:val="003E660F"/>
    <w:rsid w:val="003E66C0"/>
    <w:rsid w:val="003E6984"/>
    <w:rsid w:val="003F0841"/>
    <w:rsid w:val="003F179E"/>
    <w:rsid w:val="003F23D3"/>
    <w:rsid w:val="003F2B95"/>
    <w:rsid w:val="003F2E6B"/>
    <w:rsid w:val="003F3F08"/>
    <w:rsid w:val="003F4021"/>
    <w:rsid w:val="003F49F1"/>
    <w:rsid w:val="003F5E32"/>
    <w:rsid w:val="003F6272"/>
    <w:rsid w:val="00400E72"/>
    <w:rsid w:val="00401400"/>
    <w:rsid w:val="0040300B"/>
    <w:rsid w:val="0040305D"/>
    <w:rsid w:val="004035F1"/>
    <w:rsid w:val="00404644"/>
    <w:rsid w:val="00404869"/>
    <w:rsid w:val="0040580D"/>
    <w:rsid w:val="00405884"/>
    <w:rsid w:val="00406D48"/>
    <w:rsid w:val="00407817"/>
    <w:rsid w:val="00407D39"/>
    <w:rsid w:val="00412599"/>
    <w:rsid w:val="00412C42"/>
    <w:rsid w:val="0041451C"/>
    <w:rsid w:val="0041477A"/>
    <w:rsid w:val="00414F1E"/>
    <w:rsid w:val="00415674"/>
    <w:rsid w:val="00415804"/>
    <w:rsid w:val="004167A3"/>
    <w:rsid w:val="004262E7"/>
    <w:rsid w:val="00427DB9"/>
    <w:rsid w:val="00432DAA"/>
    <w:rsid w:val="004336DC"/>
    <w:rsid w:val="00434305"/>
    <w:rsid w:val="00435A9B"/>
    <w:rsid w:val="00435DF7"/>
    <w:rsid w:val="004363FF"/>
    <w:rsid w:val="00437D9F"/>
    <w:rsid w:val="0044083F"/>
    <w:rsid w:val="00441AE7"/>
    <w:rsid w:val="004439E2"/>
    <w:rsid w:val="004443B5"/>
    <w:rsid w:val="00444BEF"/>
    <w:rsid w:val="00445574"/>
    <w:rsid w:val="00445BCB"/>
    <w:rsid w:val="004467C5"/>
    <w:rsid w:val="004467FB"/>
    <w:rsid w:val="00447E45"/>
    <w:rsid w:val="00451798"/>
    <w:rsid w:val="00451DCF"/>
    <w:rsid w:val="00452D6B"/>
    <w:rsid w:val="00454484"/>
    <w:rsid w:val="0045517B"/>
    <w:rsid w:val="004576EC"/>
    <w:rsid w:val="004625AF"/>
    <w:rsid w:val="00462E42"/>
    <w:rsid w:val="00463B77"/>
    <w:rsid w:val="00463C7B"/>
    <w:rsid w:val="004644A6"/>
    <w:rsid w:val="004646CD"/>
    <w:rsid w:val="004659BD"/>
    <w:rsid w:val="00466FD1"/>
    <w:rsid w:val="004678A4"/>
    <w:rsid w:val="004679EF"/>
    <w:rsid w:val="00470775"/>
    <w:rsid w:val="00471007"/>
    <w:rsid w:val="00472D20"/>
    <w:rsid w:val="004746B1"/>
    <w:rsid w:val="004755AB"/>
    <w:rsid w:val="0047583F"/>
    <w:rsid w:val="00475DE8"/>
    <w:rsid w:val="00481093"/>
    <w:rsid w:val="00481C44"/>
    <w:rsid w:val="0048454F"/>
    <w:rsid w:val="00484936"/>
    <w:rsid w:val="00484ED7"/>
    <w:rsid w:val="00485C89"/>
    <w:rsid w:val="0048668F"/>
    <w:rsid w:val="00486BE3"/>
    <w:rsid w:val="004905E4"/>
    <w:rsid w:val="00490A89"/>
    <w:rsid w:val="00490AB4"/>
    <w:rsid w:val="004913B9"/>
    <w:rsid w:val="00492F02"/>
    <w:rsid w:val="004939AE"/>
    <w:rsid w:val="0049797E"/>
    <w:rsid w:val="004A12DF"/>
    <w:rsid w:val="004A1BA8"/>
    <w:rsid w:val="004A4B57"/>
    <w:rsid w:val="004A63FA"/>
    <w:rsid w:val="004B0272"/>
    <w:rsid w:val="004B2701"/>
    <w:rsid w:val="004B2E1B"/>
    <w:rsid w:val="004B3AA8"/>
    <w:rsid w:val="004B3E47"/>
    <w:rsid w:val="004B3E93"/>
    <w:rsid w:val="004C1FBC"/>
    <w:rsid w:val="004C284D"/>
    <w:rsid w:val="004C296F"/>
    <w:rsid w:val="004C33E4"/>
    <w:rsid w:val="004C3F1D"/>
    <w:rsid w:val="004C458D"/>
    <w:rsid w:val="004C7556"/>
    <w:rsid w:val="004C7E8B"/>
    <w:rsid w:val="004C7E9D"/>
    <w:rsid w:val="004C7F67"/>
    <w:rsid w:val="004D076D"/>
    <w:rsid w:val="004D0EF1"/>
    <w:rsid w:val="004D2253"/>
    <w:rsid w:val="004D2E97"/>
    <w:rsid w:val="004D3403"/>
    <w:rsid w:val="004D3BE5"/>
    <w:rsid w:val="004D3EB1"/>
    <w:rsid w:val="004D4406"/>
    <w:rsid w:val="004D488F"/>
    <w:rsid w:val="004D7C42"/>
    <w:rsid w:val="004E0465"/>
    <w:rsid w:val="004E080C"/>
    <w:rsid w:val="004E127B"/>
    <w:rsid w:val="004E1C0A"/>
    <w:rsid w:val="004E30C5"/>
    <w:rsid w:val="004E4AA5"/>
    <w:rsid w:val="004E4AEE"/>
    <w:rsid w:val="004E59E3"/>
    <w:rsid w:val="004E61E5"/>
    <w:rsid w:val="004E67C0"/>
    <w:rsid w:val="004F1DE2"/>
    <w:rsid w:val="004F2C7F"/>
    <w:rsid w:val="004F327F"/>
    <w:rsid w:val="004F391A"/>
    <w:rsid w:val="004F3A2C"/>
    <w:rsid w:val="004F3CFB"/>
    <w:rsid w:val="004F3D10"/>
    <w:rsid w:val="004F3D61"/>
    <w:rsid w:val="004F6456"/>
    <w:rsid w:val="004F696E"/>
    <w:rsid w:val="004F6C71"/>
    <w:rsid w:val="004F6DFC"/>
    <w:rsid w:val="00500418"/>
    <w:rsid w:val="00501139"/>
    <w:rsid w:val="0050363E"/>
    <w:rsid w:val="005039BC"/>
    <w:rsid w:val="005043BB"/>
    <w:rsid w:val="00504A3D"/>
    <w:rsid w:val="00505767"/>
    <w:rsid w:val="0050593E"/>
    <w:rsid w:val="00506B1E"/>
    <w:rsid w:val="005073F0"/>
    <w:rsid w:val="00510658"/>
    <w:rsid w:val="00510A7B"/>
    <w:rsid w:val="00512F6E"/>
    <w:rsid w:val="00513038"/>
    <w:rsid w:val="00514174"/>
    <w:rsid w:val="005151F0"/>
    <w:rsid w:val="00515C5C"/>
    <w:rsid w:val="00516088"/>
    <w:rsid w:val="00516B0B"/>
    <w:rsid w:val="005176CB"/>
    <w:rsid w:val="005220EC"/>
    <w:rsid w:val="0052217D"/>
    <w:rsid w:val="0052356B"/>
    <w:rsid w:val="00523D6A"/>
    <w:rsid w:val="00523EB0"/>
    <w:rsid w:val="00523F95"/>
    <w:rsid w:val="00524D65"/>
    <w:rsid w:val="00525B16"/>
    <w:rsid w:val="00533D04"/>
    <w:rsid w:val="00534502"/>
    <w:rsid w:val="00534804"/>
    <w:rsid w:val="00534BDF"/>
    <w:rsid w:val="00534E27"/>
    <w:rsid w:val="005354EA"/>
    <w:rsid w:val="0053585F"/>
    <w:rsid w:val="00535EC4"/>
    <w:rsid w:val="00535ED9"/>
    <w:rsid w:val="00535F19"/>
    <w:rsid w:val="0053692B"/>
    <w:rsid w:val="00540B5F"/>
    <w:rsid w:val="00541853"/>
    <w:rsid w:val="00543BDA"/>
    <w:rsid w:val="005441CC"/>
    <w:rsid w:val="00545DB8"/>
    <w:rsid w:val="005479DA"/>
    <w:rsid w:val="00547BCC"/>
    <w:rsid w:val="0055013B"/>
    <w:rsid w:val="00551F6F"/>
    <w:rsid w:val="005536E4"/>
    <w:rsid w:val="00553760"/>
    <w:rsid w:val="00554935"/>
    <w:rsid w:val="00554A56"/>
    <w:rsid w:val="00555044"/>
    <w:rsid w:val="0055555C"/>
    <w:rsid w:val="00556EE9"/>
    <w:rsid w:val="00560391"/>
    <w:rsid w:val="005608D5"/>
    <w:rsid w:val="00561475"/>
    <w:rsid w:val="00561542"/>
    <w:rsid w:val="00561A31"/>
    <w:rsid w:val="0056487B"/>
    <w:rsid w:val="00564FB9"/>
    <w:rsid w:val="0056514B"/>
    <w:rsid w:val="005673E9"/>
    <w:rsid w:val="005733AE"/>
    <w:rsid w:val="00573D9E"/>
    <w:rsid w:val="00573FC6"/>
    <w:rsid w:val="00574F5C"/>
    <w:rsid w:val="00575960"/>
    <w:rsid w:val="00575F73"/>
    <w:rsid w:val="005801E3"/>
    <w:rsid w:val="00581802"/>
    <w:rsid w:val="00583500"/>
    <w:rsid w:val="0058359B"/>
    <w:rsid w:val="005836A8"/>
    <w:rsid w:val="0058409C"/>
    <w:rsid w:val="00584262"/>
    <w:rsid w:val="00586630"/>
    <w:rsid w:val="0058770D"/>
    <w:rsid w:val="005878CB"/>
    <w:rsid w:val="00587ADD"/>
    <w:rsid w:val="0059176D"/>
    <w:rsid w:val="00591F77"/>
    <w:rsid w:val="005938E0"/>
    <w:rsid w:val="00593CB6"/>
    <w:rsid w:val="00596160"/>
    <w:rsid w:val="005966E2"/>
    <w:rsid w:val="00597007"/>
    <w:rsid w:val="005A05A6"/>
    <w:rsid w:val="005A0966"/>
    <w:rsid w:val="005A11B7"/>
    <w:rsid w:val="005A1F0D"/>
    <w:rsid w:val="005A260B"/>
    <w:rsid w:val="005A2A58"/>
    <w:rsid w:val="005A33C9"/>
    <w:rsid w:val="005A4A1B"/>
    <w:rsid w:val="005A7830"/>
    <w:rsid w:val="005A7FCE"/>
    <w:rsid w:val="005B0D96"/>
    <w:rsid w:val="005B0F3F"/>
    <w:rsid w:val="005B3A6A"/>
    <w:rsid w:val="005B4903"/>
    <w:rsid w:val="005B51CE"/>
    <w:rsid w:val="005B5885"/>
    <w:rsid w:val="005B5CD7"/>
    <w:rsid w:val="005B5E54"/>
    <w:rsid w:val="005B6CF6"/>
    <w:rsid w:val="005B7422"/>
    <w:rsid w:val="005B7666"/>
    <w:rsid w:val="005C29B8"/>
    <w:rsid w:val="005C4558"/>
    <w:rsid w:val="005C4D50"/>
    <w:rsid w:val="005C5F21"/>
    <w:rsid w:val="005C67E8"/>
    <w:rsid w:val="005C7156"/>
    <w:rsid w:val="005D0256"/>
    <w:rsid w:val="005D0C75"/>
    <w:rsid w:val="005D3D46"/>
    <w:rsid w:val="005D4171"/>
    <w:rsid w:val="005D6A95"/>
    <w:rsid w:val="005D6B2C"/>
    <w:rsid w:val="005D6D9C"/>
    <w:rsid w:val="005E2335"/>
    <w:rsid w:val="005E34CA"/>
    <w:rsid w:val="005E3C18"/>
    <w:rsid w:val="005E6812"/>
    <w:rsid w:val="005E7881"/>
    <w:rsid w:val="005E78E0"/>
    <w:rsid w:val="005F00DE"/>
    <w:rsid w:val="005F01EB"/>
    <w:rsid w:val="005F07DE"/>
    <w:rsid w:val="005F0D9C"/>
    <w:rsid w:val="005F24A0"/>
    <w:rsid w:val="005F284E"/>
    <w:rsid w:val="005F49D3"/>
    <w:rsid w:val="005F6518"/>
    <w:rsid w:val="006015CE"/>
    <w:rsid w:val="006024CE"/>
    <w:rsid w:val="00603338"/>
    <w:rsid w:val="00604784"/>
    <w:rsid w:val="00605A3A"/>
    <w:rsid w:val="0060627A"/>
    <w:rsid w:val="00606419"/>
    <w:rsid w:val="00606AA3"/>
    <w:rsid w:val="00607D29"/>
    <w:rsid w:val="00610B72"/>
    <w:rsid w:val="00612467"/>
    <w:rsid w:val="00612952"/>
    <w:rsid w:val="00614CC1"/>
    <w:rsid w:val="00615A9D"/>
    <w:rsid w:val="00617195"/>
    <w:rsid w:val="00617387"/>
    <w:rsid w:val="006205D6"/>
    <w:rsid w:val="006252D8"/>
    <w:rsid w:val="006259BC"/>
    <w:rsid w:val="0062636B"/>
    <w:rsid w:val="00632182"/>
    <w:rsid w:val="0063247A"/>
    <w:rsid w:val="00632AE0"/>
    <w:rsid w:val="00632DAB"/>
    <w:rsid w:val="00633277"/>
    <w:rsid w:val="00633360"/>
    <w:rsid w:val="00633C17"/>
    <w:rsid w:val="00634D9E"/>
    <w:rsid w:val="00635492"/>
    <w:rsid w:val="00636E3E"/>
    <w:rsid w:val="006379F7"/>
    <w:rsid w:val="00637D60"/>
    <w:rsid w:val="00637E4D"/>
    <w:rsid w:val="00640620"/>
    <w:rsid w:val="00641A1F"/>
    <w:rsid w:val="006421D4"/>
    <w:rsid w:val="00645904"/>
    <w:rsid w:val="00651ACB"/>
    <w:rsid w:val="00651C47"/>
    <w:rsid w:val="00652AB2"/>
    <w:rsid w:val="00653FED"/>
    <w:rsid w:val="00654EC0"/>
    <w:rsid w:val="0065525B"/>
    <w:rsid w:val="00655D4F"/>
    <w:rsid w:val="00656D29"/>
    <w:rsid w:val="006575DA"/>
    <w:rsid w:val="00657B39"/>
    <w:rsid w:val="00657F79"/>
    <w:rsid w:val="006601F4"/>
    <w:rsid w:val="006604FF"/>
    <w:rsid w:val="00661A51"/>
    <w:rsid w:val="00662522"/>
    <w:rsid w:val="006640E5"/>
    <w:rsid w:val="006646F1"/>
    <w:rsid w:val="00664929"/>
    <w:rsid w:val="00664F62"/>
    <w:rsid w:val="006655E1"/>
    <w:rsid w:val="006712C5"/>
    <w:rsid w:val="00672060"/>
    <w:rsid w:val="00672BFD"/>
    <w:rsid w:val="00674315"/>
    <w:rsid w:val="00676575"/>
    <w:rsid w:val="006770F4"/>
    <w:rsid w:val="00677A84"/>
    <w:rsid w:val="00677ED4"/>
    <w:rsid w:val="0068026D"/>
    <w:rsid w:val="00680A27"/>
    <w:rsid w:val="006815A3"/>
    <w:rsid w:val="006816A4"/>
    <w:rsid w:val="006819B8"/>
    <w:rsid w:val="0068266A"/>
    <w:rsid w:val="006840A6"/>
    <w:rsid w:val="006850CD"/>
    <w:rsid w:val="00685AAB"/>
    <w:rsid w:val="00687C3D"/>
    <w:rsid w:val="00691897"/>
    <w:rsid w:val="0069279B"/>
    <w:rsid w:val="006932FA"/>
    <w:rsid w:val="0069566A"/>
    <w:rsid w:val="006A0559"/>
    <w:rsid w:val="006A07AA"/>
    <w:rsid w:val="006A25E5"/>
    <w:rsid w:val="006A2B46"/>
    <w:rsid w:val="006A336D"/>
    <w:rsid w:val="006A37B9"/>
    <w:rsid w:val="006A48AC"/>
    <w:rsid w:val="006A66DC"/>
    <w:rsid w:val="006B2672"/>
    <w:rsid w:val="006B2FD0"/>
    <w:rsid w:val="006B30DF"/>
    <w:rsid w:val="006B5069"/>
    <w:rsid w:val="006B54BF"/>
    <w:rsid w:val="006B586B"/>
    <w:rsid w:val="006B5F44"/>
    <w:rsid w:val="006B5F90"/>
    <w:rsid w:val="006B62E4"/>
    <w:rsid w:val="006B6A45"/>
    <w:rsid w:val="006C0DC2"/>
    <w:rsid w:val="006C1BBA"/>
    <w:rsid w:val="006C2079"/>
    <w:rsid w:val="006C2D19"/>
    <w:rsid w:val="006C5A62"/>
    <w:rsid w:val="006C5D68"/>
    <w:rsid w:val="006C6976"/>
    <w:rsid w:val="006C6DD0"/>
    <w:rsid w:val="006C6DEF"/>
    <w:rsid w:val="006D0247"/>
    <w:rsid w:val="006D04EA"/>
    <w:rsid w:val="006D068D"/>
    <w:rsid w:val="006D16C4"/>
    <w:rsid w:val="006D3E96"/>
    <w:rsid w:val="006D4515"/>
    <w:rsid w:val="006D4BB1"/>
    <w:rsid w:val="006D5CD3"/>
    <w:rsid w:val="006D6593"/>
    <w:rsid w:val="006E1A0E"/>
    <w:rsid w:val="006E1D3E"/>
    <w:rsid w:val="006E3546"/>
    <w:rsid w:val="006E6B03"/>
    <w:rsid w:val="006F03A8"/>
    <w:rsid w:val="006F2ACA"/>
    <w:rsid w:val="006F2ADC"/>
    <w:rsid w:val="006F2BFE"/>
    <w:rsid w:val="006F31E9"/>
    <w:rsid w:val="006F6284"/>
    <w:rsid w:val="007002C5"/>
    <w:rsid w:val="00701DF8"/>
    <w:rsid w:val="00704387"/>
    <w:rsid w:val="0070470B"/>
    <w:rsid w:val="00707669"/>
    <w:rsid w:val="00711CBA"/>
    <w:rsid w:val="00711FB5"/>
    <w:rsid w:val="00712A01"/>
    <w:rsid w:val="007142CA"/>
    <w:rsid w:val="00714F58"/>
    <w:rsid w:val="007227DE"/>
    <w:rsid w:val="00722FBF"/>
    <w:rsid w:val="00722FC2"/>
    <w:rsid w:val="00724E1B"/>
    <w:rsid w:val="00725949"/>
    <w:rsid w:val="00727FA2"/>
    <w:rsid w:val="00730CBC"/>
    <w:rsid w:val="007322D9"/>
    <w:rsid w:val="00732BC0"/>
    <w:rsid w:val="00732CF3"/>
    <w:rsid w:val="007353C7"/>
    <w:rsid w:val="0073586F"/>
    <w:rsid w:val="0073713B"/>
    <w:rsid w:val="0073720F"/>
    <w:rsid w:val="00737796"/>
    <w:rsid w:val="0074165C"/>
    <w:rsid w:val="00742C35"/>
    <w:rsid w:val="007432CA"/>
    <w:rsid w:val="007439EB"/>
    <w:rsid w:val="00743A4E"/>
    <w:rsid w:val="00743CB4"/>
    <w:rsid w:val="00743F0A"/>
    <w:rsid w:val="007444E8"/>
    <w:rsid w:val="0074548E"/>
    <w:rsid w:val="00745773"/>
    <w:rsid w:val="0074674A"/>
    <w:rsid w:val="00746800"/>
    <w:rsid w:val="007501A8"/>
    <w:rsid w:val="00750D61"/>
    <w:rsid w:val="00750EE1"/>
    <w:rsid w:val="00751F19"/>
    <w:rsid w:val="00752B4D"/>
    <w:rsid w:val="00755402"/>
    <w:rsid w:val="00755C24"/>
    <w:rsid w:val="00756194"/>
    <w:rsid w:val="007561D9"/>
    <w:rsid w:val="00756B26"/>
    <w:rsid w:val="00756EDF"/>
    <w:rsid w:val="00757750"/>
    <w:rsid w:val="007600E3"/>
    <w:rsid w:val="007624A8"/>
    <w:rsid w:val="007626BF"/>
    <w:rsid w:val="00765C43"/>
    <w:rsid w:val="00765EFB"/>
    <w:rsid w:val="007671CA"/>
    <w:rsid w:val="00767C61"/>
    <w:rsid w:val="0077008A"/>
    <w:rsid w:val="00773C1F"/>
    <w:rsid w:val="00773D5F"/>
    <w:rsid w:val="0077487B"/>
    <w:rsid w:val="00774DA4"/>
    <w:rsid w:val="00776599"/>
    <w:rsid w:val="007767D9"/>
    <w:rsid w:val="007779BC"/>
    <w:rsid w:val="0078114B"/>
    <w:rsid w:val="00781318"/>
    <w:rsid w:val="00781DD2"/>
    <w:rsid w:val="00783ECF"/>
    <w:rsid w:val="0078413A"/>
    <w:rsid w:val="00784CC2"/>
    <w:rsid w:val="00791E31"/>
    <w:rsid w:val="00792D43"/>
    <w:rsid w:val="00792D8F"/>
    <w:rsid w:val="00795139"/>
    <w:rsid w:val="007959E8"/>
    <w:rsid w:val="00795C97"/>
    <w:rsid w:val="00795E9C"/>
    <w:rsid w:val="007A0138"/>
    <w:rsid w:val="007A0521"/>
    <w:rsid w:val="007A2E12"/>
    <w:rsid w:val="007A3475"/>
    <w:rsid w:val="007A3960"/>
    <w:rsid w:val="007A41C8"/>
    <w:rsid w:val="007A4B19"/>
    <w:rsid w:val="007A54CE"/>
    <w:rsid w:val="007A6FD9"/>
    <w:rsid w:val="007A7575"/>
    <w:rsid w:val="007A7FFA"/>
    <w:rsid w:val="007B04EB"/>
    <w:rsid w:val="007B0D4F"/>
    <w:rsid w:val="007B26D8"/>
    <w:rsid w:val="007B3645"/>
    <w:rsid w:val="007B3A08"/>
    <w:rsid w:val="007B5A3D"/>
    <w:rsid w:val="007B5A8A"/>
    <w:rsid w:val="007B5B95"/>
    <w:rsid w:val="007B68EA"/>
    <w:rsid w:val="007B7453"/>
    <w:rsid w:val="007B7781"/>
    <w:rsid w:val="007C009E"/>
    <w:rsid w:val="007C2D89"/>
    <w:rsid w:val="007C4593"/>
    <w:rsid w:val="007C5309"/>
    <w:rsid w:val="007C6069"/>
    <w:rsid w:val="007C6CD2"/>
    <w:rsid w:val="007D0015"/>
    <w:rsid w:val="007D06C4"/>
    <w:rsid w:val="007D1352"/>
    <w:rsid w:val="007D2508"/>
    <w:rsid w:val="007D346A"/>
    <w:rsid w:val="007D44BC"/>
    <w:rsid w:val="007D49E2"/>
    <w:rsid w:val="007D56EB"/>
    <w:rsid w:val="007D6518"/>
    <w:rsid w:val="007D758F"/>
    <w:rsid w:val="007D76BD"/>
    <w:rsid w:val="007E036D"/>
    <w:rsid w:val="007E0512"/>
    <w:rsid w:val="007E0BF1"/>
    <w:rsid w:val="007E51E1"/>
    <w:rsid w:val="007F0ED8"/>
    <w:rsid w:val="007F0F63"/>
    <w:rsid w:val="007F1DC7"/>
    <w:rsid w:val="007F3259"/>
    <w:rsid w:val="007F4F22"/>
    <w:rsid w:val="007F75CE"/>
    <w:rsid w:val="00800873"/>
    <w:rsid w:val="008013A4"/>
    <w:rsid w:val="008027CE"/>
    <w:rsid w:val="00802C1F"/>
    <w:rsid w:val="00802F42"/>
    <w:rsid w:val="00802FBC"/>
    <w:rsid w:val="00804383"/>
    <w:rsid w:val="00804BB7"/>
    <w:rsid w:val="00804D41"/>
    <w:rsid w:val="00805645"/>
    <w:rsid w:val="008075EC"/>
    <w:rsid w:val="00810257"/>
    <w:rsid w:val="008104F5"/>
    <w:rsid w:val="00810CB3"/>
    <w:rsid w:val="00811072"/>
    <w:rsid w:val="00811369"/>
    <w:rsid w:val="00812895"/>
    <w:rsid w:val="00813A12"/>
    <w:rsid w:val="00815419"/>
    <w:rsid w:val="00815759"/>
    <w:rsid w:val="008163C8"/>
    <w:rsid w:val="008164A1"/>
    <w:rsid w:val="00817325"/>
    <w:rsid w:val="0082009B"/>
    <w:rsid w:val="008207BC"/>
    <w:rsid w:val="008209E6"/>
    <w:rsid w:val="0082256D"/>
    <w:rsid w:val="00823303"/>
    <w:rsid w:val="008233B2"/>
    <w:rsid w:val="00823961"/>
    <w:rsid w:val="00823A9F"/>
    <w:rsid w:val="00823C85"/>
    <w:rsid w:val="008241D1"/>
    <w:rsid w:val="00825138"/>
    <w:rsid w:val="008252AF"/>
    <w:rsid w:val="00825462"/>
    <w:rsid w:val="00825E04"/>
    <w:rsid w:val="00826866"/>
    <w:rsid w:val="008269DD"/>
    <w:rsid w:val="00830621"/>
    <w:rsid w:val="0083348C"/>
    <w:rsid w:val="008373D3"/>
    <w:rsid w:val="008375CC"/>
    <w:rsid w:val="008400FB"/>
    <w:rsid w:val="00840617"/>
    <w:rsid w:val="00840F84"/>
    <w:rsid w:val="00842A47"/>
    <w:rsid w:val="00843C13"/>
    <w:rsid w:val="00843F6A"/>
    <w:rsid w:val="008454F8"/>
    <w:rsid w:val="00846649"/>
    <w:rsid w:val="00846A50"/>
    <w:rsid w:val="008509AA"/>
    <w:rsid w:val="00851257"/>
    <w:rsid w:val="0085173A"/>
    <w:rsid w:val="00851C42"/>
    <w:rsid w:val="00853393"/>
    <w:rsid w:val="00853F62"/>
    <w:rsid w:val="00856EA5"/>
    <w:rsid w:val="008603CE"/>
    <w:rsid w:val="008619DB"/>
    <w:rsid w:val="008620DA"/>
    <w:rsid w:val="008620FC"/>
    <w:rsid w:val="008627A5"/>
    <w:rsid w:val="00863507"/>
    <w:rsid w:val="008635DC"/>
    <w:rsid w:val="00863E05"/>
    <w:rsid w:val="008655C4"/>
    <w:rsid w:val="00865ACA"/>
    <w:rsid w:val="00865D28"/>
    <w:rsid w:val="00865F85"/>
    <w:rsid w:val="00867C10"/>
    <w:rsid w:val="00870439"/>
    <w:rsid w:val="00870DA1"/>
    <w:rsid w:val="00871344"/>
    <w:rsid w:val="00872B75"/>
    <w:rsid w:val="00876A6F"/>
    <w:rsid w:val="008812F8"/>
    <w:rsid w:val="008816F9"/>
    <w:rsid w:val="00883F93"/>
    <w:rsid w:val="00884DB3"/>
    <w:rsid w:val="00885A9D"/>
    <w:rsid w:val="008864F6"/>
    <w:rsid w:val="008868B3"/>
    <w:rsid w:val="00887FE5"/>
    <w:rsid w:val="0089049D"/>
    <w:rsid w:val="00890521"/>
    <w:rsid w:val="00891107"/>
    <w:rsid w:val="008928C9"/>
    <w:rsid w:val="00892DE4"/>
    <w:rsid w:val="008930CB"/>
    <w:rsid w:val="008938DC"/>
    <w:rsid w:val="00893FD1"/>
    <w:rsid w:val="00894836"/>
    <w:rsid w:val="00895172"/>
    <w:rsid w:val="008955CE"/>
    <w:rsid w:val="00895680"/>
    <w:rsid w:val="00896DFF"/>
    <w:rsid w:val="0089762C"/>
    <w:rsid w:val="008979F4"/>
    <w:rsid w:val="00897F29"/>
    <w:rsid w:val="008A1893"/>
    <w:rsid w:val="008A57E6"/>
    <w:rsid w:val="008A6F81"/>
    <w:rsid w:val="008A769A"/>
    <w:rsid w:val="008B0C9C"/>
    <w:rsid w:val="008B166D"/>
    <w:rsid w:val="008B17F4"/>
    <w:rsid w:val="008B3615"/>
    <w:rsid w:val="008B3CC7"/>
    <w:rsid w:val="008B4663"/>
    <w:rsid w:val="008B4AC4"/>
    <w:rsid w:val="008B50C8"/>
    <w:rsid w:val="008B5281"/>
    <w:rsid w:val="008B6284"/>
    <w:rsid w:val="008B734B"/>
    <w:rsid w:val="008B7E05"/>
    <w:rsid w:val="008C0689"/>
    <w:rsid w:val="008C0823"/>
    <w:rsid w:val="008C1797"/>
    <w:rsid w:val="008C219C"/>
    <w:rsid w:val="008C475E"/>
    <w:rsid w:val="008C5153"/>
    <w:rsid w:val="008C619A"/>
    <w:rsid w:val="008C76D3"/>
    <w:rsid w:val="008D0CE8"/>
    <w:rsid w:val="008D2D1D"/>
    <w:rsid w:val="008D308B"/>
    <w:rsid w:val="008D453D"/>
    <w:rsid w:val="008D53AD"/>
    <w:rsid w:val="008D562B"/>
    <w:rsid w:val="008D5733"/>
    <w:rsid w:val="008D622B"/>
    <w:rsid w:val="008D666C"/>
    <w:rsid w:val="008D7B54"/>
    <w:rsid w:val="008E0C9D"/>
    <w:rsid w:val="008E1048"/>
    <w:rsid w:val="008E155C"/>
    <w:rsid w:val="008E1648"/>
    <w:rsid w:val="008E1B3E"/>
    <w:rsid w:val="008E1E21"/>
    <w:rsid w:val="008E2319"/>
    <w:rsid w:val="008E311D"/>
    <w:rsid w:val="008E45AE"/>
    <w:rsid w:val="008E45FC"/>
    <w:rsid w:val="008E4BB6"/>
    <w:rsid w:val="008E5518"/>
    <w:rsid w:val="008E620B"/>
    <w:rsid w:val="008E6A84"/>
    <w:rsid w:val="008E74AB"/>
    <w:rsid w:val="008E7912"/>
    <w:rsid w:val="008F0CDC"/>
    <w:rsid w:val="008F0FAE"/>
    <w:rsid w:val="008F17A3"/>
    <w:rsid w:val="008F1ED3"/>
    <w:rsid w:val="008F323F"/>
    <w:rsid w:val="008F3BD8"/>
    <w:rsid w:val="008F3E66"/>
    <w:rsid w:val="008F4C29"/>
    <w:rsid w:val="008F70BD"/>
    <w:rsid w:val="008F788F"/>
    <w:rsid w:val="008F7EA2"/>
    <w:rsid w:val="009016D7"/>
    <w:rsid w:val="009025D6"/>
    <w:rsid w:val="00902722"/>
    <w:rsid w:val="009027BC"/>
    <w:rsid w:val="009052D0"/>
    <w:rsid w:val="009062E6"/>
    <w:rsid w:val="00906E88"/>
    <w:rsid w:val="00907BCD"/>
    <w:rsid w:val="009100D2"/>
    <w:rsid w:val="009107B9"/>
    <w:rsid w:val="00910E79"/>
    <w:rsid w:val="00911BE5"/>
    <w:rsid w:val="00913CA9"/>
    <w:rsid w:val="00914589"/>
    <w:rsid w:val="009145AE"/>
    <w:rsid w:val="009146CE"/>
    <w:rsid w:val="00914CA7"/>
    <w:rsid w:val="00914CDB"/>
    <w:rsid w:val="00915C3E"/>
    <w:rsid w:val="00915CEC"/>
    <w:rsid w:val="009161A8"/>
    <w:rsid w:val="0091620B"/>
    <w:rsid w:val="00916406"/>
    <w:rsid w:val="009170C4"/>
    <w:rsid w:val="00921EB4"/>
    <w:rsid w:val="009245F5"/>
    <w:rsid w:val="009249EC"/>
    <w:rsid w:val="009252EA"/>
    <w:rsid w:val="009273B3"/>
    <w:rsid w:val="00927D8A"/>
    <w:rsid w:val="009305B5"/>
    <w:rsid w:val="00930FBA"/>
    <w:rsid w:val="00932E34"/>
    <w:rsid w:val="00934027"/>
    <w:rsid w:val="009341D5"/>
    <w:rsid w:val="009410D8"/>
    <w:rsid w:val="0094143B"/>
    <w:rsid w:val="009429D5"/>
    <w:rsid w:val="00942BF1"/>
    <w:rsid w:val="00944D3F"/>
    <w:rsid w:val="00944FA2"/>
    <w:rsid w:val="00945180"/>
    <w:rsid w:val="00945428"/>
    <w:rsid w:val="0094607B"/>
    <w:rsid w:val="00946C0B"/>
    <w:rsid w:val="00953604"/>
    <w:rsid w:val="00953686"/>
    <w:rsid w:val="0095496B"/>
    <w:rsid w:val="009571D7"/>
    <w:rsid w:val="00957BEE"/>
    <w:rsid w:val="009609D3"/>
    <w:rsid w:val="009610DC"/>
    <w:rsid w:val="00961490"/>
    <w:rsid w:val="00961F05"/>
    <w:rsid w:val="00962F0B"/>
    <w:rsid w:val="0096381A"/>
    <w:rsid w:val="00965188"/>
    <w:rsid w:val="00965E04"/>
    <w:rsid w:val="009674AD"/>
    <w:rsid w:val="00970CDC"/>
    <w:rsid w:val="00970E66"/>
    <w:rsid w:val="00972B60"/>
    <w:rsid w:val="0097447A"/>
    <w:rsid w:val="00974615"/>
    <w:rsid w:val="00974E0B"/>
    <w:rsid w:val="00975727"/>
    <w:rsid w:val="00977010"/>
    <w:rsid w:val="00977D02"/>
    <w:rsid w:val="009809BB"/>
    <w:rsid w:val="009816FE"/>
    <w:rsid w:val="0098364B"/>
    <w:rsid w:val="00985C28"/>
    <w:rsid w:val="009902F4"/>
    <w:rsid w:val="00990B48"/>
    <w:rsid w:val="009911AF"/>
    <w:rsid w:val="00991875"/>
    <w:rsid w:val="00991F92"/>
    <w:rsid w:val="00992985"/>
    <w:rsid w:val="00993889"/>
    <w:rsid w:val="0099551B"/>
    <w:rsid w:val="00995946"/>
    <w:rsid w:val="00997669"/>
    <w:rsid w:val="00997BF1"/>
    <w:rsid w:val="009A089C"/>
    <w:rsid w:val="009A118E"/>
    <w:rsid w:val="009A21CD"/>
    <w:rsid w:val="009A26C4"/>
    <w:rsid w:val="009A278C"/>
    <w:rsid w:val="009A2BC2"/>
    <w:rsid w:val="009A42C1"/>
    <w:rsid w:val="009A5336"/>
    <w:rsid w:val="009A5429"/>
    <w:rsid w:val="009A5707"/>
    <w:rsid w:val="009A72AD"/>
    <w:rsid w:val="009B0668"/>
    <w:rsid w:val="009B09E0"/>
    <w:rsid w:val="009B0BC5"/>
    <w:rsid w:val="009B0F9C"/>
    <w:rsid w:val="009B1247"/>
    <w:rsid w:val="009B6029"/>
    <w:rsid w:val="009B6971"/>
    <w:rsid w:val="009B6EA2"/>
    <w:rsid w:val="009B788B"/>
    <w:rsid w:val="009C08FC"/>
    <w:rsid w:val="009C1DDD"/>
    <w:rsid w:val="009C27F1"/>
    <w:rsid w:val="009C2DB0"/>
    <w:rsid w:val="009C3152"/>
    <w:rsid w:val="009C330D"/>
    <w:rsid w:val="009C3795"/>
    <w:rsid w:val="009C447A"/>
    <w:rsid w:val="009C4CFA"/>
    <w:rsid w:val="009C5070"/>
    <w:rsid w:val="009C5B71"/>
    <w:rsid w:val="009C6F9D"/>
    <w:rsid w:val="009D112C"/>
    <w:rsid w:val="009D1C59"/>
    <w:rsid w:val="009D3118"/>
    <w:rsid w:val="009D47FA"/>
    <w:rsid w:val="009D4C5B"/>
    <w:rsid w:val="009D50D2"/>
    <w:rsid w:val="009D651A"/>
    <w:rsid w:val="009D6BCA"/>
    <w:rsid w:val="009D7169"/>
    <w:rsid w:val="009D7EFD"/>
    <w:rsid w:val="009E0F62"/>
    <w:rsid w:val="009E2386"/>
    <w:rsid w:val="009E23D1"/>
    <w:rsid w:val="009E2961"/>
    <w:rsid w:val="009E4A58"/>
    <w:rsid w:val="009E5775"/>
    <w:rsid w:val="009E5A2D"/>
    <w:rsid w:val="009E5AB2"/>
    <w:rsid w:val="009E6219"/>
    <w:rsid w:val="009F03B3"/>
    <w:rsid w:val="009F11C4"/>
    <w:rsid w:val="009F1B5D"/>
    <w:rsid w:val="009F1EAE"/>
    <w:rsid w:val="009F2505"/>
    <w:rsid w:val="009F5232"/>
    <w:rsid w:val="009F55C4"/>
    <w:rsid w:val="009F56ED"/>
    <w:rsid w:val="00A0096C"/>
    <w:rsid w:val="00A01757"/>
    <w:rsid w:val="00A028C0"/>
    <w:rsid w:val="00A02BAE"/>
    <w:rsid w:val="00A06A6B"/>
    <w:rsid w:val="00A07A08"/>
    <w:rsid w:val="00A07A8E"/>
    <w:rsid w:val="00A07E47"/>
    <w:rsid w:val="00A129D0"/>
    <w:rsid w:val="00A12C33"/>
    <w:rsid w:val="00A138BA"/>
    <w:rsid w:val="00A14C8E"/>
    <w:rsid w:val="00A153D9"/>
    <w:rsid w:val="00A15F09"/>
    <w:rsid w:val="00A16114"/>
    <w:rsid w:val="00A169B6"/>
    <w:rsid w:val="00A17089"/>
    <w:rsid w:val="00A21941"/>
    <w:rsid w:val="00A2271D"/>
    <w:rsid w:val="00A237D5"/>
    <w:rsid w:val="00A25801"/>
    <w:rsid w:val="00A30316"/>
    <w:rsid w:val="00A304CC"/>
    <w:rsid w:val="00A30EFC"/>
    <w:rsid w:val="00A31984"/>
    <w:rsid w:val="00A32D73"/>
    <w:rsid w:val="00A3316A"/>
    <w:rsid w:val="00A3367B"/>
    <w:rsid w:val="00A34845"/>
    <w:rsid w:val="00A35428"/>
    <w:rsid w:val="00A3597D"/>
    <w:rsid w:val="00A35D51"/>
    <w:rsid w:val="00A36DD1"/>
    <w:rsid w:val="00A4006C"/>
    <w:rsid w:val="00A40091"/>
    <w:rsid w:val="00A4030F"/>
    <w:rsid w:val="00A41717"/>
    <w:rsid w:val="00A41C79"/>
    <w:rsid w:val="00A41CB5"/>
    <w:rsid w:val="00A42CDF"/>
    <w:rsid w:val="00A43230"/>
    <w:rsid w:val="00A4452E"/>
    <w:rsid w:val="00A4472C"/>
    <w:rsid w:val="00A44E69"/>
    <w:rsid w:val="00A453CA"/>
    <w:rsid w:val="00A45597"/>
    <w:rsid w:val="00A462F8"/>
    <w:rsid w:val="00A4661E"/>
    <w:rsid w:val="00A47C88"/>
    <w:rsid w:val="00A51947"/>
    <w:rsid w:val="00A55BD6"/>
    <w:rsid w:val="00A55D50"/>
    <w:rsid w:val="00A56BF3"/>
    <w:rsid w:val="00A56DE7"/>
    <w:rsid w:val="00A57142"/>
    <w:rsid w:val="00A6019A"/>
    <w:rsid w:val="00A6046E"/>
    <w:rsid w:val="00A629C8"/>
    <w:rsid w:val="00A64448"/>
    <w:rsid w:val="00A648CD"/>
    <w:rsid w:val="00A65288"/>
    <w:rsid w:val="00A6537A"/>
    <w:rsid w:val="00A67866"/>
    <w:rsid w:val="00A70B07"/>
    <w:rsid w:val="00A723F8"/>
    <w:rsid w:val="00A73469"/>
    <w:rsid w:val="00A743D8"/>
    <w:rsid w:val="00A77CCB"/>
    <w:rsid w:val="00A83D8D"/>
    <w:rsid w:val="00A8446B"/>
    <w:rsid w:val="00A8473F"/>
    <w:rsid w:val="00A848EB"/>
    <w:rsid w:val="00A861FF"/>
    <w:rsid w:val="00A862D6"/>
    <w:rsid w:val="00A8715E"/>
    <w:rsid w:val="00A87573"/>
    <w:rsid w:val="00A91236"/>
    <w:rsid w:val="00A9295B"/>
    <w:rsid w:val="00A93B09"/>
    <w:rsid w:val="00A952D7"/>
    <w:rsid w:val="00A963F7"/>
    <w:rsid w:val="00A96AD8"/>
    <w:rsid w:val="00A97FEB"/>
    <w:rsid w:val="00AA052C"/>
    <w:rsid w:val="00AA1E45"/>
    <w:rsid w:val="00AA4286"/>
    <w:rsid w:val="00AA4558"/>
    <w:rsid w:val="00AA456B"/>
    <w:rsid w:val="00AA57F5"/>
    <w:rsid w:val="00AA672E"/>
    <w:rsid w:val="00AA6EC9"/>
    <w:rsid w:val="00AB1F17"/>
    <w:rsid w:val="00AB3240"/>
    <w:rsid w:val="00AB36FD"/>
    <w:rsid w:val="00AB38C7"/>
    <w:rsid w:val="00AB6309"/>
    <w:rsid w:val="00AB6C5F"/>
    <w:rsid w:val="00AB7129"/>
    <w:rsid w:val="00AB7A64"/>
    <w:rsid w:val="00AC27A6"/>
    <w:rsid w:val="00AC30F7"/>
    <w:rsid w:val="00AC3A5A"/>
    <w:rsid w:val="00AC3E43"/>
    <w:rsid w:val="00AC4D95"/>
    <w:rsid w:val="00AC56C2"/>
    <w:rsid w:val="00AC5DF4"/>
    <w:rsid w:val="00AC6AFE"/>
    <w:rsid w:val="00AC75A4"/>
    <w:rsid w:val="00AD0AEF"/>
    <w:rsid w:val="00AD11B7"/>
    <w:rsid w:val="00AD1A94"/>
    <w:rsid w:val="00AD1C05"/>
    <w:rsid w:val="00AD1C46"/>
    <w:rsid w:val="00AD1F83"/>
    <w:rsid w:val="00AD4126"/>
    <w:rsid w:val="00AD421C"/>
    <w:rsid w:val="00AD44FA"/>
    <w:rsid w:val="00AD4A4F"/>
    <w:rsid w:val="00AD6FB6"/>
    <w:rsid w:val="00AE06D2"/>
    <w:rsid w:val="00AE070A"/>
    <w:rsid w:val="00AE101C"/>
    <w:rsid w:val="00AE2A69"/>
    <w:rsid w:val="00AE30C7"/>
    <w:rsid w:val="00AE369C"/>
    <w:rsid w:val="00AE37E5"/>
    <w:rsid w:val="00AE49E1"/>
    <w:rsid w:val="00AE5EB4"/>
    <w:rsid w:val="00AE69A5"/>
    <w:rsid w:val="00AE6F90"/>
    <w:rsid w:val="00AE7563"/>
    <w:rsid w:val="00AE79BF"/>
    <w:rsid w:val="00AE7B59"/>
    <w:rsid w:val="00AF0BA1"/>
    <w:rsid w:val="00AF0C18"/>
    <w:rsid w:val="00AF47C5"/>
    <w:rsid w:val="00AF47F8"/>
    <w:rsid w:val="00AF5398"/>
    <w:rsid w:val="00AF549B"/>
    <w:rsid w:val="00AF5816"/>
    <w:rsid w:val="00B00E06"/>
    <w:rsid w:val="00B0145F"/>
    <w:rsid w:val="00B020E6"/>
    <w:rsid w:val="00B049AF"/>
    <w:rsid w:val="00B067E9"/>
    <w:rsid w:val="00B07242"/>
    <w:rsid w:val="00B10534"/>
    <w:rsid w:val="00B113DB"/>
    <w:rsid w:val="00B11D8A"/>
    <w:rsid w:val="00B12981"/>
    <w:rsid w:val="00B13C6E"/>
    <w:rsid w:val="00B142B2"/>
    <w:rsid w:val="00B147DD"/>
    <w:rsid w:val="00B14E22"/>
    <w:rsid w:val="00B156FD"/>
    <w:rsid w:val="00B16913"/>
    <w:rsid w:val="00B208F4"/>
    <w:rsid w:val="00B21E93"/>
    <w:rsid w:val="00B21F61"/>
    <w:rsid w:val="00B246E0"/>
    <w:rsid w:val="00B261F1"/>
    <w:rsid w:val="00B265BC"/>
    <w:rsid w:val="00B31FB1"/>
    <w:rsid w:val="00B33952"/>
    <w:rsid w:val="00B33C5E"/>
    <w:rsid w:val="00B342F4"/>
    <w:rsid w:val="00B34369"/>
    <w:rsid w:val="00B34DC2"/>
    <w:rsid w:val="00B35AA6"/>
    <w:rsid w:val="00B377BA"/>
    <w:rsid w:val="00B378E5"/>
    <w:rsid w:val="00B4346D"/>
    <w:rsid w:val="00B440F4"/>
    <w:rsid w:val="00B447A5"/>
    <w:rsid w:val="00B448A6"/>
    <w:rsid w:val="00B454BD"/>
    <w:rsid w:val="00B461DF"/>
    <w:rsid w:val="00B4654C"/>
    <w:rsid w:val="00B47293"/>
    <w:rsid w:val="00B47F0C"/>
    <w:rsid w:val="00B50735"/>
    <w:rsid w:val="00B50826"/>
    <w:rsid w:val="00B50E50"/>
    <w:rsid w:val="00B50ED9"/>
    <w:rsid w:val="00B52120"/>
    <w:rsid w:val="00B54ABC"/>
    <w:rsid w:val="00B56FBE"/>
    <w:rsid w:val="00B57E55"/>
    <w:rsid w:val="00B60ACF"/>
    <w:rsid w:val="00B60B11"/>
    <w:rsid w:val="00B6277B"/>
    <w:rsid w:val="00B62A25"/>
    <w:rsid w:val="00B62B58"/>
    <w:rsid w:val="00B63D3C"/>
    <w:rsid w:val="00B64614"/>
    <w:rsid w:val="00B65149"/>
    <w:rsid w:val="00B658EF"/>
    <w:rsid w:val="00B65FEA"/>
    <w:rsid w:val="00B66567"/>
    <w:rsid w:val="00B66F52"/>
    <w:rsid w:val="00B66FE5"/>
    <w:rsid w:val="00B7014A"/>
    <w:rsid w:val="00B714B2"/>
    <w:rsid w:val="00B720E5"/>
    <w:rsid w:val="00B72880"/>
    <w:rsid w:val="00B734C4"/>
    <w:rsid w:val="00B74153"/>
    <w:rsid w:val="00B7452E"/>
    <w:rsid w:val="00B758BF"/>
    <w:rsid w:val="00B77EC8"/>
    <w:rsid w:val="00B804F3"/>
    <w:rsid w:val="00B81321"/>
    <w:rsid w:val="00B827A6"/>
    <w:rsid w:val="00B831CE"/>
    <w:rsid w:val="00B8479E"/>
    <w:rsid w:val="00B86677"/>
    <w:rsid w:val="00B86935"/>
    <w:rsid w:val="00B87131"/>
    <w:rsid w:val="00B9031F"/>
    <w:rsid w:val="00B939B1"/>
    <w:rsid w:val="00B961C3"/>
    <w:rsid w:val="00B96D40"/>
    <w:rsid w:val="00B97386"/>
    <w:rsid w:val="00B97F3B"/>
    <w:rsid w:val="00BA263B"/>
    <w:rsid w:val="00BA2B51"/>
    <w:rsid w:val="00BA42B2"/>
    <w:rsid w:val="00BA4C1F"/>
    <w:rsid w:val="00BA5089"/>
    <w:rsid w:val="00BA58D4"/>
    <w:rsid w:val="00BA5B9E"/>
    <w:rsid w:val="00BA6CCF"/>
    <w:rsid w:val="00BA7145"/>
    <w:rsid w:val="00BA767D"/>
    <w:rsid w:val="00BA7C9A"/>
    <w:rsid w:val="00BB2C59"/>
    <w:rsid w:val="00BB4640"/>
    <w:rsid w:val="00BB5654"/>
    <w:rsid w:val="00BB5C26"/>
    <w:rsid w:val="00BB5F8F"/>
    <w:rsid w:val="00BB6505"/>
    <w:rsid w:val="00BB657A"/>
    <w:rsid w:val="00BC1738"/>
    <w:rsid w:val="00BC1A4E"/>
    <w:rsid w:val="00BC1E84"/>
    <w:rsid w:val="00BC20C4"/>
    <w:rsid w:val="00BC24DC"/>
    <w:rsid w:val="00BC3A18"/>
    <w:rsid w:val="00BC5165"/>
    <w:rsid w:val="00BC5DC7"/>
    <w:rsid w:val="00BC6B8B"/>
    <w:rsid w:val="00BC714F"/>
    <w:rsid w:val="00BC73D8"/>
    <w:rsid w:val="00BC7F25"/>
    <w:rsid w:val="00BD126C"/>
    <w:rsid w:val="00BD2167"/>
    <w:rsid w:val="00BD30CD"/>
    <w:rsid w:val="00BD3716"/>
    <w:rsid w:val="00BD4C97"/>
    <w:rsid w:val="00BD52D7"/>
    <w:rsid w:val="00BD5AD2"/>
    <w:rsid w:val="00BD5CF9"/>
    <w:rsid w:val="00BD7593"/>
    <w:rsid w:val="00BE22F3"/>
    <w:rsid w:val="00BE30B8"/>
    <w:rsid w:val="00BE3280"/>
    <w:rsid w:val="00BE5B52"/>
    <w:rsid w:val="00BE5E51"/>
    <w:rsid w:val="00BE7A68"/>
    <w:rsid w:val="00BE7B8D"/>
    <w:rsid w:val="00BE7C4D"/>
    <w:rsid w:val="00BF0993"/>
    <w:rsid w:val="00BF10A9"/>
    <w:rsid w:val="00BF1703"/>
    <w:rsid w:val="00BF1808"/>
    <w:rsid w:val="00BF231C"/>
    <w:rsid w:val="00BF51E5"/>
    <w:rsid w:val="00BF74A6"/>
    <w:rsid w:val="00C013AD"/>
    <w:rsid w:val="00C03539"/>
    <w:rsid w:val="00C04904"/>
    <w:rsid w:val="00C04C52"/>
    <w:rsid w:val="00C056B3"/>
    <w:rsid w:val="00C07C37"/>
    <w:rsid w:val="00C103E5"/>
    <w:rsid w:val="00C11018"/>
    <w:rsid w:val="00C1144C"/>
    <w:rsid w:val="00C12990"/>
    <w:rsid w:val="00C13319"/>
    <w:rsid w:val="00C13EE9"/>
    <w:rsid w:val="00C21540"/>
    <w:rsid w:val="00C21906"/>
    <w:rsid w:val="00C21BFA"/>
    <w:rsid w:val="00C23456"/>
    <w:rsid w:val="00C24C8D"/>
    <w:rsid w:val="00C25FE2"/>
    <w:rsid w:val="00C268BD"/>
    <w:rsid w:val="00C26B53"/>
    <w:rsid w:val="00C26E96"/>
    <w:rsid w:val="00C279B2"/>
    <w:rsid w:val="00C3181D"/>
    <w:rsid w:val="00C33014"/>
    <w:rsid w:val="00C33394"/>
    <w:rsid w:val="00C33E50"/>
    <w:rsid w:val="00C34C20"/>
    <w:rsid w:val="00C35A3E"/>
    <w:rsid w:val="00C378AF"/>
    <w:rsid w:val="00C40A27"/>
    <w:rsid w:val="00C4149C"/>
    <w:rsid w:val="00C42130"/>
    <w:rsid w:val="00C42288"/>
    <w:rsid w:val="00C423A4"/>
    <w:rsid w:val="00C42A40"/>
    <w:rsid w:val="00C42DD5"/>
    <w:rsid w:val="00C43BA6"/>
    <w:rsid w:val="00C44BF5"/>
    <w:rsid w:val="00C50871"/>
    <w:rsid w:val="00C521D6"/>
    <w:rsid w:val="00C52523"/>
    <w:rsid w:val="00C55232"/>
    <w:rsid w:val="00C553A4"/>
    <w:rsid w:val="00C55A06"/>
    <w:rsid w:val="00C55D03"/>
    <w:rsid w:val="00C572C1"/>
    <w:rsid w:val="00C574FC"/>
    <w:rsid w:val="00C601BC"/>
    <w:rsid w:val="00C60A3C"/>
    <w:rsid w:val="00C6329F"/>
    <w:rsid w:val="00C63340"/>
    <w:rsid w:val="00C63BEF"/>
    <w:rsid w:val="00C643F9"/>
    <w:rsid w:val="00C64E95"/>
    <w:rsid w:val="00C65200"/>
    <w:rsid w:val="00C71372"/>
    <w:rsid w:val="00C72364"/>
    <w:rsid w:val="00C72410"/>
    <w:rsid w:val="00C7287F"/>
    <w:rsid w:val="00C73135"/>
    <w:rsid w:val="00C735A0"/>
    <w:rsid w:val="00C7523A"/>
    <w:rsid w:val="00C75C8C"/>
    <w:rsid w:val="00C77009"/>
    <w:rsid w:val="00C77CA0"/>
    <w:rsid w:val="00C80CB8"/>
    <w:rsid w:val="00C819F8"/>
    <w:rsid w:val="00C8248C"/>
    <w:rsid w:val="00C84E33"/>
    <w:rsid w:val="00C85156"/>
    <w:rsid w:val="00C85982"/>
    <w:rsid w:val="00C86D6F"/>
    <w:rsid w:val="00C905FC"/>
    <w:rsid w:val="00C92D03"/>
    <w:rsid w:val="00C9319C"/>
    <w:rsid w:val="00C9401D"/>
    <w:rsid w:val="00C9435D"/>
    <w:rsid w:val="00C94DF2"/>
    <w:rsid w:val="00C94F88"/>
    <w:rsid w:val="00C96741"/>
    <w:rsid w:val="00C96FE9"/>
    <w:rsid w:val="00CA2D1B"/>
    <w:rsid w:val="00CA375D"/>
    <w:rsid w:val="00CA3785"/>
    <w:rsid w:val="00CA4217"/>
    <w:rsid w:val="00CA662A"/>
    <w:rsid w:val="00CA7AFD"/>
    <w:rsid w:val="00CA7C3C"/>
    <w:rsid w:val="00CB0189"/>
    <w:rsid w:val="00CB0BA2"/>
    <w:rsid w:val="00CB1A42"/>
    <w:rsid w:val="00CB1B0C"/>
    <w:rsid w:val="00CB2C0B"/>
    <w:rsid w:val="00CB3658"/>
    <w:rsid w:val="00CB4556"/>
    <w:rsid w:val="00CB517D"/>
    <w:rsid w:val="00CC038D"/>
    <w:rsid w:val="00CC08DB"/>
    <w:rsid w:val="00CC39FF"/>
    <w:rsid w:val="00CC3C2F"/>
    <w:rsid w:val="00CC47D9"/>
    <w:rsid w:val="00CC4AC8"/>
    <w:rsid w:val="00CC4BD7"/>
    <w:rsid w:val="00CC5233"/>
    <w:rsid w:val="00CC5DE6"/>
    <w:rsid w:val="00CC6CAE"/>
    <w:rsid w:val="00CC6E4E"/>
    <w:rsid w:val="00CC6FE8"/>
    <w:rsid w:val="00CC7202"/>
    <w:rsid w:val="00CD2808"/>
    <w:rsid w:val="00CD28BF"/>
    <w:rsid w:val="00CD4092"/>
    <w:rsid w:val="00CD4A20"/>
    <w:rsid w:val="00CD50A1"/>
    <w:rsid w:val="00CD519E"/>
    <w:rsid w:val="00CE0C4F"/>
    <w:rsid w:val="00CE30EA"/>
    <w:rsid w:val="00CE653B"/>
    <w:rsid w:val="00CE7283"/>
    <w:rsid w:val="00CF048A"/>
    <w:rsid w:val="00CF155A"/>
    <w:rsid w:val="00CF2947"/>
    <w:rsid w:val="00CF686F"/>
    <w:rsid w:val="00CF6E60"/>
    <w:rsid w:val="00CF7BCA"/>
    <w:rsid w:val="00D00716"/>
    <w:rsid w:val="00D008FD"/>
    <w:rsid w:val="00D0209D"/>
    <w:rsid w:val="00D0321C"/>
    <w:rsid w:val="00D03239"/>
    <w:rsid w:val="00D035EC"/>
    <w:rsid w:val="00D04A68"/>
    <w:rsid w:val="00D05942"/>
    <w:rsid w:val="00D05E82"/>
    <w:rsid w:val="00D06AB1"/>
    <w:rsid w:val="00D06CB6"/>
    <w:rsid w:val="00D072ED"/>
    <w:rsid w:val="00D07A16"/>
    <w:rsid w:val="00D07D0E"/>
    <w:rsid w:val="00D1067E"/>
    <w:rsid w:val="00D10F50"/>
    <w:rsid w:val="00D11272"/>
    <w:rsid w:val="00D11CBE"/>
    <w:rsid w:val="00D126F5"/>
    <w:rsid w:val="00D14068"/>
    <w:rsid w:val="00D1489E"/>
    <w:rsid w:val="00D1598A"/>
    <w:rsid w:val="00D20737"/>
    <w:rsid w:val="00D20B4D"/>
    <w:rsid w:val="00D218B7"/>
    <w:rsid w:val="00D21E81"/>
    <w:rsid w:val="00D223DE"/>
    <w:rsid w:val="00D23A57"/>
    <w:rsid w:val="00D2504F"/>
    <w:rsid w:val="00D25E37"/>
    <w:rsid w:val="00D2661A"/>
    <w:rsid w:val="00D27582"/>
    <w:rsid w:val="00D27A98"/>
    <w:rsid w:val="00D27EC4"/>
    <w:rsid w:val="00D314B6"/>
    <w:rsid w:val="00D3190D"/>
    <w:rsid w:val="00D32719"/>
    <w:rsid w:val="00D33333"/>
    <w:rsid w:val="00D33B17"/>
    <w:rsid w:val="00D33E45"/>
    <w:rsid w:val="00D352A2"/>
    <w:rsid w:val="00D3552B"/>
    <w:rsid w:val="00D359F7"/>
    <w:rsid w:val="00D4162B"/>
    <w:rsid w:val="00D43CDF"/>
    <w:rsid w:val="00D4514F"/>
    <w:rsid w:val="00D451E2"/>
    <w:rsid w:val="00D45E89"/>
    <w:rsid w:val="00D45E8D"/>
    <w:rsid w:val="00D466AE"/>
    <w:rsid w:val="00D4719B"/>
    <w:rsid w:val="00D4734F"/>
    <w:rsid w:val="00D51BF3"/>
    <w:rsid w:val="00D52449"/>
    <w:rsid w:val="00D52B22"/>
    <w:rsid w:val="00D53608"/>
    <w:rsid w:val="00D55CB0"/>
    <w:rsid w:val="00D62381"/>
    <w:rsid w:val="00D636D6"/>
    <w:rsid w:val="00D637C5"/>
    <w:rsid w:val="00D63B27"/>
    <w:rsid w:val="00D65944"/>
    <w:rsid w:val="00D66846"/>
    <w:rsid w:val="00D67501"/>
    <w:rsid w:val="00D675FB"/>
    <w:rsid w:val="00D67EEE"/>
    <w:rsid w:val="00D71F25"/>
    <w:rsid w:val="00D72A9C"/>
    <w:rsid w:val="00D72E7C"/>
    <w:rsid w:val="00D74575"/>
    <w:rsid w:val="00D75EAE"/>
    <w:rsid w:val="00D77031"/>
    <w:rsid w:val="00D80CCD"/>
    <w:rsid w:val="00D84941"/>
    <w:rsid w:val="00D84FA1"/>
    <w:rsid w:val="00D851F0"/>
    <w:rsid w:val="00D85C91"/>
    <w:rsid w:val="00D86B4A"/>
    <w:rsid w:val="00D86DB7"/>
    <w:rsid w:val="00D9094B"/>
    <w:rsid w:val="00D926D0"/>
    <w:rsid w:val="00D92D86"/>
    <w:rsid w:val="00D93030"/>
    <w:rsid w:val="00D9337F"/>
    <w:rsid w:val="00D93D74"/>
    <w:rsid w:val="00D94454"/>
    <w:rsid w:val="00D950E1"/>
    <w:rsid w:val="00D952A6"/>
    <w:rsid w:val="00D962C6"/>
    <w:rsid w:val="00D96520"/>
    <w:rsid w:val="00D971A3"/>
    <w:rsid w:val="00D97F99"/>
    <w:rsid w:val="00DA1E08"/>
    <w:rsid w:val="00DA2465"/>
    <w:rsid w:val="00DA24F8"/>
    <w:rsid w:val="00DA28E8"/>
    <w:rsid w:val="00DA38D3"/>
    <w:rsid w:val="00DA3932"/>
    <w:rsid w:val="00DA3AFC"/>
    <w:rsid w:val="00DA5436"/>
    <w:rsid w:val="00DA587C"/>
    <w:rsid w:val="00DA64F8"/>
    <w:rsid w:val="00DA6C15"/>
    <w:rsid w:val="00DB0258"/>
    <w:rsid w:val="00DB24DF"/>
    <w:rsid w:val="00DB38EE"/>
    <w:rsid w:val="00DB498B"/>
    <w:rsid w:val="00DB66CA"/>
    <w:rsid w:val="00DB6BCA"/>
    <w:rsid w:val="00DB6DA1"/>
    <w:rsid w:val="00DB73F7"/>
    <w:rsid w:val="00DB7CA4"/>
    <w:rsid w:val="00DC0321"/>
    <w:rsid w:val="00DC1A15"/>
    <w:rsid w:val="00DC3067"/>
    <w:rsid w:val="00DC370B"/>
    <w:rsid w:val="00DC4CF3"/>
    <w:rsid w:val="00DC5B90"/>
    <w:rsid w:val="00DC678F"/>
    <w:rsid w:val="00DC7513"/>
    <w:rsid w:val="00DD00FF"/>
    <w:rsid w:val="00DD0619"/>
    <w:rsid w:val="00DD07FB"/>
    <w:rsid w:val="00DD25C6"/>
    <w:rsid w:val="00DD45BE"/>
    <w:rsid w:val="00DD4FE5"/>
    <w:rsid w:val="00DD5100"/>
    <w:rsid w:val="00DD54B0"/>
    <w:rsid w:val="00DD57EE"/>
    <w:rsid w:val="00DD5B83"/>
    <w:rsid w:val="00DD6BCC"/>
    <w:rsid w:val="00DD7E62"/>
    <w:rsid w:val="00DE0A4B"/>
    <w:rsid w:val="00DE0D25"/>
    <w:rsid w:val="00DE2410"/>
    <w:rsid w:val="00DE2939"/>
    <w:rsid w:val="00DE6E81"/>
    <w:rsid w:val="00DE703F"/>
    <w:rsid w:val="00DE7595"/>
    <w:rsid w:val="00DF1961"/>
    <w:rsid w:val="00DF224E"/>
    <w:rsid w:val="00DF44DE"/>
    <w:rsid w:val="00DF6C12"/>
    <w:rsid w:val="00E01138"/>
    <w:rsid w:val="00E02D51"/>
    <w:rsid w:val="00E02DFB"/>
    <w:rsid w:val="00E030F9"/>
    <w:rsid w:val="00E0311A"/>
    <w:rsid w:val="00E03138"/>
    <w:rsid w:val="00E03461"/>
    <w:rsid w:val="00E06404"/>
    <w:rsid w:val="00E07EA3"/>
    <w:rsid w:val="00E11A85"/>
    <w:rsid w:val="00E1239D"/>
    <w:rsid w:val="00E12495"/>
    <w:rsid w:val="00E15CCD"/>
    <w:rsid w:val="00E202EF"/>
    <w:rsid w:val="00E2052A"/>
    <w:rsid w:val="00E210B5"/>
    <w:rsid w:val="00E2552F"/>
    <w:rsid w:val="00E30A4A"/>
    <w:rsid w:val="00E3107E"/>
    <w:rsid w:val="00E3137A"/>
    <w:rsid w:val="00E32CCF"/>
    <w:rsid w:val="00E33D27"/>
    <w:rsid w:val="00E34A98"/>
    <w:rsid w:val="00E35D1E"/>
    <w:rsid w:val="00E35D68"/>
    <w:rsid w:val="00E364F9"/>
    <w:rsid w:val="00E365FA"/>
    <w:rsid w:val="00E36789"/>
    <w:rsid w:val="00E37AE5"/>
    <w:rsid w:val="00E37FA5"/>
    <w:rsid w:val="00E43326"/>
    <w:rsid w:val="00E44A83"/>
    <w:rsid w:val="00E502C1"/>
    <w:rsid w:val="00E502DD"/>
    <w:rsid w:val="00E50D3A"/>
    <w:rsid w:val="00E51387"/>
    <w:rsid w:val="00E51E68"/>
    <w:rsid w:val="00E52B1B"/>
    <w:rsid w:val="00E52EFD"/>
    <w:rsid w:val="00E5408A"/>
    <w:rsid w:val="00E55C8F"/>
    <w:rsid w:val="00E56800"/>
    <w:rsid w:val="00E57A5C"/>
    <w:rsid w:val="00E60C63"/>
    <w:rsid w:val="00E62FF9"/>
    <w:rsid w:val="00E635D6"/>
    <w:rsid w:val="00E639BC"/>
    <w:rsid w:val="00E664CC"/>
    <w:rsid w:val="00E67C56"/>
    <w:rsid w:val="00E70388"/>
    <w:rsid w:val="00E70F92"/>
    <w:rsid w:val="00E73F5E"/>
    <w:rsid w:val="00E74C54"/>
    <w:rsid w:val="00E74CC4"/>
    <w:rsid w:val="00E75666"/>
    <w:rsid w:val="00E77A03"/>
    <w:rsid w:val="00E822E8"/>
    <w:rsid w:val="00E82554"/>
    <w:rsid w:val="00E82606"/>
    <w:rsid w:val="00E846C8"/>
    <w:rsid w:val="00E84957"/>
    <w:rsid w:val="00E84A55"/>
    <w:rsid w:val="00E84E35"/>
    <w:rsid w:val="00E84FF5"/>
    <w:rsid w:val="00E85BFF"/>
    <w:rsid w:val="00E8670C"/>
    <w:rsid w:val="00E90391"/>
    <w:rsid w:val="00E906C2"/>
    <w:rsid w:val="00E9311F"/>
    <w:rsid w:val="00E934D1"/>
    <w:rsid w:val="00E93A65"/>
    <w:rsid w:val="00E949C1"/>
    <w:rsid w:val="00E94AF0"/>
    <w:rsid w:val="00E94E7A"/>
    <w:rsid w:val="00E9527D"/>
    <w:rsid w:val="00E95D13"/>
    <w:rsid w:val="00E95DD3"/>
    <w:rsid w:val="00E969D5"/>
    <w:rsid w:val="00EA34E3"/>
    <w:rsid w:val="00EA4628"/>
    <w:rsid w:val="00EA58D1"/>
    <w:rsid w:val="00EA61BC"/>
    <w:rsid w:val="00EA681A"/>
    <w:rsid w:val="00EA735B"/>
    <w:rsid w:val="00EA7AD7"/>
    <w:rsid w:val="00EB0BBA"/>
    <w:rsid w:val="00EB1E69"/>
    <w:rsid w:val="00EB2086"/>
    <w:rsid w:val="00EB434E"/>
    <w:rsid w:val="00EB5EDF"/>
    <w:rsid w:val="00EB60FE"/>
    <w:rsid w:val="00EB6813"/>
    <w:rsid w:val="00EB74DB"/>
    <w:rsid w:val="00EC0B0A"/>
    <w:rsid w:val="00EC2C59"/>
    <w:rsid w:val="00EC3448"/>
    <w:rsid w:val="00EC5359"/>
    <w:rsid w:val="00EC562A"/>
    <w:rsid w:val="00EC7132"/>
    <w:rsid w:val="00EC7525"/>
    <w:rsid w:val="00EC77A9"/>
    <w:rsid w:val="00EC7BA9"/>
    <w:rsid w:val="00ED067A"/>
    <w:rsid w:val="00ED1F0B"/>
    <w:rsid w:val="00ED2B50"/>
    <w:rsid w:val="00ED4058"/>
    <w:rsid w:val="00ED4AEE"/>
    <w:rsid w:val="00ED6E0D"/>
    <w:rsid w:val="00EE0350"/>
    <w:rsid w:val="00EE038E"/>
    <w:rsid w:val="00EE0719"/>
    <w:rsid w:val="00EE0E80"/>
    <w:rsid w:val="00EE0EC4"/>
    <w:rsid w:val="00EE58EF"/>
    <w:rsid w:val="00EE613F"/>
    <w:rsid w:val="00EE7295"/>
    <w:rsid w:val="00EE742B"/>
    <w:rsid w:val="00EE7869"/>
    <w:rsid w:val="00EF054A"/>
    <w:rsid w:val="00EF2BCA"/>
    <w:rsid w:val="00EF3235"/>
    <w:rsid w:val="00EF3FA5"/>
    <w:rsid w:val="00EF7E72"/>
    <w:rsid w:val="00F02D2E"/>
    <w:rsid w:val="00F06D37"/>
    <w:rsid w:val="00F07B9D"/>
    <w:rsid w:val="00F11586"/>
    <w:rsid w:val="00F1183B"/>
    <w:rsid w:val="00F11C9F"/>
    <w:rsid w:val="00F12263"/>
    <w:rsid w:val="00F12302"/>
    <w:rsid w:val="00F13477"/>
    <w:rsid w:val="00F1409D"/>
    <w:rsid w:val="00F14214"/>
    <w:rsid w:val="00F157A9"/>
    <w:rsid w:val="00F1670B"/>
    <w:rsid w:val="00F202F2"/>
    <w:rsid w:val="00F204BF"/>
    <w:rsid w:val="00F25BB6"/>
    <w:rsid w:val="00F26248"/>
    <w:rsid w:val="00F26930"/>
    <w:rsid w:val="00F26B7E"/>
    <w:rsid w:val="00F27A3B"/>
    <w:rsid w:val="00F33817"/>
    <w:rsid w:val="00F35F16"/>
    <w:rsid w:val="00F41A32"/>
    <w:rsid w:val="00F41C3B"/>
    <w:rsid w:val="00F420D5"/>
    <w:rsid w:val="00F451EA"/>
    <w:rsid w:val="00F45447"/>
    <w:rsid w:val="00F456C6"/>
    <w:rsid w:val="00F4577B"/>
    <w:rsid w:val="00F46496"/>
    <w:rsid w:val="00F46EF7"/>
    <w:rsid w:val="00F474D0"/>
    <w:rsid w:val="00F47A0E"/>
    <w:rsid w:val="00F50179"/>
    <w:rsid w:val="00F515EE"/>
    <w:rsid w:val="00F54E1D"/>
    <w:rsid w:val="00F56511"/>
    <w:rsid w:val="00F60C41"/>
    <w:rsid w:val="00F6194E"/>
    <w:rsid w:val="00F61E1E"/>
    <w:rsid w:val="00F623AC"/>
    <w:rsid w:val="00F63AD7"/>
    <w:rsid w:val="00F6412A"/>
    <w:rsid w:val="00F65893"/>
    <w:rsid w:val="00F66A4A"/>
    <w:rsid w:val="00F702DC"/>
    <w:rsid w:val="00F71E22"/>
    <w:rsid w:val="00F72142"/>
    <w:rsid w:val="00F72AE7"/>
    <w:rsid w:val="00F767EC"/>
    <w:rsid w:val="00F833BA"/>
    <w:rsid w:val="00F84FD0"/>
    <w:rsid w:val="00F859A8"/>
    <w:rsid w:val="00F8663B"/>
    <w:rsid w:val="00F86A3B"/>
    <w:rsid w:val="00F86D87"/>
    <w:rsid w:val="00F9108B"/>
    <w:rsid w:val="00F91349"/>
    <w:rsid w:val="00F92FF5"/>
    <w:rsid w:val="00F93A8A"/>
    <w:rsid w:val="00F94BB2"/>
    <w:rsid w:val="00F95248"/>
    <w:rsid w:val="00F956A9"/>
    <w:rsid w:val="00F95E8D"/>
    <w:rsid w:val="00F963ED"/>
    <w:rsid w:val="00F966CF"/>
    <w:rsid w:val="00F96CAE"/>
    <w:rsid w:val="00F97C99"/>
    <w:rsid w:val="00FA0451"/>
    <w:rsid w:val="00FA344B"/>
    <w:rsid w:val="00FA662D"/>
    <w:rsid w:val="00FA73B1"/>
    <w:rsid w:val="00FB0CB9"/>
    <w:rsid w:val="00FB1F53"/>
    <w:rsid w:val="00FB231D"/>
    <w:rsid w:val="00FB2C40"/>
    <w:rsid w:val="00FB3CCE"/>
    <w:rsid w:val="00FB45F1"/>
    <w:rsid w:val="00FB4A72"/>
    <w:rsid w:val="00FB54E8"/>
    <w:rsid w:val="00FB7054"/>
    <w:rsid w:val="00FB785B"/>
    <w:rsid w:val="00FC0449"/>
    <w:rsid w:val="00FC17B7"/>
    <w:rsid w:val="00FC2949"/>
    <w:rsid w:val="00FC2CB7"/>
    <w:rsid w:val="00FC3865"/>
    <w:rsid w:val="00FC4090"/>
    <w:rsid w:val="00FC55B4"/>
    <w:rsid w:val="00FC5C67"/>
    <w:rsid w:val="00FD00E6"/>
    <w:rsid w:val="00FD09A1"/>
    <w:rsid w:val="00FD2A7C"/>
    <w:rsid w:val="00FD59EB"/>
    <w:rsid w:val="00FD7299"/>
    <w:rsid w:val="00FE1FBE"/>
    <w:rsid w:val="00FE22AC"/>
    <w:rsid w:val="00FE381B"/>
    <w:rsid w:val="00FE3901"/>
    <w:rsid w:val="00FE39D3"/>
    <w:rsid w:val="00FE4357"/>
    <w:rsid w:val="00FE4BCE"/>
    <w:rsid w:val="00FE54AE"/>
    <w:rsid w:val="00FE576A"/>
    <w:rsid w:val="00FE7E79"/>
    <w:rsid w:val="00FF3E7D"/>
    <w:rsid w:val="00FF5B99"/>
    <w:rsid w:val="00FF6BE4"/>
    <w:rsid w:val="00FF7298"/>
    <w:rsid w:val="00FF730C"/>
    <w:rsid w:val="00FF73F4"/>
    <w:rsid w:val="00FF7CE4"/>
    <w:rsid w:val="00FF7E39"/>
    <w:rsid w:val="015679D0"/>
    <w:rsid w:val="01750D54"/>
    <w:rsid w:val="01B25E8C"/>
    <w:rsid w:val="01B8783E"/>
    <w:rsid w:val="01CF4694"/>
    <w:rsid w:val="01DF5C17"/>
    <w:rsid w:val="02502572"/>
    <w:rsid w:val="026223A4"/>
    <w:rsid w:val="0273635F"/>
    <w:rsid w:val="02D45050"/>
    <w:rsid w:val="03351867"/>
    <w:rsid w:val="03372BDE"/>
    <w:rsid w:val="033B6E7D"/>
    <w:rsid w:val="03550F09"/>
    <w:rsid w:val="035B2972"/>
    <w:rsid w:val="038D51FF"/>
    <w:rsid w:val="038E51BF"/>
    <w:rsid w:val="03D96696"/>
    <w:rsid w:val="03E410C2"/>
    <w:rsid w:val="03F67E59"/>
    <w:rsid w:val="03FC449E"/>
    <w:rsid w:val="042B5009"/>
    <w:rsid w:val="04363AE8"/>
    <w:rsid w:val="043D4E77"/>
    <w:rsid w:val="04531FA4"/>
    <w:rsid w:val="049251C3"/>
    <w:rsid w:val="04A7196A"/>
    <w:rsid w:val="04DC4690"/>
    <w:rsid w:val="051756C8"/>
    <w:rsid w:val="056621AB"/>
    <w:rsid w:val="05E73DD4"/>
    <w:rsid w:val="060B7A81"/>
    <w:rsid w:val="0640029B"/>
    <w:rsid w:val="065D710A"/>
    <w:rsid w:val="06606BFB"/>
    <w:rsid w:val="069B5E85"/>
    <w:rsid w:val="06A905A2"/>
    <w:rsid w:val="06BF391E"/>
    <w:rsid w:val="06C86CE6"/>
    <w:rsid w:val="06CB0518"/>
    <w:rsid w:val="06F16BC5"/>
    <w:rsid w:val="07301470"/>
    <w:rsid w:val="074E2EF7"/>
    <w:rsid w:val="075229E7"/>
    <w:rsid w:val="078801B7"/>
    <w:rsid w:val="07B81356"/>
    <w:rsid w:val="07F65A68"/>
    <w:rsid w:val="0802440D"/>
    <w:rsid w:val="0834033F"/>
    <w:rsid w:val="083E11BD"/>
    <w:rsid w:val="08643E9C"/>
    <w:rsid w:val="08AC6127"/>
    <w:rsid w:val="09063A6C"/>
    <w:rsid w:val="09181DDE"/>
    <w:rsid w:val="09192CB9"/>
    <w:rsid w:val="092A240E"/>
    <w:rsid w:val="09371E95"/>
    <w:rsid w:val="09896468"/>
    <w:rsid w:val="09B23C11"/>
    <w:rsid w:val="09B65F2F"/>
    <w:rsid w:val="09D53943"/>
    <w:rsid w:val="09E71B0D"/>
    <w:rsid w:val="09ED69F7"/>
    <w:rsid w:val="09F204B1"/>
    <w:rsid w:val="0A602699"/>
    <w:rsid w:val="0A6F1B02"/>
    <w:rsid w:val="0A725337"/>
    <w:rsid w:val="0AAE4AEF"/>
    <w:rsid w:val="0AFA761E"/>
    <w:rsid w:val="0B105BE2"/>
    <w:rsid w:val="0B1F0E32"/>
    <w:rsid w:val="0B332E62"/>
    <w:rsid w:val="0B772A1C"/>
    <w:rsid w:val="0B865355"/>
    <w:rsid w:val="0B904305"/>
    <w:rsid w:val="0B974E6D"/>
    <w:rsid w:val="0B9C540F"/>
    <w:rsid w:val="0BAA5EE2"/>
    <w:rsid w:val="0BF95B27"/>
    <w:rsid w:val="0C1C0552"/>
    <w:rsid w:val="0C1E27F9"/>
    <w:rsid w:val="0C2F779B"/>
    <w:rsid w:val="0C311279"/>
    <w:rsid w:val="0C9D4705"/>
    <w:rsid w:val="0CAC2B9A"/>
    <w:rsid w:val="0CB455B6"/>
    <w:rsid w:val="0CD65E68"/>
    <w:rsid w:val="0CE82491"/>
    <w:rsid w:val="0D036A4A"/>
    <w:rsid w:val="0D194A55"/>
    <w:rsid w:val="0D5D3E94"/>
    <w:rsid w:val="0D6B65B1"/>
    <w:rsid w:val="0D882808"/>
    <w:rsid w:val="0DC91529"/>
    <w:rsid w:val="0DDF6F9F"/>
    <w:rsid w:val="0DE51FB8"/>
    <w:rsid w:val="0DEB5944"/>
    <w:rsid w:val="0E0D58BA"/>
    <w:rsid w:val="0E1053AA"/>
    <w:rsid w:val="0E283FB3"/>
    <w:rsid w:val="0E2F4A8A"/>
    <w:rsid w:val="0E4A266A"/>
    <w:rsid w:val="0E56244E"/>
    <w:rsid w:val="0E7E2314"/>
    <w:rsid w:val="0E832775"/>
    <w:rsid w:val="0E8D69FB"/>
    <w:rsid w:val="0EB775D4"/>
    <w:rsid w:val="0EB977F0"/>
    <w:rsid w:val="0ECB64A7"/>
    <w:rsid w:val="0F041CC7"/>
    <w:rsid w:val="0F6827BB"/>
    <w:rsid w:val="0FC95811"/>
    <w:rsid w:val="0FE268D2"/>
    <w:rsid w:val="100D4905"/>
    <w:rsid w:val="10167A01"/>
    <w:rsid w:val="102313C5"/>
    <w:rsid w:val="103222F7"/>
    <w:rsid w:val="1034712E"/>
    <w:rsid w:val="10433815"/>
    <w:rsid w:val="104650B3"/>
    <w:rsid w:val="105701A5"/>
    <w:rsid w:val="108A31F2"/>
    <w:rsid w:val="11137703"/>
    <w:rsid w:val="11446A4D"/>
    <w:rsid w:val="11A025A1"/>
    <w:rsid w:val="11C06793"/>
    <w:rsid w:val="12086AC4"/>
    <w:rsid w:val="12111DAF"/>
    <w:rsid w:val="12174F59"/>
    <w:rsid w:val="12B91B6C"/>
    <w:rsid w:val="12E0534B"/>
    <w:rsid w:val="130F5C30"/>
    <w:rsid w:val="134F0723"/>
    <w:rsid w:val="13781A27"/>
    <w:rsid w:val="13BA3DEE"/>
    <w:rsid w:val="13CE5AEB"/>
    <w:rsid w:val="14096B23"/>
    <w:rsid w:val="143E4A1F"/>
    <w:rsid w:val="143F392F"/>
    <w:rsid w:val="14445DAD"/>
    <w:rsid w:val="144D1DE1"/>
    <w:rsid w:val="14667AD2"/>
    <w:rsid w:val="14AF30F4"/>
    <w:rsid w:val="14F757A9"/>
    <w:rsid w:val="15004914"/>
    <w:rsid w:val="156404B5"/>
    <w:rsid w:val="15792D5E"/>
    <w:rsid w:val="158C1134"/>
    <w:rsid w:val="15E05662"/>
    <w:rsid w:val="160D07D9"/>
    <w:rsid w:val="168D7598"/>
    <w:rsid w:val="169A3A63"/>
    <w:rsid w:val="16B71B14"/>
    <w:rsid w:val="16EA49EA"/>
    <w:rsid w:val="17035AAC"/>
    <w:rsid w:val="17221F62"/>
    <w:rsid w:val="1726179A"/>
    <w:rsid w:val="172F1D58"/>
    <w:rsid w:val="176A78D9"/>
    <w:rsid w:val="17985183"/>
    <w:rsid w:val="17B46DA6"/>
    <w:rsid w:val="17D17848"/>
    <w:rsid w:val="17E4768B"/>
    <w:rsid w:val="17EC3459"/>
    <w:rsid w:val="183A3210"/>
    <w:rsid w:val="186E46F2"/>
    <w:rsid w:val="18DF60A5"/>
    <w:rsid w:val="18FC6C57"/>
    <w:rsid w:val="18FE652B"/>
    <w:rsid w:val="19055156"/>
    <w:rsid w:val="19185113"/>
    <w:rsid w:val="19404D95"/>
    <w:rsid w:val="194B63B0"/>
    <w:rsid w:val="19C7017F"/>
    <w:rsid w:val="1A141B48"/>
    <w:rsid w:val="1A5403CD"/>
    <w:rsid w:val="1A6265A0"/>
    <w:rsid w:val="1A732F49"/>
    <w:rsid w:val="1AAB5868"/>
    <w:rsid w:val="1B1E4ECB"/>
    <w:rsid w:val="1B661EA8"/>
    <w:rsid w:val="1B8C2514"/>
    <w:rsid w:val="1B9408C0"/>
    <w:rsid w:val="1B947CCE"/>
    <w:rsid w:val="1BA03749"/>
    <w:rsid w:val="1BB14EF5"/>
    <w:rsid w:val="1BBC447B"/>
    <w:rsid w:val="1BF172C8"/>
    <w:rsid w:val="1C1B3898"/>
    <w:rsid w:val="1C3D736A"/>
    <w:rsid w:val="1C5A43C0"/>
    <w:rsid w:val="1C632B49"/>
    <w:rsid w:val="1C7D3C0B"/>
    <w:rsid w:val="1C831CD6"/>
    <w:rsid w:val="1CC9658C"/>
    <w:rsid w:val="1CFBB310"/>
    <w:rsid w:val="1D1C1676"/>
    <w:rsid w:val="1DA578BD"/>
    <w:rsid w:val="1DAF2746"/>
    <w:rsid w:val="1DB563CC"/>
    <w:rsid w:val="1E257757"/>
    <w:rsid w:val="1E410ED7"/>
    <w:rsid w:val="1E480248"/>
    <w:rsid w:val="1E4C7D38"/>
    <w:rsid w:val="1E6E68C7"/>
    <w:rsid w:val="1E71779F"/>
    <w:rsid w:val="1E9D67E6"/>
    <w:rsid w:val="1EA9518B"/>
    <w:rsid w:val="1EBF330F"/>
    <w:rsid w:val="1EF36406"/>
    <w:rsid w:val="1F05356C"/>
    <w:rsid w:val="1F465AEB"/>
    <w:rsid w:val="1F48054D"/>
    <w:rsid w:val="1F55474F"/>
    <w:rsid w:val="1F58270D"/>
    <w:rsid w:val="1F666BD8"/>
    <w:rsid w:val="1F6966C8"/>
    <w:rsid w:val="1FDB5818"/>
    <w:rsid w:val="1FDFE7AA"/>
    <w:rsid w:val="2010379F"/>
    <w:rsid w:val="206C6470"/>
    <w:rsid w:val="20A32E88"/>
    <w:rsid w:val="20CC6F0F"/>
    <w:rsid w:val="20D504B9"/>
    <w:rsid w:val="20D67D8D"/>
    <w:rsid w:val="20D81D57"/>
    <w:rsid w:val="20DE7E97"/>
    <w:rsid w:val="21142811"/>
    <w:rsid w:val="21313216"/>
    <w:rsid w:val="213825AB"/>
    <w:rsid w:val="214B26E7"/>
    <w:rsid w:val="216929AF"/>
    <w:rsid w:val="2205092A"/>
    <w:rsid w:val="22414F6C"/>
    <w:rsid w:val="224469E3"/>
    <w:rsid w:val="22A16179"/>
    <w:rsid w:val="22BD49A4"/>
    <w:rsid w:val="22F4099F"/>
    <w:rsid w:val="230B3A9D"/>
    <w:rsid w:val="23563407"/>
    <w:rsid w:val="23731C97"/>
    <w:rsid w:val="23A22746"/>
    <w:rsid w:val="23BE01AE"/>
    <w:rsid w:val="23D20CE0"/>
    <w:rsid w:val="23F01166"/>
    <w:rsid w:val="242E1C8E"/>
    <w:rsid w:val="24417C14"/>
    <w:rsid w:val="244F272E"/>
    <w:rsid w:val="24620C04"/>
    <w:rsid w:val="247C6E9E"/>
    <w:rsid w:val="24997A50"/>
    <w:rsid w:val="24BE60D3"/>
    <w:rsid w:val="24C018BC"/>
    <w:rsid w:val="24EC2F26"/>
    <w:rsid w:val="25765D9D"/>
    <w:rsid w:val="25822292"/>
    <w:rsid w:val="25A0096A"/>
    <w:rsid w:val="25B368EF"/>
    <w:rsid w:val="25B7521A"/>
    <w:rsid w:val="25DB0A77"/>
    <w:rsid w:val="26347A30"/>
    <w:rsid w:val="26385EF2"/>
    <w:rsid w:val="265754CC"/>
    <w:rsid w:val="26D53D29"/>
    <w:rsid w:val="273121C1"/>
    <w:rsid w:val="27534744"/>
    <w:rsid w:val="276E7106"/>
    <w:rsid w:val="27716A62"/>
    <w:rsid w:val="2771A360"/>
    <w:rsid w:val="27DD7C53"/>
    <w:rsid w:val="27E30E13"/>
    <w:rsid w:val="27FD4841"/>
    <w:rsid w:val="280653FC"/>
    <w:rsid w:val="281E2746"/>
    <w:rsid w:val="28363D32"/>
    <w:rsid w:val="28414686"/>
    <w:rsid w:val="284C15E6"/>
    <w:rsid w:val="286363AA"/>
    <w:rsid w:val="28B27332"/>
    <w:rsid w:val="28C97778"/>
    <w:rsid w:val="293935AF"/>
    <w:rsid w:val="29580588"/>
    <w:rsid w:val="296A58C3"/>
    <w:rsid w:val="29A873C5"/>
    <w:rsid w:val="2A070FB7"/>
    <w:rsid w:val="2A1A0CEB"/>
    <w:rsid w:val="2A241B69"/>
    <w:rsid w:val="2A2B6011"/>
    <w:rsid w:val="2A383867"/>
    <w:rsid w:val="2A5758C7"/>
    <w:rsid w:val="2A874F90"/>
    <w:rsid w:val="2A8B7E3A"/>
    <w:rsid w:val="2A9D0A5C"/>
    <w:rsid w:val="2AAF1D7B"/>
    <w:rsid w:val="2AB04BBC"/>
    <w:rsid w:val="2AD25A69"/>
    <w:rsid w:val="2AD839E3"/>
    <w:rsid w:val="2ADE440E"/>
    <w:rsid w:val="2B073965"/>
    <w:rsid w:val="2B2A2F13"/>
    <w:rsid w:val="2BA94A1C"/>
    <w:rsid w:val="2BAA2542"/>
    <w:rsid w:val="2BAD53C8"/>
    <w:rsid w:val="2C484235"/>
    <w:rsid w:val="2C7A0167"/>
    <w:rsid w:val="2C974E0D"/>
    <w:rsid w:val="2CE75670"/>
    <w:rsid w:val="2CF00429"/>
    <w:rsid w:val="2CF04822"/>
    <w:rsid w:val="2D265BF9"/>
    <w:rsid w:val="2D7B0402"/>
    <w:rsid w:val="2D9E1C33"/>
    <w:rsid w:val="2DCF1DDC"/>
    <w:rsid w:val="2DCF6290"/>
    <w:rsid w:val="2E083C79"/>
    <w:rsid w:val="2E271C28"/>
    <w:rsid w:val="2E352597"/>
    <w:rsid w:val="2E982B26"/>
    <w:rsid w:val="2E9D6E6A"/>
    <w:rsid w:val="2EF064BE"/>
    <w:rsid w:val="2F1321AD"/>
    <w:rsid w:val="2F2B3952"/>
    <w:rsid w:val="2F3A3BDD"/>
    <w:rsid w:val="2F682F49"/>
    <w:rsid w:val="2F7215C9"/>
    <w:rsid w:val="2F8A246F"/>
    <w:rsid w:val="2F9D5718"/>
    <w:rsid w:val="2F9F4D71"/>
    <w:rsid w:val="2FE53B49"/>
    <w:rsid w:val="2FE80070"/>
    <w:rsid w:val="30281C88"/>
    <w:rsid w:val="30332B06"/>
    <w:rsid w:val="307704FD"/>
    <w:rsid w:val="3082583C"/>
    <w:rsid w:val="30B17ECF"/>
    <w:rsid w:val="30DC13F0"/>
    <w:rsid w:val="31413001"/>
    <w:rsid w:val="3179279B"/>
    <w:rsid w:val="31B00187"/>
    <w:rsid w:val="31D238FE"/>
    <w:rsid w:val="31E340B8"/>
    <w:rsid w:val="31EA3699"/>
    <w:rsid w:val="323446FA"/>
    <w:rsid w:val="323963CE"/>
    <w:rsid w:val="3243100D"/>
    <w:rsid w:val="325A322E"/>
    <w:rsid w:val="32CE7409"/>
    <w:rsid w:val="32CF1B47"/>
    <w:rsid w:val="32F8226E"/>
    <w:rsid w:val="33022C64"/>
    <w:rsid w:val="331619B6"/>
    <w:rsid w:val="33337A76"/>
    <w:rsid w:val="335C312E"/>
    <w:rsid w:val="3392621B"/>
    <w:rsid w:val="33995376"/>
    <w:rsid w:val="33AD2BD0"/>
    <w:rsid w:val="33C73774"/>
    <w:rsid w:val="342E1F62"/>
    <w:rsid w:val="347E631A"/>
    <w:rsid w:val="34996054"/>
    <w:rsid w:val="34A35D81"/>
    <w:rsid w:val="34AC6A12"/>
    <w:rsid w:val="34D90058"/>
    <w:rsid w:val="34FF436F"/>
    <w:rsid w:val="351B1DBB"/>
    <w:rsid w:val="35DC59EE"/>
    <w:rsid w:val="35FA7C22"/>
    <w:rsid w:val="36533F02"/>
    <w:rsid w:val="3658358C"/>
    <w:rsid w:val="369462C9"/>
    <w:rsid w:val="369B1405"/>
    <w:rsid w:val="36B65B66"/>
    <w:rsid w:val="36BB5604"/>
    <w:rsid w:val="36BD4AD5"/>
    <w:rsid w:val="36C941C4"/>
    <w:rsid w:val="3713582C"/>
    <w:rsid w:val="37215DAE"/>
    <w:rsid w:val="37296A11"/>
    <w:rsid w:val="37497C6E"/>
    <w:rsid w:val="37664CFF"/>
    <w:rsid w:val="37A662B4"/>
    <w:rsid w:val="37F16947"/>
    <w:rsid w:val="385F71C1"/>
    <w:rsid w:val="3894435E"/>
    <w:rsid w:val="38966328"/>
    <w:rsid w:val="38A10829"/>
    <w:rsid w:val="38C06F01"/>
    <w:rsid w:val="38FF590E"/>
    <w:rsid w:val="39194863"/>
    <w:rsid w:val="391B4A7F"/>
    <w:rsid w:val="391C2F10"/>
    <w:rsid w:val="393B2A2C"/>
    <w:rsid w:val="393C6514"/>
    <w:rsid w:val="394C4C39"/>
    <w:rsid w:val="395B1C8A"/>
    <w:rsid w:val="39700927"/>
    <w:rsid w:val="39882115"/>
    <w:rsid w:val="39B12CEE"/>
    <w:rsid w:val="39B36A66"/>
    <w:rsid w:val="39D8471E"/>
    <w:rsid w:val="3A514690"/>
    <w:rsid w:val="3A7820F0"/>
    <w:rsid w:val="3AB33BFD"/>
    <w:rsid w:val="3B084B8F"/>
    <w:rsid w:val="3B2A146C"/>
    <w:rsid w:val="3B5A363D"/>
    <w:rsid w:val="3B9823B7"/>
    <w:rsid w:val="3B9B0D05"/>
    <w:rsid w:val="3BA743A8"/>
    <w:rsid w:val="3C3F2833"/>
    <w:rsid w:val="3C5C5193"/>
    <w:rsid w:val="3C8F4B18"/>
    <w:rsid w:val="3CA408E8"/>
    <w:rsid w:val="3CF96E86"/>
    <w:rsid w:val="3D22018A"/>
    <w:rsid w:val="3D3E2AEA"/>
    <w:rsid w:val="3D4C16AB"/>
    <w:rsid w:val="3D5A3070"/>
    <w:rsid w:val="3DDD2303"/>
    <w:rsid w:val="3DEE2762"/>
    <w:rsid w:val="3DF31B27"/>
    <w:rsid w:val="3E4A541F"/>
    <w:rsid w:val="3E612E6B"/>
    <w:rsid w:val="3E7C7D6E"/>
    <w:rsid w:val="3E9318CC"/>
    <w:rsid w:val="3E962581"/>
    <w:rsid w:val="3EA370A9"/>
    <w:rsid w:val="3EC970E4"/>
    <w:rsid w:val="3EFF619F"/>
    <w:rsid w:val="3F1104B7"/>
    <w:rsid w:val="3F236CB2"/>
    <w:rsid w:val="3F344FC4"/>
    <w:rsid w:val="3F5F1AF2"/>
    <w:rsid w:val="3F6E3B5B"/>
    <w:rsid w:val="3FD2426F"/>
    <w:rsid w:val="400E0E9A"/>
    <w:rsid w:val="40E55B37"/>
    <w:rsid w:val="41016AB0"/>
    <w:rsid w:val="410E44A1"/>
    <w:rsid w:val="413D1A37"/>
    <w:rsid w:val="414508EB"/>
    <w:rsid w:val="416D399E"/>
    <w:rsid w:val="41B63597"/>
    <w:rsid w:val="421B789E"/>
    <w:rsid w:val="425A2175"/>
    <w:rsid w:val="425F5043"/>
    <w:rsid w:val="42A81132"/>
    <w:rsid w:val="42D54331"/>
    <w:rsid w:val="430A4D97"/>
    <w:rsid w:val="43852998"/>
    <w:rsid w:val="43AF44C4"/>
    <w:rsid w:val="43CF0940"/>
    <w:rsid w:val="444B446B"/>
    <w:rsid w:val="445F03D1"/>
    <w:rsid w:val="447D65EE"/>
    <w:rsid w:val="44A848FC"/>
    <w:rsid w:val="450E7A7E"/>
    <w:rsid w:val="454006CB"/>
    <w:rsid w:val="455C26A8"/>
    <w:rsid w:val="45603F46"/>
    <w:rsid w:val="4572388B"/>
    <w:rsid w:val="45857AB1"/>
    <w:rsid w:val="458F0387"/>
    <w:rsid w:val="45A04342"/>
    <w:rsid w:val="45D24718"/>
    <w:rsid w:val="45DD1CEE"/>
    <w:rsid w:val="45E035FC"/>
    <w:rsid w:val="45E84550"/>
    <w:rsid w:val="46160AA8"/>
    <w:rsid w:val="46340F2E"/>
    <w:rsid w:val="469320F9"/>
    <w:rsid w:val="46932B0C"/>
    <w:rsid w:val="46A3209A"/>
    <w:rsid w:val="46E2556F"/>
    <w:rsid w:val="474918D3"/>
    <w:rsid w:val="47685334"/>
    <w:rsid w:val="476F620C"/>
    <w:rsid w:val="479A4FA0"/>
    <w:rsid w:val="479E2B03"/>
    <w:rsid w:val="47C24326"/>
    <w:rsid w:val="47DF20FA"/>
    <w:rsid w:val="47EC1AC1"/>
    <w:rsid w:val="47EC6304"/>
    <w:rsid w:val="480D7C89"/>
    <w:rsid w:val="482F2437"/>
    <w:rsid w:val="48335AC8"/>
    <w:rsid w:val="485D195F"/>
    <w:rsid w:val="48633724"/>
    <w:rsid w:val="48845FD8"/>
    <w:rsid w:val="48A26623"/>
    <w:rsid w:val="48E54AA3"/>
    <w:rsid w:val="4913307D"/>
    <w:rsid w:val="495E0910"/>
    <w:rsid w:val="498126DD"/>
    <w:rsid w:val="499373D2"/>
    <w:rsid w:val="49C01457"/>
    <w:rsid w:val="49EEA3CC"/>
    <w:rsid w:val="49EF5898"/>
    <w:rsid w:val="4A143551"/>
    <w:rsid w:val="4A2A4B22"/>
    <w:rsid w:val="4AA246B9"/>
    <w:rsid w:val="4AB10DA0"/>
    <w:rsid w:val="4B0C67B3"/>
    <w:rsid w:val="4B124C8E"/>
    <w:rsid w:val="4B5736F5"/>
    <w:rsid w:val="4B72052F"/>
    <w:rsid w:val="4B736055"/>
    <w:rsid w:val="4B9013AB"/>
    <w:rsid w:val="4BD910B7"/>
    <w:rsid w:val="4BEF1B80"/>
    <w:rsid w:val="4BF278C2"/>
    <w:rsid w:val="4C4F4010"/>
    <w:rsid w:val="4C5A31A2"/>
    <w:rsid w:val="4C8C3872"/>
    <w:rsid w:val="4CE70AA9"/>
    <w:rsid w:val="4D2C0BB1"/>
    <w:rsid w:val="4D6D36A4"/>
    <w:rsid w:val="4D9C7AE5"/>
    <w:rsid w:val="4DA22C22"/>
    <w:rsid w:val="4DB12E65"/>
    <w:rsid w:val="4DC7724C"/>
    <w:rsid w:val="4DD21759"/>
    <w:rsid w:val="4E3E57C5"/>
    <w:rsid w:val="4EC95CE1"/>
    <w:rsid w:val="4F0E5E5A"/>
    <w:rsid w:val="4F5D138C"/>
    <w:rsid w:val="4FA2515B"/>
    <w:rsid w:val="4FBC60D8"/>
    <w:rsid w:val="4FC96418"/>
    <w:rsid w:val="4FCC2727"/>
    <w:rsid w:val="4FDFA9B5"/>
    <w:rsid w:val="4FE37C4D"/>
    <w:rsid w:val="4FED719B"/>
    <w:rsid w:val="505E1C29"/>
    <w:rsid w:val="50936F77"/>
    <w:rsid w:val="50CA6717"/>
    <w:rsid w:val="50D3612E"/>
    <w:rsid w:val="50D70E34"/>
    <w:rsid w:val="5113318E"/>
    <w:rsid w:val="51143E36"/>
    <w:rsid w:val="51377B20"/>
    <w:rsid w:val="515F72D3"/>
    <w:rsid w:val="517B3EB5"/>
    <w:rsid w:val="51915487"/>
    <w:rsid w:val="51A056CA"/>
    <w:rsid w:val="51B55619"/>
    <w:rsid w:val="51C55131"/>
    <w:rsid w:val="51D84E64"/>
    <w:rsid w:val="51F003FF"/>
    <w:rsid w:val="51F837D1"/>
    <w:rsid w:val="52093015"/>
    <w:rsid w:val="5209326F"/>
    <w:rsid w:val="52181704"/>
    <w:rsid w:val="52267BB8"/>
    <w:rsid w:val="522D3402"/>
    <w:rsid w:val="52383B54"/>
    <w:rsid w:val="52683624"/>
    <w:rsid w:val="52742DDF"/>
    <w:rsid w:val="527728CF"/>
    <w:rsid w:val="52802336"/>
    <w:rsid w:val="529C0587"/>
    <w:rsid w:val="52C36A6C"/>
    <w:rsid w:val="52CB6777"/>
    <w:rsid w:val="52D23FA9"/>
    <w:rsid w:val="52DE207B"/>
    <w:rsid w:val="52EA1D21"/>
    <w:rsid w:val="53364538"/>
    <w:rsid w:val="53474623"/>
    <w:rsid w:val="5386215D"/>
    <w:rsid w:val="53A95757"/>
    <w:rsid w:val="53D8739D"/>
    <w:rsid w:val="541A79B6"/>
    <w:rsid w:val="54560D7C"/>
    <w:rsid w:val="548B440F"/>
    <w:rsid w:val="54FF095A"/>
    <w:rsid w:val="550B5268"/>
    <w:rsid w:val="55255F0F"/>
    <w:rsid w:val="554D7917"/>
    <w:rsid w:val="555830EB"/>
    <w:rsid w:val="55A76818"/>
    <w:rsid w:val="55A8543F"/>
    <w:rsid w:val="55B95A72"/>
    <w:rsid w:val="55C951EF"/>
    <w:rsid w:val="55D87B28"/>
    <w:rsid w:val="55E0078B"/>
    <w:rsid w:val="55FC3817"/>
    <w:rsid w:val="55FD46B4"/>
    <w:rsid w:val="56586573"/>
    <w:rsid w:val="565D002E"/>
    <w:rsid w:val="567C2BC6"/>
    <w:rsid w:val="56AF0889"/>
    <w:rsid w:val="56CC3A96"/>
    <w:rsid w:val="56FC65DA"/>
    <w:rsid w:val="57400BE8"/>
    <w:rsid w:val="57C2283E"/>
    <w:rsid w:val="57C27432"/>
    <w:rsid w:val="57DE484E"/>
    <w:rsid w:val="5818420C"/>
    <w:rsid w:val="5835639D"/>
    <w:rsid w:val="585175C5"/>
    <w:rsid w:val="58FA1B64"/>
    <w:rsid w:val="593733F4"/>
    <w:rsid w:val="595C281E"/>
    <w:rsid w:val="597B2CA5"/>
    <w:rsid w:val="597F3D70"/>
    <w:rsid w:val="598C0F4E"/>
    <w:rsid w:val="59904470"/>
    <w:rsid w:val="59B30690"/>
    <w:rsid w:val="59B61F2F"/>
    <w:rsid w:val="59B77A55"/>
    <w:rsid w:val="59BC3C97"/>
    <w:rsid w:val="5A427C66"/>
    <w:rsid w:val="5A6B1942"/>
    <w:rsid w:val="5AB73FB4"/>
    <w:rsid w:val="5B0D5B7E"/>
    <w:rsid w:val="5B4D77F3"/>
    <w:rsid w:val="5B703980"/>
    <w:rsid w:val="5B9B13DC"/>
    <w:rsid w:val="5B9B5880"/>
    <w:rsid w:val="5BB26726"/>
    <w:rsid w:val="5BE56AFB"/>
    <w:rsid w:val="5C0E34F9"/>
    <w:rsid w:val="5C321615"/>
    <w:rsid w:val="5CA237C4"/>
    <w:rsid w:val="5CAA564F"/>
    <w:rsid w:val="5D1A7137"/>
    <w:rsid w:val="5D2E6280"/>
    <w:rsid w:val="5D4D2BAA"/>
    <w:rsid w:val="5D585375"/>
    <w:rsid w:val="5D5B76D9"/>
    <w:rsid w:val="5DB5048B"/>
    <w:rsid w:val="5DB93D9B"/>
    <w:rsid w:val="5E033269"/>
    <w:rsid w:val="5E3345B8"/>
    <w:rsid w:val="5E631F59"/>
    <w:rsid w:val="5E6F08FE"/>
    <w:rsid w:val="5EB033F0"/>
    <w:rsid w:val="5EBA601D"/>
    <w:rsid w:val="5EC20387"/>
    <w:rsid w:val="5EC62C14"/>
    <w:rsid w:val="5F2142EE"/>
    <w:rsid w:val="5F5F4E16"/>
    <w:rsid w:val="5F644FF2"/>
    <w:rsid w:val="5F7F2DC3"/>
    <w:rsid w:val="5FEF64C1"/>
    <w:rsid w:val="5FF13F47"/>
    <w:rsid w:val="5FF27A39"/>
    <w:rsid w:val="603E67DA"/>
    <w:rsid w:val="604E5CF6"/>
    <w:rsid w:val="6065248C"/>
    <w:rsid w:val="609472CE"/>
    <w:rsid w:val="609E4DDD"/>
    <w:rsid w:val="60D64C64"/>
    <w:rsid w:val="60D908E5"/>
    <w:rsid w:val="61170069"/>
    <w:rsid w:val="617821BF"/>
    <w:rsid w:val="61891CD7"/>
    <w:rsid w:val="61930DA7"/>
    <w:rsid w:val="61AD00BB"/>
    <w:rsid w:val="61D07906"/>
    <w:rsid w:val="61F51807"/>
    <w:rsid w:val="622F0AD0"/>
    <w:rsid w:val="625B3673"/>
    <w:rsid w:val="629200C0"/>
    <w:rsid w:val="62AC0373"/>
    <w:rsid w:val="62BB05B6"/>
    <w:rsid w:val="62D17DD9"/>
    <w:rsid w:val="62D376AD"/>
    <w:rsid w:val="62E95123"/>
    <w:rsid w:val="62EE44E7"/>
    <w:rsid w:val="630B1090"/>
    <w:rsid w:val="631720E7"/>
    <w:rsid w:val="637D1D0F"/>
    <w:rsid w:val="639A2821"/>
    <w:rsid w:val="63DD455C"/>
    <w:rsid w:val="642653DB"/>
    <w:rsid w:val="646F2E62"/>
    <w:rsid w:val="647D5345"/>
    <w:rsid w:val="64801D4B"/>
    <w:rsid w:val="64802D6E"/>
    <w:rsid w:val="64865009"/>
    <w:rsid w:val="648844C8"/>
    <w:rsid w:val="648A46E4"/>
    <w:rsid w:val="64C368CA"/>
    <w:rsid w:val="65163A99"/>
    <w:rsid w:val="653F54CE"/>
    <w:rsid w:val="65546503"/>
    <w:rsid w:val="65A17F37"/>
    <w:rsid w:val="65E330C1"/>
    <w:rsid w:val="65EF0BA9"/>
    <w:rsid w:val="660202AA"/>
    <w:rsid w:val="661204ED"/>
    <w:rsid w:val="661A6960"/>
    <w:rsid w:val="6672542F"/>
    <w:rsid w:val="66763171"/>
    <w:rsid w:val="669075D4"/>
    <w:rsid w:val="66963446"/>
    <w:rsid w:val="66B74744"/>
    <w:rsid w:val="66C57C55"/>
    <w:rsid w:val="672B07B4"/>
    <w:rsid w:val="673F7A07"/>
    <w:rsid w:val="6779459B"/>
    <w:rsid w:val="67B80E5B"/>
    <w:rsid w:val="67C24D46"/>
    <w:rsid w:val="67EB7247"/>
    <w:rsid w:val="680061E5"/>
    <w:rsid w:val="68115D88"/>
    <w:rsid w:val="682D1BC3"/>
    <w:rsid w:val="683E1A6D"/>
    <w:rsid w:val="68C80AF5"/>
    <w:rsid w:val="68C85BC0"/>
    <w:rsid w:val="68F14D31"/>
    <w:rsid w:val="69085BD7"/>
    <w:rsid w:val="693E3CEF"/>
    <w:rsid w:val="693F5E09"/>
    <w:rsid w:val="6A040A94"/>
    <w:rsid w:val="6A1429A5"/>
    <w:rsid w:val="6A8000FB"/>
    <w:rsid w:val="6A815C41"/>
    <w:rsid w:val="6ABA73A5"/>
    <w:rsid w:val="6ACA7D81"/>
    <w:rsid w:val="6B321631"/>
    <w:rsid w:val="6B7A6903"/>
    <w:rsid w:val="6BBF75FE"/>
    <w:rsid w:val="6BC57F89"/>
    <w:rsid w:val="6BC73B27"/>
    <w:rsid w:val="6BDBAB48"/>
    <w:rsid w:val="6BE648F5"/>
    <w:rsid w:val="6C640BDA"/>
    <w:rsid w:val="6CDE3BFC"/>
    <w:rsid w:val="6D0A14BC"/>
    <w:rsid w:val="6D54763D"/>
    <w:rsid w:val="6D7478EE"/>
    <w:rsid w:val="6D9244C0"/>
    <w:rsid w:val="6DA265FA"/>
    <w:rsid w:val="6DA71E62"/>
    <w:rsid w:val="6DB6D3E7"/>
    <w:rsid w:val="6DBBC139"/>
    <w:rsid w:val="6E0E458D"/>
    <w:rsid w:val="6E2022D3"/>
    <w:rsid w:val="6E7FBD1A"/>
    <w:rsid w:val="6E8B3532"/>
    <w:rsid w:val="6E9568DB"/>
    <w:rsid w:val="6EA97DFC"/>
    <w:rsid w:val="6EB00C19"/>
    <w:rsid w:val="6EC425A0"/>
    <w:rsid w:val="6EF530A1"/>
    <w:rsid w:val="6EFD5AB2"/>
    <w:rsid w:val="6F084B83"/>
    <w:rsid w:val="6F0D5B7D"/>
    <w:rsid w:val="6F327E52"/>
    <w:rsid w:val="6F361C7B"/>
    <w:rsid w:val="6F37134F"/>
    <w:rsid w:val="6F647942"/>
    <w:rsid w:val="6F667FF9"/>
    <w:rsid w:val="6FCD36D6"/>
    <w:rsid w:val="6FFB6495"/>
    <w:rsid w:val="703A4C74"/>
    <w:rsid w:val="70B966A7"/>
    <w:rsid w:val="70CC1BE0"/>
    <w:rsid w:val="70CD6084"/>
    <w:rsid w:val="70DF36C1"/>
    <w:rsid w:val="71083B75"/>
    <w:rsid w:val="71237A52"/>
    <w:rsid w:val="717C1858"/>
    <w:rsid w:val="71810C1C"/>
    <w:rsid w:val="71812492"/>
    <w:rsid w:val="71AD7C63"/>
    <w:rsid w:val="71B15BA8"/>
    <w:rsid w:val="71C254BD"/>
    <w:rsid w:val="71D92806"/>
    <w:rsid w:val="71E573FD"/>
    <w:rsid w:val="720C1475"/>
    <w:rsid w:val="721671A2"/>
    <w:rsid w:val="72451C4A"/>
    <w:rsid w:val="72B33486"/>
    <w:rsid w:val="72BC63B0"/>
    <w:rsid w:val="72BD5C84"/>
    <w:rsid w:val="72DB610A"/>
    <w:rsid w:val="72F84F0E"/>
    <w:rsid w:val="73005B71"/>
    <w:rsid w:val="730A4823"/>
    <w:rsid w:val="730B4C41"/>
    <w:rsid w:val="732F669B"/>
    <w:rsid w:val="736B08DF"/>
    <w:rsid w:val="73896285"/>
    <w:rsid w:val="73B01345"/>
    <w:rsid w:val="73B250BD"/>
    <w:rsid w:val="74324450"/>
    <w:rsid w:val="74392A0E"/>
    <w:rsid w:val="74A470FC"/>
    <w:rsid w:val="74C432FA"/>
    <w:rsid w:val="74E53270"/>
    <w:rsid w:val="74EE0377"/>
    <w:rsid w:val="750E669F"/>
    <w:rsid w:val="75104791"/>
    <w:rsid w:val="752C3307"/>
    <w:rsid w:val="75335666"/>
    <w:rsid w:val="75462B90"/>
    <w:rsid w:val="75B415C0"/>
    <w:rsid w:val="75E023B5"/>
    <w:rsid w:val="76174B66"/>
    <w:rsid w:val="76210FAF"/>
    <w:rsid w:val="767B0712"/>
    <w:rsid w:val="768371E5"/>
    <w:rsid w:val="768E1E11"/>
    <w:rsid w:val="76A52432"/>
    <w:rsid w:val="76D66828"/>
    <w:rsid w:val="771C566F"/>
    <w:rsid w:val="77814A03"/>
    <w:rsid w:val="77BA4E88"/>
    <w:rsid w:val="77BFCA85"/>
    <w:rsid w:val="77F009C7"/>
    <w:rsid w:val="77F51B74"/>
    <w:rsid w:val="78182F2B"/>
    <w:rsid w:val="782D0BA0"/>
    <w:rsid w:val="784724CF"/>
    <w:rsid w:val="787A4DE2"/>
    <w:rsid w:val="78AE511D"/>
    <w:rsid w:val="78E40EFC"/>
    <w:rsid w:val="78F349FC"/>
    <w:rsid w:val="78FE33CF"/>
    <w:rsid w:val="78FF3FC3"/>
    <w:rsid w:val="79226841"/>
    <w:rsid w:val="7962698E"/>
    <w:rsid w:val="79782905"/>
    <w:rsid w:val="79BD1137"/>
    <w:rsid w:val="79FA22BC"/>
    <w:rsid w:val="79FC7854"/>
    <w:rsid w:val="7A0B3779"/>
    <w:rsid w:val="7A1563A6"/>
    <w:rsid w:val="7A256DF9"/>
    <w:rsid w:val="7A2B3E1B"/>
    <w:rsid w:val="7A2F39E3"/>
    <w:rsid w:val="7A49604F"/>
    <w:rsid w:val="7A5549F4"/>
    <w:rsid w:val="7A6FCB35"/>
    <w:rsid w:val="7AB77AC7"/>
    <w:rsid w:val="7ADB75EF"/>
    <w:rsid w:val="7ADD52F8"/>
    <w:rsid w:val="7AE405F4"/>
    <w:rsid w:val="7B226FCC"/>
    <w:rsid w:val="7B3639F9"/>
    <w:rsid w:val="7B5E2D67"/>
    <w:rsid w:val="7B607AF4"/>
    <w:rsid w:val="7B6B5921"/>
    <w:rsid w:val="7BA23C69"/>
    <w:rsid w:val="7BB128AD"/>
    <w:rsid w:val="7BBDDCDB"/>
    <w:rsid w:val="7C0E12FE"/>
    <w:rsid w:val="7C54176F"/>
    <w:rsid w:val="7C8B6786"/>
    <w:rsid w:val="7C9E2682"/>
    <w:rsid w:val="7CDB45ED"/>
    <w:rsid w:val="7CDF62CC"/>
    <w:rsid w:val="7CE11A06"/>
    <w:rsid w:val="7CE78B91"/>
    <w:rsid w:val="7D1F53A4"/>
    <w:rsid w:val="7DDB7079"/>
    <w:rsid w:val="7DFB4068"/>
    <w:rsid w:val="7E0F5398"/>
    <w:rsid w:val="7E2B3B9D"/>
    <w:rsid w:val="7E576F8D"/>
    <w:rsid w:val="7E7502EB"/>
    <w:rsid w:val="7E8458A8"/>
    <w:rsid w:val="7EA47CF8"/>
    <w:rsid w:val="7EAE2ECE"/>
    <w:rsid w:val="7EB42631"/>
    <w:rsid w:val="7EDE320A"/>
    <w:rsid w:val="7F4B1021"/>
    <w:rsid w:val="7F4C4618"/>
    <w:rsid w:val="7F5C05D3"/>
    <w:rsid w:val="7F7714FC"/>
    <w:rsid w:val="7F9E77F8"/>
    <w:rsid w:val="7FC76394"/>
    <w:rsid w:val="8BEF56E9"/>
    <w:rsid w:val="97F95450"/>
    <w:rsid w:val="B7DF91B4"/>
    <w:rsid w:val="BFBFA4FC"/>
    <w:rsid w:val="BFFD9E1C"/>
    <w:rsid w:val="C6BF348E"/>
    <w:rsid w:val="CBDD4CF7"/>
    <w:rsid w:val="CDE9E066"/>
    <w:rsid w:val="CFD548D0"/>
    <w:rsid w:val="CFFD4A61"/>
    <w:rsid w:val="D3EFE718"/>
    <w:rsid w:val="D3F7C1D1"/>
    <w:rsid w:val="DD8D2DB6"/>
    <w:rsid w:val="DEB7C044"/>
    <w:rsid w:val="E7DB9D8C"/>
    <w:rsid w:val="E7FEA79D"/>
    <w:rsid w:val="EFCD5E6D"/>
    <w:rsid w:val="F4DDE117"/>
    <w:rsid w:val="F7EF2331"/>
    <w:rsid w:val="FB3D8C18"/>
    <w:rsid w:val="FBBFE3A6"/>
    <w:rsid w:val="FFAFBBB5"/>
    <w:rsid w:val="FFEB59F4"/>
    <w:rsid w:val="FFFA1F3D"/>
    <w:rsid w:val="FFFF23BA"/>
    <w:rsid w:val="FFFFC7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spacing w:before="260" w:after="260" w:line="416" w:lineRule="auto"/>
      <w:outlineLvl w:val="2"/>
    </w:pPr>
    <w:rPr>
      <w:b/>
      <w:bCs/>
      <w:sz w:val="32"/>
      <w:szCs w:val="32"/>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5"/>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35"/>
    <w:unhideWhenUsed/>
    <w:qFormat/>
    <w:uiPriority w:val="99"/>
    <w:pPr>
      <w:jc w:val="left"/>
    </w:pPr>
  </w:style>
  <w:style w:type="paragraph" w:styleId="14">
    <w:name w:val="Body Text"/>
    <w:basedOn w:val="1"/>
    <w:link w:val="90"/>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9"/>
    <w:semiHidden/>
    <w:unhideWhenUsed/>
    <w:qFormat/>
    <w:uiPriority w:val="99"/>
    <w:rPr>
      <w:sz w:val="18"/>
      <w:szCs w:val="18"/>
    </w:rPr>
  </w:style>
  <w:style w:type="paragraph" w:styleId="18">
    <w:name w:val="footer"/>
    <w:basedOn w:val="1"/>
    <w:link w:val="48"/>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7"/>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link w:val="103"/>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Normal (Web)"/>
    <w:basedOn w:val="1"/>
    <w:semiHidden/>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7">
    <w:name w:val="Title"/>
    <w:basedOn w:val="1"/>
    <w:link w:val="52"/>
    <w:qFormat/>
    <w:uiPriority w:val="0"/>
    <w:pPr>
      <w:spacing w:before="240" w:after="60"/>
      <w:jc w:val="center"/>
      <w:outlineLvl w:val="0"/>
    </w:pPr>
    <w:rPr>
      <w:rFonts w:ascii="Arial" w:hAnsi="Arial" w:cs="Arial"/>
      <w:b/>
      <w:bCs/>
      <w:sz w:val="32"/>
      <w:szCs w:val="32"/>
    </w:rPr>
  </w:style>
  <w:style w:type="paragraph" w:styleId="28">
    <w:name w:val="annotation subject"/>
    <w:basedOn w:val="13"/>
    <w:next w:val="13"/>
    <w:link w:val="236"/>
    <w:semiHidden/>
    <w:unhideWhenUsed/>
    <w:qFormat/>
    <w:uiPriority w:val="99"/>
    <w:rPr>
      <w:b/>
      <w:bCs/>
    </w:rPr>
  </w:style>
  <w:style w:type="table" w:styleId="30">
    <w:name w:val="Table Grid"/>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qFormat/>
    <w:uiPriority w:val="22"/>
    <w:rPr>
      <w:b/>
      <w:bCs/>
    </w:rPr>
  </w:style>
  <w:style w:type="character" w:styleId="33">
    <w:name w:val="page number"/>
    <w:qFormat/>
    <w:uiPriority w:val="0"/>
    <w:rPr>
      <w:rFonts w:ascii="宋体" w:hAnsi="Times New Roman" w:eastAsia="宋体"/>
      <w:sz w:val="18"/>
    </w:rPr>
  </w:style>
  <w:style w:type="character" w:styleId="34">
    <w:name w:val="Emphasis"/>
    <w:qFormat/>
    <w:uiPriority w:val="20"/>
    <w:rPr>
      <w:i/>
      <w:iCs/>
    </w:rPr>
  </w:style>
  <w:style w:type="character" w:styleId="35">
    <w:name w:val="Hyperlink"/>
    <w:qFormat/>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semiHidden/>
    <w:unhideWhenUsed/>
    <w:qFormat/>
    <w:uiPriority w:val="99"/>
    <w:rPr>
      <w:sz w:val="21"/>
      <w:szCs w:val="21"/>
    </w:rPr>
  </w:style>
  <w:style w:type="character" w:styleId="37">
    <w:name w:val="footnote reference"/>
    <w:basedOn w:val="31"/>
    <w:semiHidden/>
    <w:qFormat/>
    <w:uiPriority w:val="0"/>
    <w:rPr>
      <w:rFonts w:ascii="宋体" w:hAnsi="宋体" w:eastAsia="宋体" w:cs="Times New Roman"/>
      <w:spacing w:val="0"/>
      <w:sz w:val="18"/>
      <w:vertAlign w:val="superscript"/>
    </w:rPr>
  </w:style>
  <w:style w:type="character" w:customStyle="1" w:styleId="38">
    <w:name w:val="标题 1 Char"/>
    <w:link w:val="2"/>
    <w:qFormat/>
    <w:uiPriority w:val="0"/>
    <w:rPr>
      <w:rFonts w:ascii="Times New Roman" w:hAnsi="Times New Roman" w:eastAsia="宋体" w:cs="Times New Roman"/>
      <w:b/>
      <w:bCs/>
      <w:kern w:val="44"/>
      <w:sz w:val="44"/>
      <w:szCs w:val="44"/>
    </w:rPr>
  </w:style>
  <w:style w:type="character" w:customStyle="1" w:styleId="39">
    <w:name w:val="标题 2 Char"/>
    <w:link w:val="3"/>
    <w:qFormat/>
    <w:uiPriority w:val="0"/>
    <w:rPr>
      <w:rFonts w:ascii="Arial" w:hAnsi="Arial" w:eastAsia="黑体" w:cs="Times New Roman"/>
      <w:b/>
      <w:bCs/>
      <w:sz w:val="32"/>
      <w:szCs w:val="32"/>
    </w:rPr>
  </w:style>
  <w:style w:type="character" w:customStyle="1" w:styleId="40">
    <w:name w:val="标题 3 Char"/>
    <w:link w:val="4"/>
    <w:qFormat/>
    <w:uiPriority w:val="0"/>
    <w:rPr>
      <w:rFonts w:ascii="Times New Roman" w:hAnsi="Times New Roman" w:eastAsia="宋体" w:cs="Times New Roman"/>
      <w:b/>
      <w:bCs/>
      <w:sz w:val="32"/>
      <w:szCs w:val="32"/>
    </w:rPr>
  </w:style>
  <w:style w:type="character" w:customStyle="1" w:styleId="41">
    <w:name w:val="标题 4 Char"/>
    <w:link w:val="5"/>
    <w:qFormat/>
    <w:uiPriority w:val="0"/>
    <w:rPr>
      <w:rFonts w:ascii="Arial" w:hAnsi="Arial" w:eastAsia="黑体" w:cs="Times New Roman"/>
      <w:b/>
      <w:bCs/>
      <w:sz w:val="28"/>
      <w:szCs w:val="28"/>
    </w:rPr>
  </w:style>
  <w:style w:type="character" w:customStyle="1" w:styleId="42">
    <w:name w:val="标题 5 Char"/>
    <w:link w:val="6"/>
    <w:qFormat/>
    <w:uiPriority w:val="0"/>
    <w:rPr>
      <w:rFonts w:ascii="Times New Roman" w:hAnsi="Times New Roman" w:eastAsia="宋体" w:cs="Times New Roman"/>
      <w:b/>
      <w:bCs/>
      <w:sz w:val="28"/>
      <w:szCs w:val="28"/>
    </w:rPr>
  </w:style>
  <w:style w:type="character" w:customStyle="1" w:styleId="43">
    <w:name w:val="标题 6 Char"/>
    <w:link w:val="7"/>
    <w:qFormat/>
    <w:uiPriority w:val="0"/>
    <w:rPr>
      <w:rFonts w:ascii="Arial" w:hAnsi="Arial" w:eastAsia="黑体" w:cs="Times New Roman"/>
      <w:b/>
      <w:bCs/>
      <w:sz w:val="24"/>
      <w:szCs w:val="24"/>
    </w:rPr>
  </w:style>
  <w:style w:type="character" w:customStyle="1" w:styleId="44">
    <w:name w:val="标题 7 Char"/>
    <w:link w:val="8"/>
    <w:qFormat/>
    <w:uiPriority w:val="0"/>
    <w:rPr>
      <w:rFonts w:ascii="Times New Roman" w:hAnsi="Times New Roman" w:eastAsia="宋体" w:cs="Times New Roman"/>
      <w:b/>
      <w:bCs/>
      <w:sz w:val="24"/>
      <w:szCs w:val="24"/>
    </w:rPr>
  </w:style>
  <w:style w:type="character" w:customStyle="1" w:styleId="45">
    <w:name w:val="标题 8 Char"/>
    <w:link w:val="9"/>
    <w:qFormat/>
    <w:uiPriority w:val="0"/>
    <w:rPr>
      <w:rFonts w:ascii="Arial" w:hAnsi="Arial" w:eastAsia="黑体" w:cs="Times New Roman"/>
      <w:sz w:val="24"/>
      <w:szCs w:val="24"/>
    </w:rPr>
  </w:style>
  <w:style w:type="character" w:customStyle="1" w:styleId="46">
    <w:name w:val="标题 9 Char"/>
    <w:link w:val="10"/>
    <w:qFormat/>
    <w:uiPriority w:val="0"/>
    <w:rPr>
      <w:rFonts w:ascii="Arial" w:hAnsi="Arial" w:eastAsia="黑体" w:cs="Times New Roman"/>
      <w:szCs w:val="21"/>
    </w:rPr>
  </w:style>
  <w:style w:type="character" w:customStyle="1" w:styleId="47">
    <w:name w:val="页眉 Char"/>
    <w:link w:val="19"/>
    <w:qFormat/>
    <w:uiPriority w:val="99"/>
    <w:rPr>
      <w:rFonts w:ascii="Times New Roman" w:hAnsi="Times New Roman" w:eastAsia="宋体" w:cs="Times New Roman"/>
      <w:sz w:val="18"/>
      <w:szCs w:val="18"/>
    </w:rPr>
  </w:style>
  <w:style w:type="character" w:customStyle="1" w:styleId="48">
    <w:name w:val="页脚 Char"/>
    <w:link w:val="18"/>
    <w:qFormat/>
    <w:uiPriority w:val="99"/>
    <w:rPr>
      <w:rFonts w:ascii="宋体" w:hAnsi="Times New Roman" w:eastAsia="宋体" w:cs="Times New Roman"/>
      <w:sz w:val="18"/>
      <w:szCs w:val="18"/>
    </w:rPr>
  </w:style>
  <w:style w:type="character" w:customStyle="1" w:styleId="49">
    <w:name w:val="批注框文本 Char"/>
    <w:link w:val="17"/>
    <w:semiHidden/>
    <w:qFormat/>
    <w:uiPriority w:val="99"/>
    <w:rPr>
      <w:sz w:val="18"/>
      <w:szCs w:val="18"/>
    </w:rPr>
  </w:style>
  <w:style w:type="paragraph" w:styleId="50">
    <w:name w:val="Quote"/>
    <w:basedOn w:val="1"/>
    <w:next w:val="1"/>
    <w:link w:val="51"/>
    <w:qFormat/>
    <w:uiPriority w:val="29"/>
    <w:rPr>
      <w:i/>
      <w:iCs/>
      <w:color w:val="000000"/>
    </w:rPr>
  </w:style>
  <w:style w:type="character" w:customStyle="1" w:styleId="51">
    <w:name w:val="引用 Char"/>
    <w:link w:val="50"/>
    <w:qFormat/>
    <w:uiPriority w:val="29"/>
    <w:rPr>
      <w:i/>
      <w:iCs/>
      <w:color w:val="000000"/>
    </w:rPr>
  </w:style>
  <w:style w:type="character" w:customStyle="1" w:styleId="52">
    <w:name w:val="标题 Char"/>
    <w:link w:val="27"/>
    <w:qFormat/>
    <w:uiPriority w:val="0"/>
    <w:rPr>
      <w:rFonts w:ascii="Arial" w:hAnsi="Arial" w:eastAsia="宋体" w:cs="Arial"/>
      <w:b/>
      <w:bCs/>
      <w:sz w:val="32"/>
      <w:szCs w:val="32"/>
    </w:rPr>
  </w:style>
  <w:style w:type="paragraph" w:customStyle="1" w:styleId="5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qFormat/>
    <w:uiPriority w:val="0"/>
    <w:pPr>
      <w:spacing w:line="0" w:lineRule="atLeast"/>
    </w:pPr>
    <w:rPr>
      <w:rFonts w:ascii="黑体" w:hAnsi="宋体" w:eastAsia="黑体"/>
    </w:rPr>
  </w:style>
  <w:style w:type="paragraph" w:customStyle="1" w:styleId="59">
    <w:name w:val="标准文件_标准正文"/>
    <w:basedOn w:val="1"/>
    <w:next w:val="60"/>
    <w:qFormat/>
    <w:uiPriority w:val="0"/>
    <w:pPr>
      <w:snapToGrid w:val="0"/>
      <w:ind w:firstLine="200" w:firstLineChars="200"/>
    </w:pPr>
    <w:rPr>
      <w:kern w:val="0"/>
    </w:rPr>
  </w:style>
  <w:style w:type="paragraph" w:customStyle="1" w:styleId="60">
    <w:name w:val="标准文件_段"/>
    <w:link w:val="18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qFormat/>
    <w:uiPriority w:val="0"/>
    <w:pPr>
      <w:adjustRightInd/>
      <w:snapToGrid/>
      <w:ind w:firstLine="0" w:firstLineChars="0"/>
    </w:pPr>
    <w:rPr>
      <w:rFonts w:ascii="宋体" w:hAnsi="宋体"/>
      <w:kern w:val="2"/>
    </w:rPr>
  </w:style>
  <w:style w:type="paragraph" w:customStyle="1" w:styleId="62">
    <w:name w:val="标准文件_标准部门"/>
    <w:basedOn w:val="1"/>
    <w:qFormat/>
    <w:uiPriority w:val="0"/>
    <w:pPr>
      <w:jc w:val="center"/>
    </w:pPr>
    <w:rPr>
      <w:rFonts w:ascii="黑体" w:eastAsia="黑体"/>
      <w:kern w:val="0"/>
      <w:sz w:val="44"/>
    </w:rPr>
  </w:style>
  <w:style w:type="paragraph" w:customStyle="1" w:styleId="63">
    <w:name w:val="标准文件_标准代替"/>
    <w:basedOn w:val="1"/>
    <w:next w:val="1"/>
    <w:qFormat/>
    <w:uiPriority w:val="0"/>
    <w:pPr>
      <w:spacing w:line="310" w:lineRule="exact"/>
      <w:jc w:val="right"/>
    </w:pPr>
    <w:rPr>
      <w:rFonts w:ascii="宋体" w:hAnsi="宋体"/>
      <w:kern w:val="0"/>
    </w:rPr>
  </w:style>
  <w:style w:type="paragraph" w:customStyle="1" w:styleId="64">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qFormat/>
    <w:uiPriority w:val="0"/>
    <w:pPr>
      <w:jc w:val="left"/>
    </w:pPr>
  </w:style>
  <w:style w:type="paragraph" w:customStyle="1" w:styleId="67">
    <w:name w:val="标准文件_参考文献标题"/>
    <w:basedOn w:val="1"/>
    <w:next w:val="1"/>
    <w:qFormat/>
    <w:uiPriority w:val="0"/>
    <w:pPr>
      <w:widowControl/>
      <w:shd w:val="clear" w:color="FFFFFF" w:fill="FFFFFF"/>
      <w:adjustRightInd/>
      <w:spacing w:before="480" w:afterLines="50" w:line="240" w:lineRule="auto"/>
      <w:jc w:val="center"/>
      <w:outlineLvl w:val="0"/>
    </w:pPr>
    <w:rPr>
      <w:rFonts w:ascii="黑体" w:eastAsia="黑体"/>
      <w:kern w:val="0"/>
    </w:rPr>
  </w:style>
  <w:style w:type="paragraph" w:customStyle="1" w:styleId="68">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70">
    <w:name w:val="标准文件_发布"/>
    <w:qFormat/>
    <w:uiPriority w:val="0"/>
    <w:rPr>
      <w:rFonts w:ascii="黑体" w:eastAsia="黑体"/>
      <w:spacing w:val="0"/>
      <w:w w:val="100"/>
      <w:position w:val="3"/>
      <w:sz w:val="28"/>
    </w:rPr>
  </w:style>
  <w:style w:type="paragraph" w:customStyle="1" w:styleId="71">
    <w:name w:val="标准文件_方框数字列项"/>
    <w:basedOn w:val="60"/>
    <w:qFormat/>
    <w:uiPriority w:val="0"/>
    <w:pPr>
      <w:numPr>
        <w:ilvl w:val="0"/>
        <w:numId w:val="3"/>
      </w:numPr>
      <w:ind w:firstLine="0" w:firstLineChars="0"/>
    </w:pPr>
  </w:style>
  <w:style w:type="paragraph" w:customStyle="1" w:styleId="72">
    <w:name w:val="标准文件_封面标准编号"/>
    <w:basedOn w:val="1"/>
    <w:next w:val="63"/>
    <w:qFormat/>
    <w:uiPriority w:val="0"/>
    <w:pPr>
      <w:spacing w:line="310" w:lineRule="exact"/>
      <w:jc w:val="right"/>
    </w:pPr>
    <w:rPr>
      <w:rFonts w:ascii="黑体" w:eastAsia="黑体"/>
      <w:kern w:val="0"/>
      <w:sz w:val="28"/>
    </w:rPr>
  </w:style>
  <w:style w:type="paragraph" w:customStyle="1" w:styleId="73">
    <w:name w:val="标准文件_封面标准分类号"/>
    <w:basedOn w:val="1"/>
    <w:qFormat/>
    <w:uiPriority w:val="0"/>
    <w:rPr>
      <w:rFonts w:ascii="黑体" w:eastAsia="黑体"/>
      <w:b/>
      <w:kern w:val="0"/>
      <w:sz w:val="28"/>
    </w:rPr>
  </w:style>
  <w:style w:type="paragraph" w:customStyle="1" w:styleId="74">
    <w:name w:val="标准文件_封面标准名称"/>
    <w:basedOn w:val="1"/>
    <w:qFormat/>
    <w:uiPriority w:val="0"/>
    <w:pPr>
      <w:spacing w:line="240" w:lineRule="auto"/>
      <w:jc w:val="center"/>
    </w:pPr>
    <w:rPr>
      <w:rFonts w:ascii="黑体" w:eastAsia="黑体"/>
      <w:kern w:val="0"/>
      <w:sz w:val="52"/>
    </w:rPr>
  </w:style>
  <w:style w:type="paragraph" w:customStyle="1" w:styleId="75">
    <w:name w:val="标准文件_封面标准英文名称"/>
    <w:basedOn w:val="1"/>
    <w:qFormat/>
    <w:uiPriority w:val="0"/>
    <w:pPr>
      <w:spacing w:line="240" w:lineRule="auto"/>
      <w:jc w:val="center"/>
    </w:pPr>
    <w:rPr>
      <w:rFonts w:ascii="黑体" w:eastAsia="黑体"/>
      <w:b/>
      <w:sz w:val="28"/>
    </w:rPr>
  </w:style>
  <w:style w:type="paragraph" w:customStyle="1" w:styleId="76">
    <w:name w:val="标准文件_封面发布日期"/>
    <w:basedOn w:val="1"/>
    <w:qFormat/>
    <w:uiPriority w:val="0"/>
    <w:pPr>
      <w:spacing w:line="310" w:lineRule="exact"/>
    </w:pPr>
    <w:rPr>
      <w:rFonts w:ascii="黑体" w:eastAsia="黑体"/>
      <w:kern w:val="0"/>
      <w:sz w:val="28"/>
    </w:rPr>
  </w:style>
  <w:style w:type="paragraph" w:customStyle="1" w:styleId="77">
    <w:name w:val="标准文件_封面密级"/>
    <w:basedOn w:val="1"/>
    <w:qFormat/>
    <w:uiPriority w:val="0"/>
    <w:rPr>
      <w:rFonts w:eastAsia="黑体"/>
      <w:sz w:val="32"/>
    </w:rPr>
  </w:style>
  <w:style w:type="paragraph" w:customStyle="1" w:styleId="78">
    <w:name w:val="标准文件_封面实施日期"/>
    <w:basedOn w:val="1"/>
    <w:qFormat/>
    <w:uiPriority w:val="0"/>
    <w:pPr>
      <w:spacing w:line="310" w:lineRule="exact"/>
      <w:jc w:val="right"/>
    </w:pPr>
    <w:rPr>
      <w:rFonts w:ascii="黑体" w:eastAsia="黑体"/>
      <w:sz w:val="28"/>
    </w:rPr>
  </w:style>
  <w:style w:type="paragraph" w:customStyle="1" w:styleId="79">
    <w:name w:val="标准文件_封面抬头"/>
    <w:basedOn w:val="60"/>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qFormat/>
    <w:uiPriority w:val="0"/>
    <w:pPr>
      <w:numPr>
        <w:ilvl w:val="0"/>
        <w:numId w:val="4"/>
      </w:numPr>
      <w:shd w:val="clear" w:color="FFFFFF" w:fill="FFFFFF"/>
      <w:tabs>
        <w:tab w:val="left" w:pos="6406"/>
      </w:tabs>
      <w:spacing w:beforeLines="25"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qFormat/>
    <w:uiPriority w:val="0"/>
    <w:pPr>
      <w:numPr>
        <w:ilvl w:val="1"/>
        <w:numId w:val="5"/>
      </w:numPr>
      <w:adjustRightInd w:val="0"/>
      <w:snapToGrid w:val="0"/>
      <w:spacing w:beforeLines="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5">
    <w:name w:val="标准文件_附录三级条标题"/>
    <w:next w:val="60"/>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qFormat/>
    <w:uiPriority w:val="0"/>
    <w:pPr>
      <w:numPr>
        <w:ilvl w:val="1"/>
        <w:numId w:val="6"/>
      </w:numPr>
      <w:adjustRightInd w:val="0"/>
      <w:snapToGrid w:val="0"/>
      <w:spacing w:beforeLines="50" w:afterLines="50"/>
      <w:ind w:firstLine="420"/>
      <w:jc w:val="center"/>
    </w:pPr>
    <w:rPr>
      <w:rFonts w:ascii="黑体" w:hAnsi="Times New Roman" w:eastAsia="黑体" w:cs="Times New Roman"/>
      <w:sz w:val="21"/>
      <w:lang w:val="en-US" w:eastAsia="zh-CN" w:bidi="ar-SA"/>
    </w:rPr>
  </w:style>
  <w:style w:type="paragraph" w:customStyle="1" w:styleId="88">
    <w:name w:val="标准文件_附录五级条标题"/>
    <w:next w:val="60"/>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Char"/>
    <w:link w:val="14"/>
    <w:qFormat/>
    <w:uiPriority w:val="0"/>
    <w:rPr>
      <w:rFonts w:ascii="Times New Roman" w:hAnsi="Times New Roman" w:eastAsia="宋体" w:cs="Times New Roman"/>
      <w:szCs w:val="20"/>
    </w:rPr>
  </w:style>
  <w:style w:type="paragraph" w:customStyle="1" w:styleId="91">
    <w:name w:val="标准文件_附录章标题"/>
    <w:next w:val="60"/>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qFormat/>
    <w:uiPriority w:val="0"/>
    <w:pPr>
      <w:ind w:left="488" w:leftChars="200" w:hanging="289" w:hangingChars="290"/>
    </w:pPr>
  </w:style>
  <w:style w:type="paragraph" w:customStyle="1" w:styleId="93">
    <w:name w:val="标准文件_前言、引言标题"/>
    <w:next w:val="1"/>
    <w:qFormat/>
    <w:uiPriority w:val="0"/>
    <w:pPr>
      <w:numPr>
        <w:ilvl w:val="0"/>
        <w:numId w:val="8"/>
      </w:numPr>
      <w:shd w:val="clear" w:color="FFFFFF" w:fill="FFFFFF"/>
      <w:spacing w:before="480" w:afterLines="150"/>
      <w:ind w:left="0" w:firstLine="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qFormat/>
    <w:uiPriority w:val="0"/>
    <w:pPr>
      <w:spacing w:line="460" w:lineRule="exact"/>
    </w:pPr>
  </w:style>
  <w:style w:type="paragraph" w:customStyle="1" w:styleId="95">
    <w:name w:val="标准文件_目录标题"/>
    <w:basedOn w:val="1"/>
    <w:qFormat/>
    <w:uiPriority w:val="0"/>
    <w:pPr>
      <w:spacing w:before="480" w:afterLines="150" w:line="240" w:lineRule="auto"/>
      <w:jc w:val="center"/>
    </w:pPr>
    <w:rPr>
      <w:rFonts w:ascii="黑体" w:eastAsia="黑体"/>
      <w:sz w:val="32"/>
    </w:rPr>
  </w:style>
  <w:style w:type="paragraph" w:customStyle="1" w:styleId="96">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qFormat/>
    <w:uiPriority w:val="0"/>
    <w:pPr>
      <w:numPr>
        <w:numId w:val="10"/>
      </w:numPr>
      <w:ind w:left="0" w:firstLine="200"/>
    </w:pPr>
  </w:style>
  <w:style w:type="paragraph" w:customStyle="1" w:styleId="98">
    <w:name w:val="标准文件_三级条标题"/>
    <w:basedOn w:val="69"/>
    <w:next w:val="60"/>
    <w:qFormat/>
    <w:uiPriority w:val="0"/>
    <w:pPr>
      <w:widowControl/>
      <w:numPr>
        <w:ilvl w:val="4"/>
      </w:numPr>
      <w:outlineLvl w:val="3"/>
    </w:pPr>
  </w:style>
  <w:style w:type="character" w:customStyle="1" w:styleId="99">
    <w:name w:val="不明显参考1"/>
    <w:qFormat/>
    <w:uiPriority w:val="31"/>
    <w:rPr>
      <w:smallCaps/>
      <w:color w:val="C0504D"/>
      <w:u w:val="single"/>
    </w:rPr>
  </w:style>
  <w:style w:type="paragraph" w:customStyle="1" w:styleId="100">
    <w:name w:val="标准文件_示例后续"/>
    <w:basedOn w:val="1"/>
    <w:qFormat/>
    <w:uiPriority w:val="0"/>
    <w:pPr>
      <w:adjustRightInd/>
      <w:spacing w:line="240" w:lineRule="auto"/>
      <w:ind w:firstLine="200" w:firstLineChars="200"/>
    </w:pPr>
    <w:rPr>
      <w:sz w:val="18"/>
      <w:szCs w:val="24"/>
    </w:rPr>
  </w:style>
  <w:style w:type="paragraph" w:customStyle="1" w:styleId="101">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03">
    <w:name w:val="脚注文本 Char"/>
    <w:link w:val="22"/>
    <w:semiHidden/>
    <w:qFormat/>
    <w:uiPriority w:val="0"/>
    <w:rPr>
      <w:rFonts w:ascii="宋体" w:hAnsi="Times New Roman" w:eastAsia="宋体" w:cs="Times New Roman"/>
      <w:sz w:val="18"/>
      <w:szCs w:val="18"/>
    </w:rPr>
  </w:style>
  <w:style w:type="paragraph" w:customStyle="1" w:styleId="104">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qFormat/>
    <w:uiPriority w:val="0"/>
    <w:pPr>
      <w:numPr>
        <w:ilvl w:val="0"/>
        <w:numId w:val="12"/>
      </w:numPr>
      <w:spacing w:line="240" w:lineRule="auto"/>
      <w:jc w:val="left"/>
    </w:pPr>
    <w:rPr>
      <w:rFonts w:ascii="宋体" w:hAnsi="宋体"/>
      <w:sz w:val="18"/>
    </w:rPr>
  </w:style>
  <w:style w:type="character" w:customStyle="1" w:styleId="106">
    <w:name w:val="标准文件_图表脚注内容"/>
    <w:qFormat/>
    <w:uiPriority w:val="0"/>
    <w:rPr>
      <w:rFonts w:ascii="宋体" w:hAnsi="宋体" w:eastAsia="宋体" w:cs="Times New Roman"/>
      <w:spacing w:val="0"/>
      <w:sz w:val="18"/>
      <w:vertAlign w:val="superscript"/>
    </w:rPr>
  </w:style>
  <w:style w:type="paragraph" w:customStyle="1" w:styleId="107">
    <w:name w:val="标准文件_五级条标题"/>
    <w:next w:val="60"/>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qFormat/>
    <w:uiPriority w:val="0"/>
    <w:pPr>
      <w:numPr>
        <w:ilvl w:val="2"/>
      </w:numPr>
      <w:spacing w:beforeLines="50" w:afterLines="50"/>
      <w:outlineLvl w:val="1"/>
    </w:pPr>
  </w:style>
  <w:style w:type="paragraph" w:customStyle="1" w:styleId="110">
    <w:name w:val="标准文件_一致程度"/>
    <w:basedOn w:val="1"/>
    <w:qFormat/>
    <w:uiPriority w:val="0"/>
    <w:pPr>
      <w:spacing w:line="440" w:lineRule="exact"/>
      <w:jc w:val="center"/>
    </w:pPr>
    <w:rPr>
      <w:sz w:val="28"/>
    </w:rPr>
  </w:style>
  <w:style w:type="paragraph" w:customStyle="1" w:styleId="111">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qFormat/>
    <w:uiPriority w:val="0"/>
    <w:pPr>
      <w:widowControl/>
      <w:adjustRightInd/>
      <w:snapToGrid/>
      <w:spacing w:line="240" w:lineRule="auto"/>
      <w:ind w:left="79" w:hanging="79" w:hangingChars="80"/>
    </w:pPr>
    <w:rPr>
      <w:rFonts w:ascii="宋体" w:hAnsi="宋体"/>
    </w:rPr>
  </w:style>
  <w:style w:type="paragraph" w:customStyle="1" w:styleId="113">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4">
    <w:name w:val="标准文件_英文注："/>
    <w:basedOn w:val="1"/>
    <w:next w:val="60"/>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5">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6">
    <w:name w:val="标准文件_正文表标题"/>
    <w:next w:val="60"/>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qFormat/>
    <w:uiPriority w:val="0"/>
    <w:pPr>
      <w:tabs>
        <w:tab w:val="center" w:pos="4678"/>
        <w:tab w:val="right" w:leader="middleDot" w:pos="9356"/>
      </w:tabs>
      <w:spacing w:line="240" w:lineRule="auto"/>
    </w:pPr>
    <w:rPr>
      <w:rFonts w:ascii="宋体" w:hAnsi="宋体"/>
    </w:rPr>
  </w:style>
  <w:style w:type="paragraph" w:customStyle="1" w:styleId="118">
    <w:name w:val="标准文件_正文图标题"/>
    <w:next w:val="60"/>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22">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3">
    <w:name w:val="发布部门"/>
    <w:next w:val="6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qFormat/>
    <w:uiPriority w:val="0"/>
    <w:pPr>
      <w:outlineLvl w:val="5"/>
    </w:pPr>
  </w:style>
  <w:style w:type="paragraph" w:customStyle="1" w:styleId="135">
    <w:name w:val="附录图"/>
    <w:next w:val="60"/>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qFormat/>
    <w:uiPriority w:val="0"/>
    <w:pPr>
      <w:widowControl/>
      <w:adjustRightInd/>
      <w:jc w:val="center"/>
    </w:pPr>
    <w:rPr>
      <w:rFonts w:ascii="黑体" w:eastAsia="黑体"/>
    </w:rPr>
  </w:style>
  <w:style w:type="paragraph" w:customStyle="1" w:styleId="139">
    <w:name w:val="附录一级无标题条"/>
    <w:basedOn w:val="91"/>
    <w:next w:val="60"/>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qFormat/>
    <w:uiPriority w:val="0"/>
    <w:rPr>
      <w:rFonts w:ascii="Arial" w:hAnsi="Arial" w:eastAsia="宋体" w:cs="Arial"/>
      <w:color w:val="auto"/>
      <w:spacing w:val="0"/>
      <w:sz w:val="20"/>
    </w:rPr>
  </w:style>
  <w:style w:type="paragraph" w:customStyle="1" w:styleId="142">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qFormat/>
    <w:uiPriority w:val="0"/>
    <w:pPr>
      <w:tabs>
        <w:tab w:val="left" w:pos="840"/>
      </w:tabs>
    </w:pPr>
  </w:style>
  <w:style w:type="paragraph" w:customStyle="1" w:styleId="14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semiHidden/>
    <w:qFormat/>
    <w:uiPriority w:val="0"/>
    <w:pPr>
      <w:adjustRightInd/>
      <w:spacing w:line="240" w:lineRule="auto"/>
      <w:jc w:val="left"/>
    </w:pPr>
    <w:rPr>
      <w:bCs/>
      <w:iCs/>
    </w:rPr>
  </w:style>
  <w:style w:type="paragraph" w:customStyle="1" w:styleId="147">
    <w:name w:val="目录 31"/>
    <w:basedOn w:val="1"/>
    <w:next w:val="1"/>
    <w:semiHidden/>
    <w:qFormat/>
    <w:uiPriority w:val="0"/>
    <w:pPr>
      <w:spacing w:line="240" w:lineRule="auto"/>
    </w:pPr>
    <w:rPr>
      <w:rFonts w:ascii="宋体" w:hAnsi="宋体"/>
      <w:iCs/>
    </w:rPr>
  </w:style>
  <w:style w:type="paragraph" w:customStyle="1" w:styleId="148">
    <w:name w:val="目录 41"/>
    <w:basedOn w:val="1"/>
    <w:next w:val="1"/>
    <w:semiHidden/>
    <w:qFormat/>
    <w:uiPriority w:val="0"/>
    <w:pPr>
      <w:adjustRightInd/>
      <w:spacing w:line="240" w:lineRule="auto"/>
      <w:jc w:val="left"/>
    </w:pPr>
  </w:style>
  <w:style w:type="paragraph" w:customStyle="1" w:styleId="149">
    <w:name w:val="目录 51"/>
    <w:basedOn w:val="1"/>
    <w:next w:val="1"/>
    <w:semiHidden/>
    <w:qFormat/>
    <w:uiPriority w:val="0"/>
    <w:pPr>
      <w:spacing w:line="240" w:lineRule="auto"/>
    </w:pPr>
    <w:rPr>
      <w:rFonts w:ascii="宋体" w:hAnsi="宋体"/>
    </w:rPr>
  </w:style>
  <w:style w:type="paragraph" w:customStyle="1" w:styleId="150">
    <w:name w:val="目录 61"/>
    <w:basedOn w:val="1"/>
    <w:next w:val="1"/>
    <w:semiHidden/>
    <w:qFormat/>
    <w:uiPriority w:val="0"/>
    <w:pPr>
      <w:adjustRightInd/>
      <w:spacing w:line="240" w:lineRule="auto"/>
      <w:jc w:val="left"/>
    </w:pPr>
  </w:style>
  <w:style w:type="paragraph" w:customStyle="1" w:styleId="151">
    <w:name w:val="目录 71"/>
    <w:basedOn w:val="150"/>
    <w:semiHidden/>
    <w:qFormat/>
    <w:uiPriority w:val="0"/>
    <w:pPr>
      <w:ind w:left="1260"/>
    </w:pPr>
  </w:style>
  <w:style w:type="paragraph" w:customStyle="1" w:styleId="152">
    <w:name w:val="目录 81"/>
    <w:basedOn w:val="151"/>
    <w:semiHidden/>
    <w:qFormat/>
    <w:uiPriority w:val="0"/>
    <w:pPr>
      <w:ind w:left="1470"/>
    </w:pPr>
  </w:style>
  <w:style w:type="paragraph" w:customStyle="1" w:styleId="153">
    <w:name w:val="目录 91"/>
    <w:basedOn w:val="152"/>
    <w:semiHidden/>
    <w:qFormat/>
    <w:uiPriority w:val="0"/>
    <w:pPr>
      <w:ind w:left="1680"/>
    </w:pPr>
  </w:style>
  <w:style w:type="paragraph" w:customStyle="1" w:styleId="15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qFormat/>
    <w:uiPriority w:val="0"/>
    <w:pPr>
      <w:framePr/>
      <w:spacing w:line="0" w:lineRule="atLeast"/>
    </w:pPr>
    <w:rPr>
      <w:rFonts w:ascii="黑体" w:eastAsia="黑体"/>
      <w:b w:val="0"/>
    </w:rPr>
  </w:style>
  <w:style w:type="paragraph" w:customStyle="1" w:styleId="156">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8">
    <w:name w:val="实施日期"/>
    <w:basedOn w:val="124"/>
    <w:qFormat/>
    <w:uiPriority w:val="0"/>
    <w:pPr>
      <w:framePr w:hSpace="0" w:xAlign="right"/>
      <w:jc w:val="right"/>
    </w:pPr>
  </w:style>
  <w:style w:type="paragraph" w:customStyle="1" w:styleId="159">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qFormat/>
    <w:uiPriority w:val="0"/>
    <w:pPr>
      <w:numPr>
        <w:ilvl w:val="6"/>
        <w:numId w:val="20"/>
      </w:numPr>
      <w:adjustRightInd/>
    </w:pPr>
    <w:rPr>
      <w:szCs w:val="24"/>
    </w:rPr>
  </w:style>
  <w:style w:type="paragraph" w:customStyle="1" w:styleId="163">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4">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qFormat/>
    <w:uiPriority w:val="0"/>
    <w:pPr>
      <w:ind w:left="1406" w:leftChars="0" w:hanging="499" w:firstLineChars="0"/>
    </w:pPr>
  </w:style>
  <w:style w:type="paragraph" w:customStyle="1" w:styleId="166">
    <w:name w:val="标准文件_一级无标题"/>
    <w:basedOn w:val="109"/>
    <w:qFormat/>
    <w:uiPriority w:val="0"/>
    <w:pPr>
      <w:spacing w:beforeLines="0" w:afterLines="0"/>
      <w:outlineLvl w:val="9"/>
    </w:pPr>
    <w:rPr>
      <w:rFonts w:ascii="宋体" w:eastAsia="宋体"/>
    </w:rPr>
  </w:style>
  <w:style w:type="paragraph" w:customStyle="1" w:styleId="167">
    <w:name w:val="标准文件_五级无标题"/>
    <w:basedOn w:val="107"/>
    <w:qFormat/>
    <w:uiPriority w:val="0"/>
    <w:pPr>
      <w:spacing w:beforeLines="0" w:afterLines="0"/>
      <w:outlineLvl w:val="9"/>
    </w:pPr>
    <w:rPr>
      <w:rFonts w:ascii="宋体" w:eastAsia="宋体"/>
    </w:rPr>
  </w:style>
  <w:style w:type="paragraph" w:customStyle="1" w:styleId="168">
    <w:name w:val="标准文件_三级无标题"/>
    <w:basedOn w:val="98"/>
    <w:qFormat/>
    <w:uiPriority w:val="0"/>
    <w:pPr>
      <w:spacing w:beforeLines="0" w:afterLines="0"/>
      <w:outlineLvl w:val="9"/>
    </w:pPr>
    <w:rPr>
      <w:rFonts w:ascii="宋体" w:eastAsia="宋体"/>
    </w:rPr>
  </w:style>
  <w:style w:type="paragraph" w:customStyle="1" w:styleId="169">
    <w:name w:val="标准文件_二级无标题"/>
    <w:basedOn w:val="69"/>
    <w:qFormat/>
    <w:uiPriority w:val="0"/>
    <w:pPr>
      <w:spacing w:beforeLines="0" w:afterLines="0"/>
      <w:outlineLvl w:val="9"/>
    </w:pPr>
    <w:rPr>
      <w:rFonts w:ascii="宋体" w:eastAsia="宋体"/>
    </w:rPr>
  </w:style>
  <w:style w:type="paragraph" w:customStyle="1" w:styleId="170">
    <w:name w:val="标准_四级无标题"/>
    <w:basedOn w:val="102"/>
    <w:next w:val="60"/>
    <w:qFormat/>
    <w:uiPriority w:val="0"/>
    <w:rPr>
      <w:rFonts w:eastAsia="宋体"/>
    </w:rPr>
  </w:style>
  <w:style w:type="paragraph" w:customStyle="1" w:styleId="171">
    <w:name w:val="标准文件_四级无标题"/>
    <w:basedOn w:val="102"/>
    <w:qFormat/>
    <w:uiPriority w:val="0"/>
    <w:pPr>
      <w:spacing w:beforeLines="0" w:afterLines="0"/>
      <w:outlineLvl w:val="9"/>
    </w:pPr>
    <w:rPr>
      <w:rFonts w:ascii="宋体" w:hAnsi="黑体" w:eastAsia="宋体"/>
      <w:szCs w:val="52"/>
    </w:rPr>
  </w:style>
  <w:style w:type="paragraph" w:customStyle="1" w:styleId="172">
    <w:name w:val="标准文件_大写罗马数字编号列项"/>
    <w:basedOn w:val="60"/>
    <w:qFormat/>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qFormat/>
    <w:uiPriority w:val="0"/>
    <w:pPr>
      <w:numPr>
        <w:ilvl w:val="0"/>
        <w:numId w:val="24"/>
      </w:numPr>
      <w:ind w:firstLine="0" w:firstLineChars="0"/>
    </w:pPr>
    <w:rPr>
      <w:rFonts w:cs="Arial"/>
      <w:szCs w:val="28"/>
    </w:rPr>
  </w:style>
  <w:style w:type="paragraph" w:customStyle="1" w:styleId="174">
    <w:name w:val="标准文件_附录标题"/>
    <w:basedOn w:val="80"/>
    <w:qFormat/>
    <w:uiPriority w:val="0"/>
    <w:pPr>
      <w:numPr>
        <w:numId w:val="0"/>
      </w:numPr>
      <w:spacing w:after="280"/>
      <w:outlineLvl w:val="9"/>
    </w:pPr>
  </w:style>
  <w:style w:type="paragraph" w:customStyle="1" w:styleId="175">
    <w:name w:val="标准文件_二级项"/>
    <w:qFormat/>
    <w:uiPriority w:val="0"/>
    <w:rPr>
      <w:rFonts w:ascii="宋体" w:hAnsi="Times New Roman" w:eastAsia="宋体" w:cs="Times New Roman"/>
      <w:sz w:val="21"/>
      <w:lang w:val="en-US" w:eastAsia="zh-CN" w:bidi="ar-SA"/>
    </w:rPr>
  </w:style>
  <w:style w:type="paragraph" w:customStyle="1" w:styleId="176">
    <w:name w:val="标准文件_三级项"/>
    <w:basedOn w:val="1"/>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qFormat/>
    <w:uiPriority w:val="0"/>
    <w:pPr>
      <w:numPr>
        <w:ilvl w:val="0"/>
        <w:numId w:val="25"/>
      </w:numPr>
      <w:adjustRightInd/>
      <w:spacing w:line="240" w:lineRule="auto"/>
      <w:ind w:left="783"/>
    </w:pPr>
    <w:rPr>
      <w:rFonts w:ascii="宋体" w:hAnsi="Times New Roman"/>
      <w:sz w:val="18"/>
      <w:szCs w:val="18"/>
    </w:rPr>
  </w:style>
  <w:style w:type="paragraph" w:customStyle="1" w:styleId="178">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qFormat/>
    <w:uiPriority w:val="0"/>
    <w:pPr>
      <w:spacing w:beforeLines="2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qFormat/>
    <w:uiPriority w:val="0"/>
    <w:pPr>
      <w:ind w:firstLine="0" w:firstLineChars="0"/>
      <w:jc w:val="center"/>
    </w:pPr>
    <w:rPr>
      <w:sz w:val="18"/>
    </w:rPr>
  </w:style>
  <w:style w:type="paragraph" w:customStyle="1" w:styleId="183">
    <w:name w:val="标准文件_注："/>
    <w:next w:val="60"/>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qFormat/>
    <w:uiPriority w:val="0"/>
    <w:pPr>
      <w:ind w:firstLine="420"/>
    </w:pPr>
    <w:rPr>
      <w:sz w:val="18"/>
    </w:rPr>
  </w:style>
  <w:style w:type="paragraph" w:customStyle="1" w:styleId="187">
    <w:name w:val="标准文件_示例×："/>
    <w:basedOn w:val="1"/>
    <w:next w:val="186"/>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8">
    <w:name w:val="标准文件_段 Char"/>
    <w:link w:val="60"/>
    <w:qFormat/>
    <w:uiPriority w:val="0"/>
    <w:rPr>
      <w:rFonts w:ascii="宋体" w:hAnsi="Times New Roman"/>
      <w:sz w:val="21"/>
    </w:rPr>
  </w:style>
  <w:style w:type="paragraph" w:customStyle="1" w:styleId="189">
    <w:name w:val="标准文件_表格续"/>
    <w:basedOn w:val="60"/>
    <w:next w:val="60"/>
    <w:qFormat/>
    <w:uiPriority w:val="0"/>
    <w:pPr>
      <w:jc w:val="center"/>
    </w:pPr>
    <w:rPr>
      <w:rFonts w:ascii="黑体" w:hAnsi="黑体" w:eastAsia="黑体"/>
    </w:rPr>
  </w:style>
  <w:style w:type="character" w:styleId="190">
    <w:name w:val="Placeholder Text"/>
    <w:basedOn w:val="31"/>
    <w:semiHidden/>
    <w:qFormat/>
    <w:uiPriority w:val="99"/>
    <w:rPr>
      <w:color w:val="808080"/>
    </w:rPr>
  </w:style>
  <w:style w:type="paragraph" w:customStyle="1" w:styleId="191">
    <w:name w:val="标准文件_二级项2"/>
    <w:basedOn w:val="60"/>
    <w:qFormat/>
    <w:uiPriority w:val="0"/>
    <w:pPr>
      <w:numPr>
        <w:ilvl w:val="1"/>
        <w:numId w:val="21"/>
      </w:numPr>
      <w:ind w:left="1271" w:hanging="420" w:firstLineChars="0"/>
    </w:pPr>
  </w:style>
  <w:style w:type="paragraph" w:customStyle="1" w:styleId="192">
    <w:name w:val="标准文件_三级项2"/>
    <w:basedOn w:val="60"/>
    <w:qFormat/>
    <w:uiPriority w:val="0"/>
    <w:pPr>
      <w:numPr>
        <w:ilvl w:val="0"/>
        <w:numId w:val="30"/>
      </w:numPr>
      <w:spacing w:line="300" w:lineRule="exact"/>
      <w:ind w:left="1276" w:hanging="425" w:firstLineChars="0"/>
    </w:pPr>
    <w:rPr>
      <w:rFonts w:ascii="Times New Roman"/>
    </w:rPr>
  </w:style>
  <w:style w:type="paragraph" w:customStyle="1" w:styleId="193">
    <w:name w:val="标准文件_一级项2"/>
    <w:basedOn w:val="60"/>
    <w:qFormat/>
    <w:uiPriority w:val="0"/>
    <w:pPr>
      <w:numPr>
        <w:ilvl w:val="0"/>
        <w:numId w:val="31"/>
      </w:numPr>
      <w:spacing w:line="300" w:lineRule="exact"/>
      <w:ind w:left="1271" w:hanging="420" w:firstLineChars="0"/>
    </w:pPr>
    <w:rPr>
      <w:rFonts w:ascii="Times New Roman"/>
    </w:rPr>
  </w:style>
  <w:style w:type="paragraph" w:customStyle="1" w:styleId="194">
    <w:name w:val="标准文件_提示"/>
    <w:basedOn w:val="60"/>
    <w:next w:val="60"/>
    <w:qFormat/>
    <w:uiPriority w:val="0"/>
    <w:pPr>
      <w:ind w:firstLine="420"/>
    </w:pPr>
    <w:rPr>
      <w:rFonts w:ascii="黑体" w:eastAsia="黑体"/>
    </w:rPr>
  </w:style>
  <w:style w:type="character" w:customStyle="1" w:styleId="195">
    <w:name w:val="标准文件_来源"/>
    <w:basedOn w:val="31"/>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qFormat/>
    <w:uiPriority w:val="0"/>
    <w:pPr>
      <w:framePr w:w="3997" w:h="471" w:hRule="exact" w:hSpace="0" w:vSpace="181" w:vAnchor="page" w:hAnchor="page" w:x="1419" w:y="14097"/>
    </w:pPr>
  </w:style>
  <w:style w:type="paragraph" w:customStyle="1" w:styleId="198">
    <w:name w:val="其他实施日期"/>
    <w:basedOn w:val="158"/>
    <w:qFormat/>
    <w:uiPriority w:val="0"/>
    <w:pPr>
      <w:framePr w:w="3997" w:h="471" w:hRule="exact" w:vSpace="181" w:vAnchor="page" w:hAnchor="page" w:x="7089" w:y="14097"/>
    </w:pPr>
  </w:style>
  <w:style w:type="paragraph" w:customStyle="1" w:styleId="199">
    <w:name w:val="标准文件_文件编号"/>
    <w:basedOn w:val="60"/>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qFormat/>
    <w:uiPriority w:val="0"/>
    <w:pPr>
      <w:spacing w:before="57"/>
    </w:pPr>
    <w:rPr>
      <w:sz w:val="21"/>
    </w:rPr>
  </w:style>
  <w:style w:type="paragraph" w:customStyle="1" w:styleId="201">
    <w:name w:val="标准文件_文件名称"/>
    <w:basedOn w:val="60"/>
    <w:next w:val="60"/>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qFormat/>
    <w:uiPriority w:val="0"/>
    <w:pPr>
      <w:numPr>
        <w:ilvl w:val="1"/>
        <w:numId w:val="8"/>
      </w:numPr>
      <w:spacing w:beforeLines="50" w:afterLines="50"/>
      <w:ind w:firstLineChars="0"/>
    </w:pPr>
    <w:rPr>
      <w:rFonts w:ascii="黑体" w:eastAsia="黑体"/>
    </w:rPr>
  </w:style>
  <w:style w:type="paragraph" w:customStyle="1" w:styleId="205">
    <w:name w:val="标准文件_引言二级条标题"/>
    <w:basedOn w:val="60"/>
    <w:next w:val="60"/>
    <w:qFormat/>
    <w:uiPriority w:val="0"/>
    <w:pPr>
      <w:numPr>
        <w:ilvl w:val="2"/>
        <w:numId w:val="8"/>
      </w:numPr>
      <w:spacing w:beforeLines="50" w:afterLines="50"/>
      <w:ind w:firstLineChars="0"/>
    </w:pPr>
    <w:rPr>
      <w:rFonts w:ascii="黑体" w:eastAsia="黑体"/>
    </w:rPr>
  </w:style>
  <w:style w:type="paragraph" w:customStyle="1" w:styleId="206">
    <w:name w:val="标准文件_引言三级条标题"/>
    <w:basedOn w:val="60"/>
    <w:next w:val="60"/>
    <w:qFormat/>
    <w:uiPriority w:val="0"/>
    <w:pPr>
      <w:numPr>
        <w:ilvl w:val="3"/>
        <w:numId w:val="8"/>
      </w:numPr>
      <w:spacing w:beforeLines="50" w:afterLines="50"/>
      <w:ind w:firstLineChars="0"/>
    </w:pPr>
    <w:rPr>
      <w:rFonts w:ascii="黑体" w:eastAsia="黑体"/>
    </w:rPr>
  </w:style>
  <w:style w:type="paragraph" w:customStyle="1" w:styleId="207">
    <w:name w:val="标准文件_引言四级条标题"/>
    <w:basedOn w:val="60"/>
    <w:next w:val="60"/>
    <w:qFormat/>
    <w:uiPriority w:val="0"/>
    <w:pPr>
      <w:numPr>
        <w:ilvl w:val="4"/>
        <w:numId w:val="8"/>
      </w:numPr>
      <w:spacing w:beforeLines="50" w:afterLines="50"/>
      <w:ind w:firstLineChars="0"/>
    </w:pPr>
    <w:rPr>
      <w:rFonts w:ascii="黑体" w:eastAsia="黑体"/>
    </w:rPr>
  </w:style>
  <w:style w:type="paragraph" w:customStyle="1" w:styleId="208">
    <w:name w:val="标准文件_引言五级条标题"/>
    <w:basedOn w:val="60"/>
    <w:next w:val="60"/>
    <w:qFormat/>
    <w:uiPriority w:val="0"/>
    <w:pPr>
      <w:numPr>
        <w:ilvl w:val="5"/>
        <w:numId w:val="8"/>
      </w:numPr>
      <w:spacing w:beforeLines="50" w:afterLines="50"/>
      <w:ind w:firstLineChars="0"/>
    </w:pPr>
    <w:rPr>
      <w:rFonts w:ascii="黑体" w:eastAsia="黑体"/>
    </w:rPr>
  </w:style>
  <w:style w:type="paragraph" w:customStyle="1" w:styleId="209">
    <w:name w:val="标准文件_注后"/>
    <w:basedOn w:val="60"/>
    <w:qFormat/>
    <w:uiPriority w:val="0"/>
    <w:pPr>
      <w:ind w:left="811" w:firstLine="0" w:firstLineChars="0"/>
    </w:pPr>
    <w:rPr>
      <w:sz w:val="18"/>
    </w:rPr>
  </w:style>
  <w:style w:type="paragraph" w:customStyle="1" w:styleId="210">
    <w:name w:val="标准文件_注X后"/>
    <w:basedOn w:val="60"/>
    <w:qFormat/>
    <w:uiPriority w:val="0"/>
    <w:pPr>
      <w:ind w:left="811" w:firstLine="0" w:firstLineChars="0"/>
    </w:pPr>
    <w:rPr>
      <w:sz w:val="18"/>
    </w:rPr>
  </w:style>
  <w:style w:type="paragraph" w:customStyle="1" w:styleId="211">
    <w:name w:val="标准文件_示例后"/>
    <w:basedOn w:val="60"/>
    <w:qFormat/>
    <w:uiPriority w:val="0"/>
    <w:pPr>
      <w:ind w:left="964" w:firstLine="0" w:firstLineChars="0"/>
    </w:pPr>
    <w:rPr>
      <w:sz w:val="18"/>
    </w:rPr>
  </w:style>
  <w:style w:type="paragraph" w:customStyle="1" w:styleId="212">
    <w:name w:val="标准文件_示例X后"/>
    <w:basedOn w:val="60"/>
    <w:link w:val="213"/>
    <w:qFormat/>
    <w:uiPriority w:val="0"/>
    <w:pPr>
      <w:ind w:left="1049" w:firstLine="0" w:firstLineChars="0"/>
    </w:pPr>
    <w:rPr>
      <w:sz w:val="18"/>
    </w:rPr>
  </w:style>
  <w:style w:type="character" w:customStyle="1" w:styleId="213">
    <w:name w:val="标准文件_示例X后 字符"/>
    <w:basedOn w:val="188"/>
    <w:link w:val="212"/>
    <w:qFormat/>
    <w:uiPriority w:val="0"/>
    <w:rPr>
      <w:rFonts w:ascii="宋体" w:hAnsi="Times New Roman"/>
      <w:sz w:val="18"/>
    </w:rPr>
  </w:style>
  <w:style w:type="paragraph" w:customStyle="1" w:styleId="214">
    <w:name w:val="标准文件_索引项"/>
    <w:basedOn w:val="60"/>
    <w:next w:val="60"/>
    <w:qFormat/>
    <w:uiPriority w:val="0"/>
    <w:pPr>
      <w:tabs>
        <w:tab w:val="right" w:leader="dot" w:pos="9356"/>
      </w:tabs>
      <w:ind w:left="210" w:hanging="210" w:firstLineChars="0"/>
      <w:jc w:val="left"/>
    </w:pPr>
  </w:style>
  <w:style w:type="paragraph" w:customStyle="1" w:styleId="215">
    <w:name w:val="标准文件_附录一级无标题"/>
    <w:basedOn w:val="82"/>
    <w:qFormat/>
    <w:uiPriority w:val="0"/>
    <w:pPr>
      <w:spacing w:beforeLines="0" w:afterLines="0" w:line="276" w:lineRule="auto"/>
      <w:outlineLvl w:val="9"/>
    </w:pPr>
    <w:rPr>
      <w:rFonts w:ascii="宋体" w:eastAsia="宋体"/>
    </w:rPr>
  </w:style>
  <w:style w:type="paragraph" w:customStyle="1" w:styleId="216">
    <w:name w:val="标准文件_附录二级无标题"/>
    <w:basedOn w:val="83"/>
    <w:qFormat/>
    <w:uiPriority w:val="0"/>
    <w:pPr>
      <w:spacing w:beforeLines="0" w:afterLines="0" w:line="276" w:lineRule="auto"/>
      <w:outlineLvl w:val="9"/>
    </w:pPr>
    <w:rPr>
      <w:rFonts w:ascii="宋体" w:eastAsia="宋体"/>
    </w:rPr>
  </w:style>
  <w:style w:type="paragraph" w:customStyle="1" w:styleId="217">
    <w:name w:val="标准文件_附录三级无标题"/>
    <w:basedOn w:val="85"/>
    <w:qFormat/>
    <w:uiPriority w:val="0"/>
    <w:pPr>
      <w:spacing w:beforeLines="0" w:afterLines="0" w:line="276" w:lineRule="auto"/>
      <w:outlineLvl w:val="9"/>
    </w:pPr>
    <w:rPr>
      <w:rFonts w:ascii="宋体" w:eastAsia="宋体"/>
    </w:rPr>
  </w:style>
  <w:style w:type="paragraph" w:customStyle="1" w:styleId="218">
    <w:name w:val="标准文件_附录四级无标题"/>
    <w:basedOn w:val="86"/>
    <w:qFormat/>
    <w:uiPriority w:val="0"/>
    <w:pPr>
      <w:spacing w:beforeLines="0" w:afterLines="0" w:line="276" w:lineRule="auto"/>
      <w:outlineLvl w:val="9"/>
    </w:pPr>
    <w:rPr>
      <w:rFonts w:ascii="宋体" w:eastAsia="宋体"/>
    </w:rPr>
  </w:style>
  <w:style w:type="paragraph" w:customStyle="1" w:styleId="219">
    <w:name w:val="标准文件_附录五级无标题"/>
    <w:basedOn w:val="88"/>
    <w:qFormat/>
    <w:uiPriority w:val="0"/>
    <w:pPr>
      <w:spacing w:beforeLines="0" w:afterLines="0" w:line="276" w:lineRule="auto"/>
      <w:outlineLvl w:val="9"/>
    </w:pPr>
    <w:rPr>
      <w:rFonts w:ascii="宋体" w:eastAsia="宋体"/>
    </w:rPr>
  </w:style>
  <w:style w:type="paragraph" w:customStyle="1" w:styleId="220">
    <w:name w:val="标准文件_引言一级无标题"/>
    <w:basedOn w:val="204"/>
    <w:next w:val="60"/>
    <w:qFormat/>
    <w:uiPriority w:val="0"/>
    <w:pPr>
      <w:spacing w:beforeLines="0" w:afterLines="0" w:line="276" w:lineRule="auto"/>
    </w:pPr>
    <w:rPr>
      <w:rFonts w:ascii="宋体" w:eastAsia="宋体"/>
    </w:rPr>
  </w:style>
  <w:style w:type="paragraph" w:customStyle="1" w:styleId="221">
    <w:name w:val="标准文件_引言二级无标题"/>
    <w:basedOn w:val="205"/>
    <w:next w:val="60"/>
    <w:qFormat/>
    <w:uiPriority w:val="0"/>
    <w:pPr>
      <w:spacing w:beforeLines="0" w:afterLines="0" w:line="276" w:lineRule="auto"/>
    </w:pPr>
    <w:rPr>
      <w:rFonts w:ascii="宋体" w:eastAsia="宋体"/>
    </w:rPr>
  </w:style>
  <w:style w:type="paragraph" w:customStyle="1" w:styleId="222">
    <w:name w:val="标准文件_引言三级无标题"/>
    <w:basedOn w:val="206"/>
    <w:next w:val="60"/>
    <w:qFormat/>
    <w:uiPriority w:val="0"/>
    <w:pPr>
      <w:spacing w:beforeLines="0" w:afterLines="0" w:line="276" w:lineRule="auto"/>
    </w:pPr>
    <w:rPr>
      <w:rFonts w:ascii="宋体" w:eastAsia="宋体"/>
    </w:rPr>
  </w:style>
  <w:style w:type="paragraph" w:customStyle="1" w:styleId="223">
    <w:name w:val="标准文件_引言四级无标题"/>
    <w:basedOn w:val="207"/>
    <w:next w:val="60"/>
    <w:qFormat/>
    <w:uiPriority w:val="0"/>
    <w:pPr>
      <w:spacing w:beforeLines="0" w:afterLines="0" w:line="276" w:lineRule="auto"/>
    </w:pPr>
    <w:rPr>
      <w:rFonts w:ascii="宋体" w:eastAsia="宋体"/>
    </w:rPr>
  </w:style>
  <w:style w:type="paragraph" w:customStyle="1" w:styleId="224">
    <w:name w:val="标准文件_引言五级无标题"/>
    <w:basedOn w:val="208"/>
    <w:next w:val="60"/>
    <w:qFormat/>
    <w:uiPriority w:val="0"/>
    <w:pPr>
      <w:spacing w:beforeLines="0" w:afterLines="0" w:line="276" w:lineRule="auto"/>
    </w:pPr>
    <w:rPr>
      <w:rFonts w:ascii="宋体" w:eastAsia="宋体"/>
    </w:rPr>
  </w:style>
  <w:style w:type="paragraph" w:customStyle="1" w:styleId="225">
    <w:name w:val="标准文件_索引标题"/>
    <w:basedOn w:val="67"/>
    <w:next w:val="60"/>
    <w:qFormat/>
    <w:uiPriority w:val="0"/>
    <w:rPr>
      <w:rFonts w:hAnsi="黑体"/>
    </w:rPr>
  </w:style>
  <w:style w:type="paragraph" w:customStyle="1" w:styleId="226">
    <w:name w:val="标准文件_脚注内容"/>
    <w:basedOn w:val="60"/>
    <w:qFormat/>
    <w:uiPriority w:val="0"/>
    <w:pPr>
      <w:ind w:left="400" w:leftChars="200" w:hanging="200" w:hangingChars="200"/>
    </w:pPr>
    <w:rPr>
      <w:sz w:val="15"/>
    </w:rPr>
  </w:style>
  <w:style w:type="paragraph" w:customStyle="1" w:styleId="227">
    <w:name w:val="标准文件_术语条一"/>
    <w:basedOn w:val="166"/>
    <w:next w:val="60"/>
    <w:qFormat/>
    <w:uiPriority w:val="0"/>
  </w:style>
  <w:style w:type="paragraph" w:customStyle="1" w:styleId="228">
    <w:name w:val="标准文件_术语条二"/>
    <w:basedOn w:val="169"/>
    <w:next w:val="60"/>
    <w:qFormat/>
    <w:uiPriority w:val="0"/>
  </w:style>
  <w:style w:type="paragraph" w:customStyle="1" w:styleId="229">
    <w:name w:val="标准文件_术语条三"/>
    <w:basedOn w:val="168"/>
    <w:next w:val="60"/>
    <w:qFormat/>
    <w:uiPriority w:val="0"/>
  </w:style>
  <w:style w:type="paragraph" w:customStyle="1" w:styleId="230">
    <w:name w:val="标准文件_术语条四"/>
    <w:basedOn w:val="171"/>
    <w:next w:val="60"/>
    <w:qFormat/>
    <w:uiPriority w:val="0"/>
  </w:style>
  <w:style w:type="paragraph" w:customStyle="1" w:styleId="231">
    <w:name w:val="标准文件_术语条五"/>
    <w:basedOn w:val="167"/>
    <w:next w:val="60"/>
    <w:qFormat/>
    <w:uiPriority w:val="0"/>
  </w:style>
  <w:style w:type="paragraph" w:customStyle="1" w:styleId="2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qFormat/>
    <w:uiPriority w:val="0"/>
    <w:rPr>
      <w:rFonts w:ascii="黑体" w:eastAsia="黑体"/>
      <w:spacing w:val="85"/>
      <w:w w:val="100"/>
      <w:position w:val="3"/>
      <w:sz w:val="28"/>
      <w:szCs w:val="28"/>
    </w:rPr>
  </w:style>
  <w:style w:type="paragraph" w:styleId="234">
    <w:name w:val="List Paragraph"/>
    <w:basedOn w:val="1"/>
    <w:qFormat/>
    <w:uiPriority w:val="34"/>
    <w:pPr>
      <w:ind w:firstLine="420" w:firstLineChars="200"/>
    </w:pPr>
  </w:style>
  <w:style w:type="character" w:customStyle="1" w:styleId="235">
    <w:name w:val="批注文字 Char"/>
    <w:basedOn w:val="31"/>
    <w:link w:val="13"/>
    <w:qFormat/>
    <w:uiPriority w:val="99"/>
    <w:rPr>
      <w:rFonts w:ascii="Calibri" w:hAnsi="Calibri"/>
      <w:kern w:val="2"/>
      <w:sz w:val="21"/>
      <w:szCs w:val="21"/>
    </w:rPr>
  </w:style>
  <w:style w:type="character" w:customStyle="1" w:styleId="236">
    <w:name w:val="批注主题 Char"/>
    <w:basedOn w:val="235"/>
    <w:link w:val="28"/>
    <w:qFormat/>
    <w:uiPriority w:val="0"/>
    <w:rPr>
      <w:rFonts w:ascii="Calibri" w:hAnsi="Calibri"/>
      <w:kern w:val="2"/>
      <w:sz w:val="21"/>
      <w:szCs w:val="21"/>
    </w:rPr>
  </w:style>
  <w:style w:type="paragraph" w:customStyle="1" w:styleId="237">
    <w:name w:val="修订1"/>
    <w:hidden/>
    <w:unhideWhenUsed/>
    <w:qFormat/>
    <w:uiPriority w:val="99"/>
    <w:rPr>
      <w:rFonts w:ascii="Calibri" w:hAnsi="Calibri" w:eastAsia="宋体" w:cs="Times New Roman"/>
      <w:kern w:val="2"/>
      <w:sz w:val="21"/>
      <w:szCs w:val="21"/>
      <w:lang w:val="en-US" w:eastAsia="zh-CN" w:bidi="ar-SA"/>
    </w:rPr>
  </w:style>
  <w:style w:type="table" w:customStyle="1" w:styleId="238">
    <w:name w:val="Table Normal"/>
    <w:semiHidden/>
    <w:unhideWhenUsed/>
    <w:qFormat/>
    <w:uiPriority w:val="0"/>
    <w:tblPr>
      <w:tblCellMar>
        <w:top w:w="0" w:type="dxa"/>
        <w:left w:w="0" w:type="dxa"/>
        <w:bottom w:w="0" w:type="dxa"/>
        <w:right w:w="0" w:type="dxa"/>
      </w:tblCellMar>
    </w:tblPr>
  </w:style>
  <w:style w:type="character" w:customStyle="1" w:styleId="239">
    <w:name w:val="font11"/>
    <w:basedOn w:val="31"/>
    <w:qFormat/>
    <w:uiPriority w:val="0"/>
    <w:rPr>
      <w:rFonts w:hint="eastAsia" w:ascii="仿宋_GB2312" w:eastAsia="仿宋_GB2312" w:cs="仿宋_GB2312"/>
      <w:color w:val="000000"/>
      <w:sz w:val="28"/>
      <w:szCs w:val="28"/>
      <w:u w:val="none"/>
    </w:rPr>
  </w:style>
  <w:style w:type="paragraph" w:customStyle="1" w:styleId="240">
    <w:name w:val="修订2"/>
    <w:hidden/>
    <w:unhideWhenUsed/>
    <w:qFormat/>
    <w:uiPriority w:val="99"/>
    <w:rPr>
      <w:rFonts w:ascii="Calibri" w:hAnsi="Calibri" w:eastAsia="宋体" w:cs="Times New Roman"/>
      <w:kern w:val="2"/>
      <w:sz w:val="21"/>
      <w:szCs w:val="21"/>
      <w:lang w:val="en-US" w:eastAsia="zh-CN" w:bidi="ar-SA"/>
    </w:rPr>
  </w:style>
  <w:style w:type="paragraph" w:customStyle="1" w:styleId="241">
    <w:name w:val="修订3"/>
    <w:hidden/>
    <w:unhideWhenUsed/>
    <w:qFormat/>
    <w:uiPriority w:val="99"/>
    <w:rPr>
      <w:rFonts w:ascii="Calibri" w:hAnsi="Calibri" w:eastAsia="宋体" w:cs="Times New Roman"/>
      <w:kern w:val="2"/>
      <w:sz w:val="21"/>
      <w:szCs w:val="21"/>
      <w:lang w:val="en-US" w:eastAsia="zh-CN" w:bidi="ar-SA"/>
    </w:rPr>
  </w:style>
  <w:style w:type="table" w:customStyle="1" w:styleId="242">
    <w:name w:val="网格型1"/>
    <w:basedOn w:val="29"/>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3">
    <w:name w:val="修订4"/>
    <w:hidden/>
    <w:unhideWhenUsed/>
    <w:qFormat/>
    <w:uiPriority w:val="99"/>
    <w:rPr>
      <w:rFonts w:ascii="Calibri" w:hAnsi="Calibri" w:eastAsia="宋体" w:cs="Times New Roman"/>
      <w:kern w:val="2"/>
      <w:sz w:val="21"/>
      <w:szCs w:val="21"/>
      <w:lang w:val="en-US" w:eastAsia="zh-CN" w:bidi="ar-SA"/>
    </w:rPr>
  </w:style>
  <w:style w:type="paragraph" w:customStyle="1" w:styleId="244">
    <w:name w:val="修订5"/>
    <w:hidden/>
    <w:unhideWhenUsed/>
    <w:qFormat/>
    <w:uiPriority w:val="99"/>
    <w:rPr>
      <w:rFonts w:ascii="Calibri" w:hAnsi="Calibri" w:eastAsia="宋体" w:cs="Times New Roman"/>
      <w:kern w:val="2"/>
      <w:sz w:val="21"/>
      <w:szCs w:val="21"/>
      <w:lang w:val="en-US" w:eastAsia="zh-CN" w:bidi="ar-SA"/>
    </w:rPr>
  </w:style>
  <w:style w:type="paragraph" w:customStyle="1" w:styleId="245">
    <w:name w:val="修订6"/>
    <w:hidden/>
    <w:unhideWhenUsed/>
    <w:qFormat/>
    <w:uiPriority w:val="99"/>
    <w:rPr>
      <w:rFonts w:ascii="Calibri" w:hAnsi="Calibri" w:eastAsia="宋体" w:cs="Times New Roman"/>
      <w:kern w:val="2"/>
      <w:sz w:val="21"/>
      <w:szCs w:val="21"/>
      <w:lang w:val="en-US" w:eastAsia="zh-CN" w:bidi="ar-SA"/>
    </w:rPr>
  </w:style>
  <w:style w:type="paragraph" w:customStyle="1" w:styleId="246">
    <w:name w:val="修订7"/>
    <w:hidden/>
    <w:unhideWhenUsed/>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glossaryDocument" Target="glossary/document.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6.jpe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image" Target="media/image1.tiff"/><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50859EF1C124E70AAC3A125630E4B79"/>
        <w:style w:val=""/>
        <w:category>
          <w:name w:val="常规"/>
          <w:gallery w:val="placeholder"/>
        </w:category>
        <w:types>
          <w:type w:val="bbPlcHdr"/>
        </w:types>
        <w:behaviors>
          <w:behavior w:val="content"/>
        </w:behaviors>
        <w:description w:val=""/>
        <w:guid w:val="{673D6D3D-C20A-41D1-B729-66030FEED3B3}"/>
      </w:docPartPr>
      <w:docPartBody>
        <w:p>
          <w:pPr>
            <w:pStyle w:val="5"/>
          </w:pPr>
          <w:r>
            <w:rPr>
              <w:rStyle w:val="4"/>
              <w:rFonts w:hint="eastAsia"/>
            </w:rPr>
            <w:t>单击或点击此处输入文字。</w:t>
          </w:r>
        </w:p>
      </w:docPartBody>
    </w:docPart>
    <w:docPart>
      <w:docPartPr>
        <w:name w:val="8D6485C69012455396977C2CFC3A22B7"/>
        <w:style w:val=""/>
        <w:category>
          <w:name w:val="常规"/>
          <w:gallery w:val="placeholder"/>
        </w:category>
        <w:types>
          <w:type w:val="bbPlcHdr"/>
        </w:types>
        <w:behaviors>
          <w:behavior w:val="content"/>
        </w:behaviors>
        <w:description w:val=""/>
        <w:guid w:val="{B1F84503-DA6E-4381-93AD-4CDDDEC10A4D}"/>
      </w:docPartPr>
      <w:docPartBody>
        <w:p>
          <w:pPr>
            <w:pStyle w:val="6"/>
          </w:pPr>
          <w:r>
            <w:rPr>
              <w:rStyle w:val="4"/>
              <w:rFonts w:hint="eastAsia"/>
            </w:rPr>
            <w:t>选择一项。</w:t>
          </w:r>
        </w:p>
      </w:docPartBody>
    </w:docPart>
    <w:docPart>
      <w:docPartPr>
        <w:name w:val="FB6DD97CDD8E4FE582906277DA9EB813"/>
        <w:style w:val=""/>
        <w:category>
          <w:name w:val="常规"/>
          <w:gallery w:val="placeholder"/>
        </w:category>
        <w:types>
          <w:type w:val="bbPlcHdr"/>
        </w:types>
        <w:behaviors>
          <w:behavior w:val="content"/>
        </w:behaviors>
        <w:description w:val=""/>
        <w:guid w:val="{262AD39A-4F87-41E0-9299-25733D3470D7}"/>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华文仿宋"/>
    <w:panose1 w:val="00000000000000000000"/>
    <w:charset w:val="86"/>
    <w:family w:val="auto"/>
    <w:pitch w:val="default"/>
    <w:sig w:usb0="00000000" w:usb1="00000000" w:usb2="00000000" w:usb3="00000000" w:csb0="00000000" w:csb1="00000000"/>
  </w:font>
  <w:font w:name="等线">
    <w:altName w:val="URW Bookman"/>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true"/>
  <w:bordersDoNotSurroundFooter w:val="true"/>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B70"/>
    <w:rsid w:val="000456CE"/>
    <w:rsid w:val="000514D6"/>
    <w:rsid w:val="00087678"/>
    <w:rsid w:val="000E3EFC"/>
    <w:rsid w:val="00137EA9"/>
    <w:rsid w:val="001827C2"/>
    <w:rsid w:val="001A2FE0"/>
    <w:rsid w:val="0021538A"/>
    <w:rsid w:val="002506A7"/>
    <w:rsid w:val="00273850"/>
    <w:rsid w:val="002B3A57"/>
    <w:rsid w:val="002C05E6"/>
    <w:rsid w:val="002D4575"/>
    <w:rsid w:val="002D651F"/>
    <w:rsid w:val="00306529"/>
    <w:rsid w:val="003165EC"/>
    <w:rsid w:val="00322A26"/>
    <w:rsid w:val="003B2806"/>
    <w:rsid w:val="003E4AAA"/>
    <w:rsid w:val="00431E84"/>
    <w:rsid w:val="00496E28"/>
    <w:rsid w:val="004A3430"/>
    <w:rsid w:val="004C615A"/>
    <w:rsid w:val="004E7FCA"/>
    <w:rsid w:val="0051767C"/>
    <w:rsid w:val="00571228"/>
    <w:rsid w:val="00575B3A"/>
    <w:rsid w:val="00612B63"/>
    <w:rsid w:val="00643A19"/>
    <w:rsid w:val="006C7097"/>
    <w:rsid w:val="006F3CCB"/>
    <w:rsid w:val="00723402"/>
    <w:rsid w:val="00797EDC"/>
    <w:rsid w:val="007A76A8"/>
    <w:rsid w:val="008B639F"/>
    <w:rsid w:val="00911967"/>
    <w:rsid w:val="00911A0E"/>
    <w:rsid w:val="0097695A"/>
    <w:rsid w:val="009F1531"/>
    <w:rsid w:val="00A13FFB"/>
    <w:rsid w:val="00A33539"/>
    <w:rsid w:val="00AA2F20"/>
    <w:rsid w:val="00AA3FDF"/>
    <w:rsid w:val="00AA48D1"/>
    <w:rsid w:val="00B34B5B"/>
    <w:rsid w:val="00B57DFA"/>
    <w:rsid w:val="00B6011B"/>
    <w:rsid w:val="00B713B4"/>
    <w:rsid w:val="00B95BE7"/>
    <w:rsid w:val="00B97EFF"/>
    <w:rsid w:val="00BC2B1C"/>
    <w:rsid w:val="00C1190E"/>
    <w:rsid w:val="00CA04AC"/>
    <w:rsid w:val="00CD6300"/>
    <w:rsid w:val="00D41BE9"/>
    <w:rsid w:val="00D85415"/>
    <w:rsid w:val="00D9752A"/>
    <w:rsid w:val="00DC178E"/>
    <w:rsid w:val="00E33918"/>
    <w:rsid w:val="00E64782"/>
    <w:rsid w:val="00E859CD"/>
    <w:rsid w:val="00EF41E9"/>
    <w:rsid w:val="00F223B0"/>
    <w:rsid w:val="00F3662A"/>
    <w:rsid w:val="00F5417B"/>
    <w:rsid w:val="00F72851"/>
    <w:rsid w:val="00F7461F"/>
    <w:rsid w:val="00F8491F"/>
    <w:rsid w:val="00F91784"/>
    <w:rsid w:val="00FE3B70"/>
    <w:rsid w:val="00FE40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750859EF1C124E70AAC3A125630E4B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8D6485C69012455396977C2CFC3A22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FB6DD97CDD8E4FE582906277DA9EB81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PCMI</Company>
  <Pages>21</Pages>
  <Words>1934</Words>
  <Characters>11025</Characters>
  <Lines>91</Lines>
  <Paragraphs>25</Paragraphs>
  <TotalTime>7</TotalTime>
  <ScaleCrop>false</ScaleCrop>
  <LinksUpToDate>false</LinksUpToDate>
  <CharactersWithSpaces>12934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2023-12-02T23:10:00Z</dcterms:created>
  <dc:creator>杨舸</dc:creator>
  <dc:description>&lt;config cover="true" show_menu="true" version="1.0.0" doctype="SDKXY"&gt;_x000d_
&lt;/config&gt;</dc:description>
  <cp:lastModifiedBy>pcsswb</cp:lastModifiedBy>
  <cp:lastPrinted>2023-12-03T01:44:00Z</cp:lastPrinted>
  <dcterms:modified xsi:type="dcterms:W3CDTF">2023-12-27T09:10:38Z</dcterms:modified>
  <dc:title>企业标准</dc:title>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企业标准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2052-11.8.2.10386</vt:lpwstr>
  </property>
  <property fmtid="{D5CDD505-2E9C-101B-9397-08002B2CF9AE}" pid="15" name="ICV">
    <vt:lpwstr>9440657FF6DF4572BE5E46EB81BD1939_13</vt:lpwstr>
  </property>
</Properties>
</file>