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0"/>
        <w:jc w:val="both"/>
        <w:rPr>
          <w:rFonts w:ascii="黑体" w:hAnsi="黑体" w:eastAsia="黑体"/>
          <w:color w:val="auto"/>
          <w:sz w:val="32"/>
          <w:szCs w:val="32"/>
          <w:highlight w:val="none"/>
        </w:rPr>
      </w:pPr>
      <w:bookmarkStart w:id="0" w:name="_Toc12942_WPSOffice_Level1"/>
      <w:bookmarkStart w:id="1" w:name="_Toc20333_WPSOffice_Level1"/>
      <w:bookmarkStart w:id="2" w:name="_Toc6995_WPSOffice_Level1"/>
      <w:bookmarkStart w:id="3" w:name="_Toc24287_WPSOffice_Level1"/>
      <w:bookmarkStart w:id="4" w:name="_Toc30829_WPSOffice_Level1"/>
      <w:bookmarkStart w:id="5" w:name="_Toc29964_WPSOffice_Level1"/>
      <w:bookmarkStart w:id="6" w:name="_Toc9779_WPSOffice_Level1"/>
      <w:r>
        <w:rPr>
          <w:rFonts w:hint="eastAsia" w:ascii="黑体" w:hAnsi="黑体" w:eastAsia="黑体"/>
          <w:color w:val="auto"/>
          <w:sz w:val="32"/>
          <w:szCs w:val="32"/>
          <w:highlight w:val="none"/>
        </w:rPr>
        <w:t>附件2-1</w:t>
      </w:r>
    </w:p>
    <w:p>
      <w:pPr>
        <w:spacing w:line="600" w:lineRule="exact"/>
        <w:jc w:val="right"/>
        <w:rPr>
          <w:rFonts w:ascii="黑体" w:hAnsi="黑体" w:eastAsia="黑体" w:cs="黑体"/>
          <w:color w:val="000000"/>
          <w:sz w:val="32"/>
          <w:szCs w:val="32"/>
          <w:highlight w:val="none"/>
        </w:rPr>
      </w:pPr>
    </w:p>
    <w:p>
      <w:pPr>
        <w:spacing w:line="600" w:lineRule="exact"/>
        <w:rPr>
          <w:rFonts w:ascii="宋体" w:hAnsi="宋体"/>
          <w:b/>
          <w:bCs/>
          <w:color w:val="000000"/>
          <w:sz w:val="44"/>
          <w:szCs w:val="44"/>
          <w:highlight w:val="none"/>
        </w:rPr>
      </w:pPr>
    </w:p>
    <w:p>
      <w:pPr>
        <w:numPr>
          <w:ilvl w:val="255"/>
          <w:numId w:val="0"/>
        </w:numPr>
        <w:spacing w:line="360" w:lineRule="auto"/>
        <w:jc w:val="center"/>
        <w:outlineLvl w:val="0"/>
        <w:rPr>
          <w:rFonts w:ascii="宋体" w:hAnsi="宋体"/>
          <w:b/>
          <w:bCs/>
          <w:color w:val="auto"/>
          <w:sz w:val="44"/>
          <w:szCs w:val="44"/>
          <w:highlight w:val="none"/>
        </w:rPr>
      </w:pPr>
      <w:r>
        <w:rPr>
          <w:rFonts w:hint="eastAsia" w:ascii="宋体" w:hAnsi="宋体"/>
          <w:b/>
          <w:bCs/>
          <w:color w:val="auto"/>
          <w:sz w:val="44"/>
          <w:szCs w:val="44"/>
          <w:highlight w:val="none"/>
        </w:rPr>
        <w:t>深圳市安居型商品房建设和管理办</w:t>
      </w:r>
      <w:bookmarkEnd w:id="0"/>
      <w:bookmarkEnd w:id="1"/>
      <w:bookmarkEnd w:id="2"/>
      <w:bookmarkEnd w:id="3"/>
      <w:bookmarkEnd w:id="4"/>
      <w:bookmarkEnd w:id="5"/>
      <w:bookmarkEnd w:id="6"/>
      <w:bookmarkStart w:id="7" w:name="_Toc27944_WPSOffice_Level2"/>
      <w:bookmarkStart w:id="8" w:name="_Toc21631_WPSOffice_Level2"/>
      <w:bookmarkStart w:id="9" w:name="_Toc25360_WPSOffice_Level2"/>
      <w:bookmarkStart w:id="10" w:name="_Toc23015_WPSOffice_Level2"/>
      <w:bookmarkStart w:id="11" w:name="_Toc13645_WPSOffice_Level1"/>
      <w:r>
        <w:rPr>
          <w:rFonts w:hint="eastAsia" w:ascii="宋体" w:hAnsi="宋体"/>
          <w:b/>
          <w:bCs/>
          <w:color w:val="auto"/>
          <w:sz w:val="44"/>
          <w:szCs w:val="44"/>
          <w:highlight w:val="none"/>
        </w:rPr>
        <w:t>法</w:t>
      </w:r>
    </w:p>
    <w:p>
      <w:pPr>
        <w:jc w:val="center"/>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（201</w:t>
      </w:r>
      <w:r>
        <w:rPr>
          <w:rFonts w:hint="eastAsia" w:ascii="楷体_GB2312" w:hAnsi="楷体_GB2312" w:eastAsia="楷体_GB2312" w:cs="楷体_GB2312"/>
          <w:color w:val="auto"/>
          <w:sz w:val="32"/>
          <w:szCs w:val="32"/>
          <w:highlight w:val="none"/>
          <w:lang w:val="en-US" w:eastAsia="zh-CN"/>
        </w:rPr>
        <w:t>9</w:t>
      </w:r>
      <w:r>
        <w:rPr>
          <w:rFonts w:hint="eastAsia" w:ascii="楷体_GB2312" w:hAnsi="楷体_GB2312" w:eastAsia="楷体_GB2312" w:cs="楷体_GB2312"/>
          <w:color w:val="auto"/>
          <w:sz w:val="32"/>
          <w:szCs w:val="32"/>
          <w:highlight w:val="none"/>
        </w:rPr>
        <w:t>年</w:t>
      </w:r>
      <w:r>
        <w:rPr>
          <w:rFonts w:hint="eastAsia" w:ascii="楷体_GB2312" w:hAnsi="楷体_GB2312" w:eastAsia="楷体_GB2312" w:cs="楷体_GB2312"/>
          <w:color w:val="auto"/>
          <w:sz w:val="32"/>
          <w:szCs w:val="32"/>
          <w:highlight w:val="none"/>
          <w:lang w:val="en-US" w:eastAsia="zh-CN"/>
        </w:rPr>
        <w:t>4</w:t>
      </w:r>
      <w:r>
        <w:rPr>
          <w:rFonts w:hint="eastAsia" w:ascii="楷体_GB2312" w:hAnsi="楷体_GB2312" w:eastAsia="楷体_GB2312" w:cs="楷体_GB2312"/>
          <w:color w:val="auto"/>
          <w:sz w:val="32"/>
          <w:szCs w:val="32"/>
          <w:highlight w:val="none"/>
        </w:rPr>
        <w:t>月</w:t>
      </w:r>
      <w:r>
        <w:rPr>
          <w:rFonts w:hint="eastAsia" w:ascii="楷体_GB2312" w:hAnsi="楷体_GB2312" w:eastAsia="楷体_GB2312" w:cs="楷体_GB2312"/>
          <w:color w:val="auto"/>
          <w:sz w:val="32"/>
          <w:szCs w:val="32"/>
          <w:highlight w:val="none"/>
          <w:lang w:val="en-US" w:eastAsia="zh-CN"/>
        </w:rPr>
        <w:t>29</w:t>
      </w:r>
      <w:r>
        <w:rPr>
          <w:rFonts w:hint="eastAsia" w:ascii="楷体_GB2312" w:hAnsi="楷体_GB2312" w:eastAsia="楷体_GB2312" w:cs="楷体_GB2312"/>
          <w:color w:val="auto"/>
          <w:sz w:val="32"/>
          <w:szCs w:val="32"/>
          <w:highlight w:val="none"/>
        </w:rPr>
        <w:t xml:space="preserve">日 </w:t>
      </w:r>
      <w:r>
        <w:rPr>
          <w:rFonts w:hint="eastAsia" w:ascii="楷体_GB2312" w:hAnsi="楷体_GB2312" w:eastAsia="楷体_GB2312" w:cs="楷体_GB2312"/>
          <w:color w:val="auto"/>
          <w:sz w:val="32"/>
          <w:szCs w:val="32"/>
          <w:highlight w:val="none"/>
          <w:lang w:val="en-US" w:eastAsia="zh-CN"/>
        </w:rPr>
        <w:t>征求意见</w:t>
      </w:r>
      <w:r>
        <w:rPr>
          <w:rFonts w:hint="eastAsia" w:ascii="楷体_GB2312" w:hAnsi="楷体_GB2312" w:eastAsia="楷体_GB2312" w:cs="楷体_GB2312"/>
          <w:color w:val="auto"/>
          <w:sz w:val="32"/>
          <w:szCs w:val="32"/>
          <w:highlight w:val="none"/>
        </w:rPr>
        <w:t>稿）</w:t>
      </w:r>
    </w:p>
    <w:p>
      <w:pPr>
        <w:rPr>
          <w:rFonts w:ascii="楷体_GB2312" w:hAnsi="楷体_GB2312" w:eastAsia="楷体_GB2312" w:cs="楷体_GB2312"/>
          <w:color w:val="auto"/>
          <w:sz w:val="32"/>
          <w:szCs w:val="32"/>
          <w:highlight w:val="none"/>
        </w:rPr>
      </w:pPr>
    </w:p>
    <w:bookmarkEnd w:id="7"/>
    <w:bookmarkEnd w:id="8"/>
    <w:bookmarkEnd w:id="9"/>
    <w:bookmarkEnd w:id="10"/>
    <w:bookmarkEnd w:id="11"/>
    <w:p>
      <w:pPr>
        <w:spacing w:beforeLines="50" w:afterLines="50" w:line="560" w:lineRule="exact"/>
        <w:jc w:val="center"/>
        <w:outlineLvl w:val="1"/>
        <w:rPr>
          <w:rFonts w:ascii="仿宋_GB2312" w:hAnsi="仿宋_GB2312" w:eastAsia="仿宋_GB2312" w:cs="仿宋_GB2312"/>
          <w:color w:val="auto"/>
          <w:sz w:val="32"/>
          <w:szCs w:val="32"/>
          <w:highlight w:val="none"/>
        </w:rPr>
      </w:pPr>
      <w:bookmarkStart w:id="12" w:name="_Toc1213"/>
      <w:bookmarkStart w:id="13" w:name="_Toc11167_WPSOffice_Level1"/>
      <w:bookmarkStart w:id="14" w:name="_Toc523428775"/>
      <w:bookmarkStart w:id="15" w:name="_Toc26343"/>
      <w:bookmarkStart w:id="16" w:name="_Toc3426"/>
      <w:bookmarkStart w:id="17" w:name="_Toc7089_WPSOffice_Level1"/>
      <w:bookmarkStart w:id="18" w:name="_Toc13128"/>
      <w:bookmarkStart w:id="19" w:name="_Toc25360_WPSOffice_Level1"/>
      <w:bookmarkStart w:id="20" w:name="_Toc32595"/>
      <w:bookmarkStart w:id="21" w:name="_Toc6015"/>
      <w:bookmarkStart w:id="22" w:name="_Toc1008"/>
      <w:bookmarkStart w:id="23" w:name="_Toc14344_WPSOffice_Level1"/>
      <w:bookmarkStart w:id="24" w:name="_Toc4300"/>
      <w:bookmarkStart w:id="25" w:name="_Toc1584"/>
      <w:bookmarkStart w:id="26" w:name="_Toc13779_WPSOffice_Level2"/>
      <w:bookmarkStart w:id="27" w:name="_Toc9639_WPSOffice_Level1"/>
      <w:r>
        <w:rPr>
          <w:rFonts w:hint="eastAsia" w:ascii="黑体" w:hAnsi="黑体" w:eastAsia="黑体"/>
          <w:bCs/>
          <w:color w:val="auto"/>
          <w:sz w:val="32"/>
          <w:szCs w:val="32"/>
          <w:highlight w:val="none"/>
        </w:rPr>
        <w:t>第一章 总则</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numPr>
          <w:ilvl w:val="255"/>
          <w:numId w:val="0"/>
        </w:numPr>
        <w:spacing w:line="560" w:lineRule="exact"/>
        <w:ind w:firstLine="640" w:firstLineChars="200"/>
        <w:outlineLvl w:val="2"/>
        <w:rPr>
          <w:rFonts w:asciiTheme="minorEastAsia" w:hAnsiTheme="minorEastAsia" w:eastAsiaTheme="minorEastAsia" w:cstheme="minorEastAsia"/>
          <w:color w:val="auto"/>
          <w:sz w:val="32"/>
          <w:szCs w:val="32"/>
          <w:highlight w:val="none"/>
        </w:rPr>
      </w:pPr>
      <w:bookmarkStart w:id="28" w:name="_Toc30716_WPSOffice_Level2"/>
      <w:bookmarkStart w:id="29" w:name="_Toc6092"/>
      <w:bookmarkStart w:id="30" w:name="_Toc17868"/>
      <w:bookmarkStart w:id="31" w:name="_Toc523428776"/>
      <w:bookmarkStart w:id="32" w:name="_Toc13445"/>
      <w:bookmarkStart w:id="33" w:name="_Toc350"/>
      <w:bookmarkStart w:id="34" w:name="_Toc14879"/>
      <w:bookmarkStart w:id="35" w:name="_Toc18264"/>
      <w:bookmarkStart w:id="36" w:name="_Toc22214"/>
      <w:bookmarkStart w:id="37" w:name="_Toc13803"/>
      <w:r>
        <w:rPr>
          <w:rFonts w:hint="eastAsia" w:ascii="黑体" w:hAnsi="黑体" w:eastAsia="黑体"/>
          <w:bCs/>
          <w:color w:val="auto"/>
          <w:sz w:val="32"/>
          <w:szCs w:val="32"/>
          <w:highlight w:val="none"/>
        </w:rPr>
        <w:t>第一条</w:t>
      </w:r>
      <w:bookmarkEnd w:id="28"/>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为规范安居型商品房的建设和管理，根据《深圳市保障性住房条例》</w:t>
      </w:r>
      <w:bookmarkStart w:id="38" w:name="_Hlk519776183"/>
      <w:r>
        <w:rPr>
          <w:rFonts w:hint="eastAsia" w:ascii="仿宋_GB2312" w:hAnsi="仿宋_GB2312" w:eastAsia="仿宋_GB2312" w:cs="仿宋_GB2312"/>
          <w:color w:val="auto"/>
          <w:sz w:val="32"/>
          <w:szCs w:val="32"/>
          <w:highlight w:val="none"/>
        </w:rPr>
        <w:t>等规定，</w:t>
      </w:r>
      <w:bookmarkEnd w:id="38"/>
      <w:r>
        <w:rPr>
          <w:rFonts w:hint="eastAsia" w:ascii="仿宋_GB2312" w:hAnsi="仿宋_GB2312" w:eastAsia="仿宋_GB2312" w:cs="仿宋_GB2312"/>
          <w:color w:val="auto"/>
          <w:sz w:val="32"/>
          <w:szCs w:val="32"/>
          <w:highlight w:val="none"/>
        </w:rPr>
        <w:t>结合本市实际，制定本办法。</w:t>
      </w:r>
      <w:bookmarkEnd w:id="29"/>
      <w:bookmarkEnd w:id="30"/>
      <w:bookmarkEnd w:id="31"/>
      <w:bookmarkEnd w:id="32"/>
      <w:bookmarkEnd w:id="33"/>
      <w:bookmarkEnd w:id="34"/>
      <w:bookmarkEnd w:id="35"/>
      <w:bookmarkEnd w:id="36"/>
      <w:bookmarkEnd w:id="37"/>
    </w:p>
    <w:p>
      <w:pPr>
        <w:spacing w:line="560" w:lineRule="exact"/>
        <w:ind w:firstLine="640" w:firstLineChars="200"/>
        <w:outlineLvl w:val="2"/>
        <w:rPr>
          <w:rFonts w:ascii="仿宋_GB2312" w:hAnsi="仿宋_GB2312" w:eastAsia="仿宋_GB2312" w:cs="仿宋_GB2312"/>
          <w:color w:val="auto"/>
          <w:sz w:val="32"/>
          <w:szCs w:val="32"/>
          <w:highlight w:val="none"/>
        </w:rPr>
      </w:pPr>
      <w:bookmarkStart w:id="39" w:name="_Toc10848_WPSOffice_Level2"/>
      <w:bookmarkStart w:id="40" w:name="_Toc21331"/>
      <w:bookmarkStart w:id="41" w:name="_Toc9948"/>
      <w:bookmarkStart w:id="42" w:name="_Toc27662"/>
      <w:bookmarkStart w:id="43" w:name="_Toc20918"/>
      <w:bookmarkStart w:id="44" w:name="_Toc23722"/>
      <w:bookmarkStart w:id="45" w:name="_Toc14510"/>
      <w:bookmarkStart w:id="46" w:name="_Toc13658"/>
      <w:bookmarkStart w:id="47" w:name="_Toc523428777"/>
      <w:bookmarkStart w:id="48" w:name="_Toc15062"/>
      <w:r>
        <w:rPr>
          <w:rFonts w:hint="eastAsia" w:ascii="黑体" w:hAnsi="黑体" w:eastAsia="黑体"/>
          <w:bCs/>
          <w:color w:val="auto"/>
          <w:sz w:val="32"/>
          <w:szCs w:val="32"/>
          <w:highlight w:val="none"/>
        </w:rPr>
        <w:t>第二条</w:t>
      </w:r>
      <w:bookmarkEnd w:id="39"/>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本办法适用于本市安居型商品房的建设筹集、分配、流转及相关管理活动。</w:t>
      </w:r>
      <w:bookmarkEnd w:id="40"/>
      <w:bookmarkEnd w:id="41"/>
      <w:bookmarkEnd w:id="42"/>
      <w:bookmarkEnd w:id="43"/>
      <w:bookmarkEnd w:id="44"/>
      <w:bookmarkEnd w:id="45"/>
      <w:bookmarkEnd w:id="46"/>
      <w:bookmarkEnd w:id="47"/>
      <w:bookmarkEnd w:id="48"/>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本办法所称安居型商品房，是指政府提供政策支持，限定套型面积、租售价格和处分条件等，面向符合收入财产限额标准等条件的户籍居民配租配售的住房。</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安居型商品房可租可售，以售为主。出售的安居型商品房在一定年限内实行封闭流转。</w:t>
      </w:r>
    </w:p>
    <w:p>
      <w:pPr>
        <w:spacing w:line="560" w:lineRule="exact"/>
        <w:ind w:firstLine="640" w:firstLineChars="200"/>
        <w:outlineLvl w:val="2"/>
        <w:rPr>
          <w:rFonts w:ascii="仿宋_GB2312" w:hAnsi="仿宋_GB2312" w:eastAsia="仿宋_GB2312" w:cs="仿宋_GB2312"/>
          <w:b/>
          <w:color w:val="FF0000"/>
          <w:sz w:val="32"/>
          <w:szCs w:val="32"/>
          <w:highlight w:val="none"/>
        </w:rPr>
      </w:pPr>
      <w:bookmarkStart w:id="49" w:name="_Toc3760_WPSOffice_Level2"/>
      <w:bookmarkStart w:id="50" w:name="_Toc523428778"/>
      <w:bookmarkStart w:id="51" w:name="_Toc689"/>
      <w:bookmarkStart w:id="52" w:name="_Toc17309"/>
      <w:bookmarkStart w:id="53" w:name="_Toc21772"/>
      <w:bookmarkStart w:id="54" w:name="_Toc14316"/>
      <w:bookmarkStart w:id="55" w:name="_Toc28421"/>
      <w:bookmarkStart w:id="56" w:name="_Toc7420"/>
      <w:bookmarkStart w:id="57" w:name="_Toc21404"/>
      <w:bookmarkStart w:id="58" w:name="_Toc31050"/>
      <w:r>
        <w:rPr>
          <w:rFonts w:hint="eastAsia" w:ascii="黑体" w:hAnsi="黑体" w:eastAsia="黑体"/>
          <w:bCs/>
          <w:color w:val="auto"/>
          <w:sz w:val="32"/>
          <w:szCs w:val="32"/>
          <w:highlight w:val="none"/>
        </w:rPr>
        <w:t>第三条</w:t>
      </w:r>
      <w:bookmarkEnd w:id="49"/>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安居型商品房建设和管理遵循政府主导、市场运作，统筹规划、分步实施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公开透明、诚实信用的原则。</w:t>
      </w:r>
      <w:bookmarkEnd w:id="50"/>
      <w:bookmarkEnd w:id="51"/>
      <w:bookmarkEnd w:id="52"/>
      <w:bookmarkEnd w:id="53"/>
      <w:bookmarkEnd w:id="54"/>
      <w:bookmarkEnd w:id="55"/>
      <w:bookmarkEnd w:id="56"/>
      <w:bookmarkEnd w:id="57"/>
      <w:bookmarkEnd w:id="58"/>
    </w:p>
    <w:p>
      <w:pPr>
        <w:spacing w:line="560" w:lineRule="exact"/>
        <w:ind w:firstLine="640" w:firstLineChars="200"/>
        <w:outlineLvl w:val="2"/>
        <w:rPr>
          <w:rFonts w:hint="eastAsia" w:ascii="仿宋_GB2312" w:hAnsi="仿宋_GB2312" w:eastAsia="仿宋_GB2312" w:cs="仿宋_GB2312"/>
          <w:color w:val="auto"/>
          <w:sz w:val="32"/>
          <w:szCs w:val="32"/>
          <w:highlight w:val="none"/>
        </w:rPr>
      </w:pPr>
      <w:bookmarkStart w:id="59" w:name="_Toc523428779"/>
      <w:bookmarkStart w:id="60" w:name="_Toc22614"/>
      <w:bookmarkStart w:id="61" w:name="_Toc2397"/>
      <w:bookmarkStart w:id="62" w:name="_Toc12171"/>
      <w:bookmarkStart w:id="63" w:name="_Toc17022_WPSOffice_Level2"/>
      <w:bookmarkStart w:id="64" w:name="_Toc25097"/>
      <w:r>
        <w:rPr>
          <w:rFonts w:hint="eastAsia" w:ascii="黑体" w:hAnsi="黑体" w:eastAsia="黑体"/>
          <w:bCs/>
          <w:color w:val="auto"/>
          <w:sz w:val="32"/>
          <w:szCs w:val="32"/>
          <w:highlight w:val="none"/>
        </w:rPr>
        <w:t>第四条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市住房主管部门（以下简称市主管部门）是全市安居型商品房建设和管理工作的行政主管部门，负责拟定安居型商品房的规划、计划、标准以及配套政策；统筹、指导、监督安居型商品房的建设筹集以及</w:t>
      </w:r>
      <w:r>
        <w:rPr>
          <w:rFonts w:hint="eastAsia" w:ascii="仿宋_GB2312" w:hAnsi="仿宋_GB2312" w:eastAsia="仿宋_GB2312" w:cs="仿宋_GB2312"/>
          <w:color w:val="auto"/>
          <w:sz w:val="32"/>
          <w:szCs w:val="32"/>
          <w:highlight w:val="none"/>
          <w:lang w:eastAsia="zh-CN"/>
        </w:rPr>
        <w:t>分配</w:t>
      </w:r>
      <w:r>
        <w:rPr>
          <w:rFonts w:hint="eastAsia" w:ascii="仿宋_GB2312" w:hAnsi="仿宋_GB2312" w:eastAsia="仿宋_GB2312" w:cs="仿宋_GB2312"/>
          <w:color w:val="auto"/>
          <w:sz w:val="32"/>
          <w:szCs w:val="32"/>
          <w:highlight w:val="none"/>
        </w:rPr>
        <w:t>等工作；根据实际需要集中建设安居型商品房，作为统筹调剂</w:t>
      </w:r>
      <w:r>
        <w:rPr>
          <w:rFonts w:hint="eastAsia" w:ascii="仿宋_GB2312" w:hAnsi="仿宋_GB2312" w:eastAsia="仿宋_GB2312" w:cs="仿宋_GB2312"/>
          <w:color w:val="auto"/>
          <w:sz w:val="32"/>
          <w:szCs w:val="32"/>
          <w:highlight w:val="none"/>
          <w:lang w:val="en-US" w:eastAsia="zh-CN"/>
        </w:rPr>
        <w:t>和直接分配的</w:t>
      </w:r>
      <w:r>
        <w:rPr>
          <w:rFonts w:hint="eastAsia" w:ascii="仿宋_GB2312" w:hAnsi="仿宋_GB2312" w:eastAsia="仿宋_GB2312" w:cs="仿宋_GB2312"/>
          <w:color w:val="auto"/>
          <w:sz w:val="32"/>
          <w:szCs w:val="32"/>
          <w:highlight w:val="none"/>
        </w:rPr>
        <w:t>房源。</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市发展改革部门负责划定安居型商品房申请家庭和单身居民的收入财产限额。</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市民政部门负责核对和认定申请家庭和单身居民的收入财产状况，提供申请家庭和单身居民的婚姻登记信息。</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市规划和自然资源部门负责安居型商品房建设用地供应和规划落实，提供申请家庭和单身居民的住房产权登记和历史遗留违法建筑申报登记信息。</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市交通运输部门负责制定和调整公共交通规划，协助主管部门实施以公共交通为导向的住房开发模式。市公安、财政、人力资源保障</w:t>
      </w:r>
      <w:r>
        <w:rPr>
          <w:rFonts w:hint="eastAsia" w:ascii="仿宋_GB2312" w:hAnsi="仿宋_GB2312" w:eastAsia="仿宋_GB2312" w:cs="仿宋_GB2312"/>
          <w:color w:val="auto"/>
          <w:sz w:val="32"/>
          <w:szCs w:val="32"/>
          <w:highlight w:val="none"/>
          <w:lang w:eastAsia="zh-CN"/>
        </w:rPr>
        <w:t>和社会保险征收管理</w:t>
      </w:r>
      <w:r>
        <w:rPr>
          <w:rFonts w:hint="eastAsia" w:ascii="仿宋_GB2312" w:hAnsi="仿宋_GB2312" w:eastAsia="仿宋_GB2312" w:cs="仿宋_GB2312"/>
          <w:color w:val="auto"/>
          <w:sz w:val="32"/>
          <w:szCs w:val="32"/>
          <w:highlight w:val="none"/>
        </w:rPr>
        <w:t>等相关职能部门应当在各自职责范围内配合主管部门做好安居型商品房的建设和管理工作。</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黑体" w:hAnsi="黑体" w:eastAsia="黑体"/>
          <w:bCs/>
          <w:color w:val="auto"/>
          <w:sz w:val="32"/>
          <w:szCs w:val="32"/>
          <w:highlight w:val="none"/>
        </w:rPr>
        <w:t>第五条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eastAsia="zh-CN"/>
        </w:rPr>
        <w:t>人民</w:t>
      </w:r>
      <w:r>
        <w:rPr>
          <w:rFonts w:hint="eastAsia" w:ascii="仿宋_GB2312" w:hAnsi="仿宋_GB2312" w:eastAsia="仿宋_GB2312" w:cs="仿宋_GB2312"/>
          <w:color w:val="auto"/>
          <w:sz w:val="32"/>
          <w:szCs w:val="32"/>
          <w:highlight w:val="none"/>
        </w:rPr>
        <w:t>政府（含新区管理机构，下同）负责本区安居型商品房建设和管理工作。</w:t>
      </w:r>
    </w:p>
    <w:p>
      <w:pPr>
        <w:spacing w:line="560" w:lineRule="exact"/>
        <w:ind w:firstLine="640" w:firstLineChars="200"/>
        <w:outlineLvl w:val="2"/>
        <w:rPr>
          <w:rFonts w:hint="eastAsia" w:ascii="仿宋_GB2312" w:hAnsi="Times New Roman" w:eastAsia="仿宋_GB2312" w:cs="仿宋_GB2312"/>
          <w:color w:val="auto"/>
          <w:kern w:val="0"/>
          <w:sz w:val="32"/>
          <w:szCs w:val="32"/>
          <w:highlight w:val="none"/>
          <w:lang w:eastAsia="zh-CN"/>
        </w:rPr>
      </w:pPr>
      <w:r>
        <w:rPr>
          <w:rFonts w:hint="eastAsia" w:ascii="仿宋_GB2312" w:hAnsi="仿宋_GB2312" w:eastAsia="仿宋_GB2312" w:cs="仿宋_GB2312"/>
          <w:color w:val="auto"/>
          <w:sz w:val="32"/>
          <w:szCs w:val="32"/>
          <w:highlight w:val="none"/>
        </w:rPr>
        <w:t>区住房主管部门（以下简称区主管部门）组织实施本区</w:t>
      </w:r>
      <w:r>
        <w:rPr>
          <w:rFonts w:hint="eastAsia" w:ascii="仿宋_GB2312" w:hAnsi="Times New Roman" w:eastAsia="仿宋_GB2312" w:cs="仿宋_GB2312"/>
          <w:color w:val="auto"/>
          <w:kern w:val="0"/>
          <w:sz w:val="32"/>
          <w:szCs w:val="32"/>
          <w:highlight w:val="none"/>
        </w:rPr>
        <w:t>安居型商品房的建设筹集、</w:t>
      </w:r>
      <w:r>
        <w:rPr>
          <w:rFonts w:hint="eastAsia" w:ascii="仿宋_GB2312" w:hAnsi="仿宋_GB2312" w:eastAsia="仿宋_GB2312" w:cs="仿宋_GB2312"/>
          <w:color w:val="auto"/>
          <w:sz w:val="32"/>
          <w:szCs w:val="32"/>
          <w:highlight w:val="none"/>
        </w:rPr>
        <w:t>配租配售</w:t>
      </w:r>
      <w:r>
        <w:rPr>
          <w:rFonts w:hint="eastAsia" w:ascii="仿宋_GB2312" w:hAnsi="Times New Roman" w:eastAsia="仿宋_GB2312" w:cs="仿宋_GB2312"/>
          <w:color w:val="auto"/>
          <w:kern w:val="0"/>
          <w:sz w:val="32"/>
          <w:szCs w:val="32"/>
          <w:highlight w:val="none"/>
        </w:rPr>
        <w:t>以及监督管理等具体工作</w:t>
      </w:r>
      <w:r>
        <w:rPr>
          <w:rFonts w:hint="eastAsia" w:ascii="仿宋_GB2312" w:hAnsi="仿宋_GB2312" w:eastAsia="仿宋_GB2312" w:cs="仿宋_GB2312"/>
          <w:color w:val="auto"/>
          <w:sz w:val="32"/>
          <w:szCs w:val="32"/>
          <w:highlight w:val="none"/>
        </w:rPr>
        <w:t>。</w:t>
      </w:r>
      <w:bookmarkEnd w:id="59"/>
      <w:bookmarkEnd w:id="60"/>
      <w:bookmarkEnd w:id="61"/>
      <w:bookmarkEnd w:id="62"/>
      <w:bookmarkEnd w:id="63"/>
      <w:bookmarkEnd w:id="64"/>
      <w:r>
        <w:rPr>
          <w:rFonts w:hint="eastAsia" w:ascii="仿宋_GB2312" w:hAnsi="仿宋_GB2312" w:eastAsia="仿宋_GB2312" w:cs="仿宋_GB2312"/>
          <w:color w:val="auto"/>
          <w:sz w:val="32"/>
          <w:szCs w:val="32"/>
          <w:highlight w:val="none"/>
        </w:rPr>
        <w:t>区相关部门按照职责分工，做好各自工作。</w:t>
      </w:r>
    </w:p>
    <w:p>
      <w:pPr>
        <w:numPr>
          <w:ilvl w:val="255"/>
          <w:numId w:val="0"/>
        </w:numPr>
        <w:spacing w:line="560" w:lineRule="exact"/>
        <w:ind w:firstLine="640" w:firstLineChars="200"/>
        <w:rPr>
          <w:rFonts w:ascii="仿宋_GB2312" w:eastAsia="仿宋_GB2312"/>
          <w:bCs/>
          <w:color w:val="auto"/>
          <w:sz w:val="32"/>
          <w:szCs w:val="32"/>
          <w:highlight w:val="none"/>
        </w:rPr>
      </w:pPr>
      <w:bookmarkStart w:id="65" w:name="_Toc523428783"/>
      <w:bookmarkStart w:id="66" w:name="_Toc16211"/>
      <w:bookmarkStart w:id="67" w:name="_Toc11234"/>
      <w:bookmarkStart w:id="68" w:name="_Toc16953"/>
      <w:bookmarkStart w:id="69" w:name="_Toc22086"/>
      <w:bookmarkStart w:id="70" w:name="_Toc15302"/>
      <w:bookmarkStart w:id="71" w:name="_Toc24514"/>
      <w:bookmarkStart w:id="72" w:name="_Toc27073"/>
      <w:r>
        <w:rPr>
          <w:rStyle w:val="14"/>
          <w:rFonts w:hint="eastAsia" w:ascii="黑体" w:hAnsi="黑体" w:eastAsia="黑体" w:cs="黑体"/>
          <w:b w:val="0"/>
          <w:bCs w:val="0"/>
          <w:color w:val="auto"/>
          <w:highlight w:val="none"/>
        </w:rPr>
        <w:t>第</w:t>
      </w:r>
      <w:r>
        <w:rPr>
          <w:rStyle w:val="14"/>
          <w:rFonts w:hint="eastAsia" w:ascii="黑体" w:hAnsi="黑体" w:eastAsia="黑体" w:cs="黑体"/>
          <w:b w:val="0"/>
          <w:bCs w:val="0"/>
          <w:color w:val="auto"/>
          <w:highlight w:val="none"/>
          <w:lang w:eastAsia="zh-CN"/>
        </w:rPr>
        <w:t>六</w:t>
      </w:r>
      <w:r>
        <w:rPr>
          <w:rStyle w:val="14"/>
          <w:rFonts w:hint="eastAsia" w:ascii="黑体" w:hAnsi="黑体" w:eastAsia="黑体" w:cs="黑体"/>
          <w:b w:val="0"/>
          <w:bCs w:val="0"/>
          <w:color w:val="auto"/>
          <w:highlight w:val="none"/>
        </w:rPr>
        <w:t>条</w:t>
      </w:r>
      <w:bookmarkEnd w:id="65"/>
      <w:bookmarkEnd w:id="66"/>
      <w:bookmarkEnd w:id="67"/>
      <w:bookmarkEnd w:id="68"/>
      <w:bookmarkEnd w:id="69"/>
      <w:bookmarkEnd w:id="70"/>
      <w:bookmarkEnd w:id="71"/>
      <w:bookmarkEnd w:id="72"/>
      <w:r>
        <w:rPr>
          <w:rStyle w:val="14"/>
          <w:rFonts w:hint="eastAsia" w:ascii="黑体" w:hAnsi="黑体" w:eastAsia="黑体" w:cs="黑体"/>
          <w:b w:val="0"/>
          <w:bCs w:val="0"/>
          <w:color w:val="auto"/>
          <w:highlight w:val="none"/>
          <w:lang w:val="en-US" w:eastAsia="zh-CN"/>
        </w:rPr>
        <w:t xml:space="preserve"> </w:t>
      </w:r>
      <w:r>
        <w:rPr>
          <w:rFonts w:hint="eastAsia" w:ascii="仿宋_GB2312" w:eastAsia="仿宋_GB2312"/>
          <w:bCs/>
          <w:color w:val="auto"/>
          <w:sz w:val="32"/>
          <w:szCs w:val="32"/>
          <w:highlight w:val="none"/>
        </w:rPr>
        <w:t>市主管部门应当会同相关职能部门、各区</w:t>
      </w:r>
      <w:r>
        <w:rPr>
          <w:rFonts w:hint="eastAsia" w:ascii="仿宋_GB2312" w:eastAsia="仿宋_GB2312"/>
          <w:bCs/>
          <w:color w:val="auto"/>
          <w:sz w:val="32"/>
          <w:szCs w:val="32"/>
          <w:highlight w:val="none"/>
          <w:lang w:eastAsia="zh-CN"/>
        </w:rPr>
        <w:t>人民</w:t>
      </w:r>
      <w:r>
        <w:rPr>
          <w:rFonts w:hint="eastAsia" w:ascii="仿宋_GB2312" w:eastAsia="仿宋_GB2312"/>
          <w:bCs/>
          <w:color w:val="auto"/>
          <w:sz w:val="32"/>
          <w:szCs w:val="32"/>
          <w:highlight w:val="none"/>
        </w:rPr>
        <w:t>政府建立全市统一的住房信息平台（以下简称信息平台），将全市安居型商品房的建设筹集、分配、流转及相关管理活动纳入信息平台，实行规范化管理。</w:t>
      </w:r>
    </w:p>
    <w:p>
      <w:pPr>
        <w:numPr>
          <w:ilvl w:val="255"/>
          <w:numId w:val="0"/>
        </w:numPr>
        <w:spacing w:line="560" w:lineRule="exact"/>
        <w:ind w:firstLine="640" w:firstLineChars="200"/>
        <w:rPr>
          <w:rFonts w:ascii="仿宋_GB2312" w:eastAsia="仿宋_GB2312"/>
          <w:bCs/>
          <w:color w:val="auto"/>
          <w:sz w:val="32"/>
          <w:szCs w:val="32"/>
          <w:highlight w:val="none"/>
        </w:rPr>
      </w:pPr>
      <w:r>
        <w:rPr>
          <w:rFonts w:hint="eastAsia" w:ascii="仿宋_GB2312" w:eastAsia="仿宋_GB2312"/>
          <w:bCs/>
          <w:color w:val="auto"/>
          <w:sz w:val="32"/>
          <w:szCs w:val="32"/>
          <w:highlight w:val="none"/>
        </w:rPr>
        <w:t>公安、民政、财政、人力资源保障</w:t>
      </w:r>
      <w:r>
        <w:rPr>
          <w:rFonts w:hint="eastAsia" w:ascii="仿宋_GB2312" w:eastAsia="仿宋_GB2312"/>
          <w:bCs/>
          <w:color w:val="auto"/>
          <w:sz w:val="32"/>
          <w:szCs w:val="32"/>
          <w:highlight w:val="none"/>
          <w:lang w:eastAsia="zh-CN"/>
        </w:rPr>
        <w:t>、</w:t>
      </w:r>
      <w:r>
        <w:rPr>
          <w:rFonts w:hint="eastAsia" w:ascii="仿宋_GB2312" w:eastAsia="仿宋_GB2312"/>
          <w:bCs/>
          <w:color w:val="auto"/>
          <w:sz w:val="32"/>
          <w:szCs w:val="32"/>
          <w:highlight w:val="none"/>
        </w:rPr>
        <w:t>规划和自然资源</w:t>
      </w:r>
      <w:r>
        <w:rPr>
          <w:rFonts w:hint="eastAsia" w:ascii="仿宋_GB2312" w:hAnsi="仿宋_GB2312" w:eastAsia="仿宋_GB2312" w:cs="仿宋_GB2312"/>
          <w:color w:val="auto"/>
          <w:sz w:val="32"/>
          <w:szCs w:val="32"/>
          <w:highlight w:val="none"/>
          <w:lang w:eastAsia="zh-CN"/>
        </w:rPr>
        <w:t>、社会保险征收管理</w:t>
      </w:r>
      <w:r>
        <w:rPr>
          <w:rFonts w:hint="eastAsia" w:ascii="仿宋_GB2312" w:eastAsia="仿宋_GB2312"/>
          <w:bCs/>
          <w:color w:val="auto"/>
          <w:sz w:val="32"/>
          <w:szCs w:val="32"/>
          <w:highlight w:val="none"/>
        </w:rPr>
        <w:t>等部门应当加强协同配合，实现信息平台与户籍、婚姻、居民</w:t>
      </w:r>
      <w:r>
        <w:rPr>
          <w:rFonts w:hint="eastAsia" w:ascii="仿宋_GB2312" w:hAnsi="仿宋_GB2312" w:eastAsia="仿宋_GB2312" w:cs="仿宋_GB2312"/>
          <w:color w:val="auto"/>
          <w:sz w:val="32"/>
          <w:szCs w:val="32"/>
          <w:highlight w:val="none"/>
        </w:rPr>
        <w:t>收入财产状况</w:t>
      </w:r>
      <w:r>
        <w:rPr>
          <w:rFonts w:hint="eastAsia" w:ascii="仿宋_GB2312" w:eastAsia="仿宋_GB2312"/>
          <w:bCs/>
          <w:color w:val="auto"/>
          <w:sz w:val="32"/>
          <w:szCs w:val="32"/>
          <w:highlight w:val="none"/>
        </w:rPr>
        <w:t>核对和认定、不动产登记、房地产交易、社会保险、住房租赁、网格化管理、住房公积金、房屋安全、物业服务</w:t>
      </w:r>
      <w:r>
        <w:rPr>
          <w:rFonts w:hint="eastAsia" w:ascii="仿宋_GB2312" w:eastAsia="仿宋_GB2312"/>
          <w:bCs/>
          <w:color w:val="auto"/>
          <w:sz w:val="32"/>
          <w:szCs w:val="32"/>
          <w:highlight w:val="none"/>
          <w:lang w:eastAsia="zh-CN"/>
        </w:rPr>
        <w:t>、征信</w:t>
      </w:r>
      <w:r>
        <w:rPr>
          <w:rFonts w:hint="eastAsia" w:ascii="仿宋_GB2312" w:eastAsia="仿宋_GB2312"/>
          <w:bCs/>
          <w:color w:val="auto"/>
          <w:sz w:val="32"/>
          <w:szCs w:val="32"/>
          <w:highlight w:val="none"/>
        </w:rPr>
        <w:t>等信息化平台互联互通，信息共享。</w:t>
      </w:r>
    </w:p>
    <w:p>
      <w:pPr>
        <w:spacing w:beforeLines="50" w:afterLines="50" w:line="560" w:lineRule="exact"/>
        <w:jc w:val="center"/>
        <w:outlineLvl w:val="1"/>
        <w:rPr>
          <w:rFonts w:hint="eastAsia" w:ascii="黑体" w:hAnsi="黑体" w:eastAsia="黑体"/>
          <w:bCs/>
          <w:color w:val="000000"/>
          <w:sz w:val="32"/>
          <w:szCs w:val="32"/>
          <w:highlight w:val="none"/>
        </w:rPr>
      </w:pPr>
      <w:bookmarkStart w:id="73" w:name="_Toc523428817"/>
      <w:bookmarkStart w:id="74" w:name="_Toc20009_WPSOffice_Level1"/>
      <w:bookmarkStart w:id="75" w:name="_Toc18786_WPSOffice_Level1"/>
      <w:bookmarkStart w:id="76" w:name="_Toc13827"/>
      <w:bookmarkStart w:id="77" w:name="_Toc14769"/>
      <w:bookmarkStart w:id="78" w:name="_Toc16565"/>
      <w:bookmarkStart w:id="79" w:name="_Toc8605"/>
      <w:bookmarkStart w:id="80" w:name="_Toc32058"/>
      <w:bookmarkStart w:id="81" w:name="_Toc21197"/>
      <w:bookmarkStart w:id="82" w:name="_Toc5936"/>
      <w:bookmarkStart w:id="83" w:name="_Toc22376"/>
      <w:r>
        <w:rPr>
          <w:rFonts w:hint="eastAsia" w:ascii="黑体" w:hAnsi="黑体" w:eastAsia="黑体"/>
          <w:bCs/>
          <w:color w:val="000000"/>
          <w:sz w:val="32"/>
          <w:szCs w:val="32"/>
          <w:highlight w:val="none"/>
        </w:rPr>
        <w:t>第二章  规划与建设</w:t>
      </w:r>
    </w:p>
    <w:p>
      <w:pPr>
        <w:numPr>
          <w:ilvl w:val="255"/>
          <w:numId w:val="0"/>
        </w:numPr>
        <w:spacing w:line="560" w:lineRule="exact"/>
        <w:ind w:firstLine="640" w:firstLineChars="200"/>
        <w:outlineLvl w:val="9"/>
        <w:rPr>
          <w:rFonts w:ascii="仿宋_GB2312" w:hAnsi="仿宋_GB2312" w:eastAsia="仿宋_GB2312" w:cs="仿宋_GB2312"/>
          <w:color w:val="000000"/>
          <w:sz w:val="32"/>
          <w:szCs w:val="32"/>
          <w:highlight w:val="none"/>
        </w:rPr>
      </w:pPr>
      <w:bookmarkStart w:id="84" w:name="_Toc162"/>
      <w:bookmarkStart w:id="85" w:name="_Toc4948"/>
      <w:bookmarkStart w:id="86" w:name="_Toc523428785"/>
      <w:bookmarkStart w:id="87" w:name="_Toc520234173"/>
      <w:bookmarkStart w:id="88" w:name="_Toc30144"/>
      <w:bookmarkStart w:id="89" w:name="_Toc5014"/>
      <w:r>
        <w:rPr>
          <w:rFonts w:hint="eastAsia" w:ascii="黑体" w:hAnsi="黑体" w:eastAsia="黑体"/>
          <w:bCs/>
          <w:color w:val="000000"/>
          <w:sz w:val="32"/>
          <w:szCs w:val="32"/>
          <w:highlight w:val="none"/>
        </w:rPr>
        <w:t>第</w:t>
      </w:r>
      <w:r>
        <w:rPr>
          <w:rFonts w:hint="eastAsia" w:ascii="黑体" w:hAnsi="黑体" w:eastAsia="黑体"/>
          <w:bCs/>
          <w:color w:val="000000"/>
          <w:sz w:val="32"/>
          <w:szCs w:val="32"/>
          <w:highlight w:val="none"/>
          <w:lang w:eastAsia="zh-CN"/>
        </w:rPr>
        <w:t>七</w:t>
      </w:r>
      <w:r>
        <w:rPr>
          <w:rFonts w:hint="eastAsia" w:ascii="黑体" w:hAnsi="黑体" w:eastAsia="黑体"/>
          <w:bCs/>
          <w:color w:val="000000"/>
          <w:sz w:val="32"/>
          <w:szCs w:val="32"/>
          <w:highlight w:val="none"/>
        </w:rPr>
        <w:t>条</w:t>
      </w:r>
      <w:bookmarkEnd w:id="84"/>
      <w:bookmarkEnd w:id="85"/>
      <w:bookmarkEnd w:id="86"/>
      <w:bookmarkEnd w:id="87"/>
      <w:bookmarkEnd w:id="88"/>
      <w:bookmarkEnd w:id="89"/>
      <w:bookmarkStart w:id="90" w:name="_Toc15419"/>
      <w:bookmarkStart w:id="91" w:name="_Toc523428786"/>
      <w:bookmarkStart w:id="92" w:name="_Toc16329"/>
      <w:bookmarkStart w:id="93" w:name="_Toc5403"/>
      <w:bookmarkStart w:id="94" w:name="_Toc13774"/>
      <w:r>
        <w:rPr>
          <w:rFonts w:hint="eastAsia" w:ascii="黑体" w:hAnsi="黑体" w:eastAsia="黑体"/>
          <w:bCs/>
          <w:color w:val="000000"/>
          <w:sz w:val="32"/>
          <w:szCs w:val="32"/>
          <w:highlight w:val="none"/>
          <w:lang w:val="en-US" w:eastAsia="zh-CN"/>
        </w:rPr>
        <w:t xml:space="preserve"> </w:t>
      </w:r>
      <w:r>
        <w:rPr>
          <w:rFonts w:hint="eastAsia" w:ascii="仿宋_GB2312" w:hAnsi="Calibri" w:eastAsia="仿宋_GB2312" w:cs="宋体"/>
          <w:bCs/>
          <w:color w:val="000000"/>
          <w:sz w:val="32"/>
          <w:szCs w:val="32"/>
          <w:highlight w:val="none"/>
        </w:rPr>
        <w:t>市主管部门会同市规划</w:t>
      </w:r>
      <w:r>
        <w:rPr>
          <w:rFonts w:hint="eastAsia" w:ascii="仿宋_GB2312" w:hAnsi="Calibri" w:eastAsia="仿宋_GB2312" w:cs="宋体"/>
          <w:bCs/>
          <w:color w:val="000000"/>
          <w:sz w:val="32"/>
          <w:szCs w:val="32"/>
          <w:highlight w:val="none"/>
          <w:lang w:eastAsia="zh-CN"/>
        </w:rPr>
        <w:t>和</w:t>
      </w:r>
      <w:r>
        <w:rPr>
          <w:rFonts w:hint="eastAsia" w:ascii="仿宋_GB2312" w:hAnsi="仿宋_GB2312" w:eastAsia="仿宋_GB2312" w:cs="仿宋_GB2312"/>
          <w:color w:val="000000"/>
          <w:sz w:val="32"/>
          <w:szCs w:val="32"/>
          <w:highlight w:val="none"/>
          <w:lang w:eastAsia="zh-CN"/>
        </w:rPr>
        <w:t>自然资源</w:t>
      </w:r>
      <w:r>
        <w:rPr>
          <w:rFonts w:hint="eastAsia" w:ascii="仿宋_GB2312" w:hAnsi="仿宋_GB2312" w:eastAsia="仿宋_GB2312" w:cs="仿宋_GB2312"/>
          <w:color w:val="000000"/>
          <w:sz w:val="32"/>
          <w:szCs w:val="32"/>
          <w:highlight w:val="none"/>
        </w:rPr>
        <w:t>、发展改革、财政等相关部门，编制住房保障规划和年度实施计划</w:t>
      </w:r>
      <w:bookmarkEnd w:id="90"/>
      <w:bookmarkEnd w:id="91"/>
      <w:bookmarkEnd w:id="92"/>
      <w:bookmarkEnd w:id="93"/>
      <w:bookmarkEnd w:id="94"/>
      <w:r>
        <w:rPr>
          <w:rFonts w:hint="eastAsia" w:ascii="仿宋_GB2312" w:hAnsi="仿宋_GB2312" w:eastAsia="仿宋_GB2312" w:cs="仿宋_GB2312"/>
          <w:color w:val="000000"/>
          <w:sz w:val="32"/>
          <w:szCs w:val="32"/>
          <w:highlight w:val="none"/>
        </w:rPr>
        <w:t>，</w:t>
      </w:r>
      <w:bookmarkStart w:id="95" w:name="_Toc5903"/>
      <w:bookmarkStart w:id="96" w:name="_Toc13243"/>
      <w:bookmarkStart w:id="97" w:name="_Toc30679"/>
      <w:bookmarkStart w:id="98" w:name="_Toc11428"/>
      <w:bookmarkStart w:id="99" w:name="_Toc523428787"/>
      <w:r>
        <w:rPr>
          <w:rFonts w:hint="eastAsia" w:ascii="仿宋_GB2312" w:hAnsi="仿宋_GB2312" w:eastAsia="仿宋_GB2312" w:cs="仿宋_GB2312"/>
          <w:color w:val="000000"/>
          <w:sz w:val="32"/>
          <w:szCs w:val="32"/>
          <w:highlight w:val="none"/>
        </w:rPr>
        <w:t>明确安居型商品房的土地供应总量、建设筹集数量和资金需求。</w:t>
      </w:r>
      <w:r>
        <w:rPr>
          <w:rFonts w:hint="eastAsia" w:ascii="仿宋_GB2312" w:hAnsi="仿宋_GB2312" w:eastAsia="仿宋_GB2312" w:cs="仿宋_GB2312"/>
          <w:color w:val="000000"/>
          <w:sz w:val="32"/>
          <w:szCs w:val="32"/>
          <w:highlight w:val="none"/>
          <w:lang w:val="en-US" w:eastAsia="zh-CN"/>
        </w:rPr>
        <w:t>住房保障规划中，</w:t>
      </w:r>
      <w:r>
        <w:rPr>
          <w:rFonts w:hint="eastAsia" w:ascii="仿宋_GB2312" w:hAnsi="仿宋_GB2312" w:eastAsia="仿宋_GB2312" w:cs="仿宋_GB2312"/>
          <w:color w:val="000000"/>
          <w:sz w:val="32"/>
          <w:szCs w:val="32"/>
          <w:highlight w:val="none"/>
        </w:rPr>
        <w:t>安居型商品房建设筹集数量为住房建设筹集总量的</w:t>
      </w:r>
      <w:r>
        <w:rPr>
          <w:rFonts w:ascii="仿宋_GB2312" w:hAnsi="仿宋_GB2312" w:eastAsia="仿宋_GB2312" w:cs="仿宋_GB2312"/>
          <w:color w:val="000000"/>
          <w:sz w:val="32"/>
          <w:szCs w:val="32"/>
          <w:highlight w:val="none"/>
        </w:rPr>
        <w:t>20%</w:t>
      </w:r>
      <w:r>
        <w:rPr>
          <w:rFonts w:hint="eastAsia" w:ascii="仿宋_GB2312" w:hAnsi="仿宋_GB2312" w:eastAsia="仿宋_GB2312" w:cs="仿宋_GB2312"/>
          <w:color w:val="000000"/>
          <w:sz w:val="32"/>
          <w:szCs w:val="32"/>
          <w:highlight w:val="none"/>
        </w:rPr>
        <w:t>左右。</w:t>
      </w:r>
      <w:bookmarkEnd w:id="95"/>
      <w:bookmarkEnd w:id="96"/>
      <w:bookmarkEnd w:id="97"/>
      <w:bookmarkEnd w:id="98"/>
      <w:bookmarkEnd w:id="99"/>
    </w:p>
    <w:p>
      <w:pPr>
        <w:spacing w:line="560" w:lineRule="exact"/>
        <w:ind w:firstLine="640" w:firstLineChars="200"/>
        <w:outlineLvl w:val="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通过城市更新配建、棚户区改造建设安居型商品房的，由建设单位向区主管部门申请纳入年度实施计划。通过本办法第</w:t>
      </w:r>
      <w:r>
        <w:rPr>
          <w:rFonts w:hint="eastAsia" w:ascii="仿宋_GB2312" w:hAnsi="仿宋_GB2312" w:eastAsia="仿宋_GB2312" w:cs="仿宋_GB2312"/>
          <w:color w:val="000000"/>
          <w:sz w:val="32"/>
          <w:szCs w:val="32"/>
          <w:highlight w:val="none"/>
          <w:lang w:eastAsia="zh-CN"/>
        </w:rPr>
        <w:t>九</w:t>
      </w:r>
      <w:r>
        <w:rPr>
          <w:rFonts w:hint="eastAsia" w:ascii="仿宋_GB2312" w:hAnsi="仿宋_GB2312" w:eastAsia="仿宋_GB2312" w:cs="仿宋_GB2312"/>
          <w:color w:val="000000"/>
          <w:sz w:val="32"/>
          <w:szCs w:val="32"/>
          <w:highlight w:val="none"/>
        </w:rPr>
        <w:t>条列举的其他方式建设安居型商品房的，由建设单位向市主管部门申请纳入年度实施计划。</w:t>
      </w:r>
    </w:p>
    <w:p>
      <w:pPr>
        <w:spacing w:line="560" w:lineRule="exact"/>
        <w:ind w:firstLine="640" w:firstLineChars="200"/>
        <w:outlineLvl w:val="2"/>
        <w:rPr>
          <w:rFonts w:ascii="仿宋_GB2312" w:hAnsi="仿宋_GB2312" w:eastAsia="仿宋_GB2312" w:cs="仿宋_GB2312"/>
          <w:color w:val="000000"/>
          <w:sz w:val="32"/>
          <w:szCs w:val="32"/>
          <w:highlight w:val="none"/>
        </w:rPr>
      </w:pPr>
      <w:bookmarkStart w:id="100" w:name="_Toc18216"/>
      <w:bookmarkStart w:id="101" w:name="_Toc17278"/>
      <w:bookmarkStart w:id="102" w:name="_Toc5035"/>
      <w:bookmarkStart w:id="103" w:name="_Toc26559"/>
      <w:bookmarkStart w:id="104" w:name="_Toc16789"/>
      <w:bookmarkStart w:id="105" w:name="_Toc12582"/>
      <w:bookmarkStart w:id="106" w:name="_Toc523428788"/>
      <w:bookmarkStart w:id="107" w:name="_Toc12465"/>
      <w:bookmarkStart w:id="108" w:name="_Toc13012"/>
      <w:r>
        <w:rPr>
          <w:rFonts w:hint="eastAsia" w:ascii="黑体" w:hAnsi="黑体" w:eastAsia="黑体"/>
          <w:bCs/>
          <w:color w:val="000000"/>
          <w:sz w:val="32"/>
          <w:szCs w:val="32"/>
          <w:highlight w:val="none"/>
        </w:rPr>
        <w:t>第</w:t>
      </w:r>
      <w:r>
        <w:rPr>
          <w:rFonts w:hint="eastAsia" w:ascii="黑体" w:hAnsi="黑体" w:eastAsia="黑体"/>
          <w:bCs/>
          <w:color w:val="000000"/>
          <w:sz w:val="32"/>
          <w:szCs w:val="32"/>
          <w:highlight w:val="none"/>
          <w:lang w:eastAsia="zh-CN"/>
        </w:rPr>
        <w:t>八</w:t>
      </w:r>
      <w:r>
        <w:rPr>
          <w:rFonts w:hint="eastAsia" w:ascii="黑体" w:hAnsi="黑体" w:eastAsia="黑体"/>
          <w:bCs/>
          <w:color w:val="000000"/>
          <w:sz w:val="32"/>
          <w:szCs w:val="32"/>
          <w:highlight w:val="none"/>
        </w:rPr>
        <w:t>条</w:t>
      </w:r>
      <w:r>
        <w:rPr>
          <w:rFonts w:hint="eastAsia" w:ascii="黑体" w:hAnsi="黑体" w:eastAsia="黑体"/>
          <w:bCs/>
          <w:color w:val="000000"/>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根据住房保障规划的要求，市规划</w:t>
      </w:r>
      <w:r>
        <w:rPr>
          <w:rFonts w:hint="eastAsia" w:ascii="仿宋_GB2312" w:hAnsi="仿宋_GB2312" w:eastAsia="仿宋_GB2312" w:cs="仿宋_GB2312"/>
          <w:color w:val="000000"/>
          <w:sz w:val="32"/>
          <w:szCs w:val="32"/>
          <w:highlight w:val="none"/>
          <w:lang w:eastAsia="zh-CN"/>
        </w:rPr>
        <w:t>和自然资源</w:t>
      </w:r>
      <w:r>
        <w:rPr>
          <w:rFonts w:hint="eastAsia" w:ascii="仿宋_GB2312" w:hAnsi="仿宋_GB2312" w:eastAsia="仿宋_GB2312" w:cs="仿宋_GB2312"/>
          <w:color w:val="auto"/>
          <w:sz w:val="32"/>
          <w:szCs w:val="32"/>
          <w:highlight w:val="none"/>
        </w:rPr>
        <w:t>部门在编制</w:t>
      </w:r>
      <w:r>
        <w:rPr>
          <w:rFonts w:hint="eastAsia" w:ascii="仿宋_GB2312" w:hAnsi="仿宋_GB2312" w:eastAsia="仿宋_GB2312" w:cs="仿宋_GB2312"/>
          <w:color w:val="000000"/>
          <w:sz w:val="32"/>
          <w:szCs w:val="32"/>
          <w:highlight w:val="none"/>
          <w:u w:val="none" w:color="auto"/>
          <w:lang w:val="en-US" w:eastAsia="zh-CN"/>
        </w:rPr>
        <w:t>城市建设与土地利用</w:t>
      </w:r>
      <w:r>
        <w:rPr>
          <w:rFonts w:hint="eastAsia" w:ascii="仿宋_GB2312" w:hAnsi="仿宋_GB2312" w:eastAsia="仿宋_GB2312" w:cs="仿宋_GB2312"/>
          <w:color w:val="auto"/>
          <w:sz w:val="32"/>
          <w:szCs w:val="32"/>
          <w:highlight w:val="none"/>
        </w:rPr>
        <w:t>规划、年度城市建设与土地利用实施计划时，应当明确规划期内安居型商品房用地供应指标。</w:t>
      </w:r>
      <w:r>
        <w:rPr>
          <w:rFonts w:hint="eastAsia" w:ascii="仿宋_GB2312" w:hAnsi="仿宋_GB2312" w:eastAsia="仿宋_GB2312" w:cs="仿宋_GB2312"/>
          <w:color w:val="000000"/>
          <w:sz w:val="32"/>
          <w:szCs w:val="32"/>
          <w:highlight w:val="none"/>
        </w:rPr>
        <w:t>安排新供应居住用地时，确保安居型商品房用地比例不低于</w:t>
      </w:r>
      <w:r>
        <w:rPr>
          <w:rFonts w:ascii="仿宋_GB2312" w:hAnsi="仿宋_GB2312" w:eastAsia="仿宋_GB2312" w:cs="仿宋_GB2312"/>
          <w:color w:val="000000"/>
          <w:sz w:val="32"/>
          <w:szCs w:val="32"/>
          <w:highlight w:val="none"/>
        </w:rPr>
        <w:t>20%</w:t>
      </w:r>
      <w:r>
        <w:rPr>
          <w:rFonts w:hint="eastAsia" w:ascii="仿宋_GB2312" w:hAnsi="仿宋_GB2312" w:eastAsia="仿宋_GB2312" w:cs="仿宋_GB2312"/>
          <w:color w:val="000000"/>
          <w:sz w:val="32"/>
          <w:szCs w:val="32"/>
          <w:highlight w:val="none"/>
        </w:rPr>
        <w:t>。</w:t>
      </w:r>
    </w:p>
    <w:bookmarkEnd w:id="100"/>
    <w:bookmarkEnd w:id="101"/>
    <w:bookmarkEnd w:id="102"/>
    <w:bookmarkEnd w:id="103"/>
    <w:bookmarkEnd w:id="104"/>
    <w:bookmarkEnd w:id="105"/>
    <w:bookmarkEnd w:id="106"/>
    <w:bookmarkEnd w:id="107"/>
    <w:bookmarkEnd w:id="108"/>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规划</w:t>
      </w:r>
      <w:r>
        <w:rPr>
          <w:rFonts w:hint="eastAsia" w:ascii="仿宋_GB2312" w:hAnsi="仿宋_GB2312" w:eastAsia="仿宋_GB2312" w:cs="仿宋_GB2312"/>
          <w:color w:val="000000"/>
          <w:sz w:val="32"/>
          <w:szCs w:val="32"/>
          <w:highlight w:val="none"/>
          <w:lang w:eastAsia="zh-CN"/>
        </w:rPr>
        <w:t>和自然资源</w:t>
      </w:r>
      <w:r>
        <w:rPr>
          <w:rFonts w:hint="eastAsia" w:ascii="仿宋_GB2312" w:hAnsi="仿宋_GB2312" w:eastAsia="仿宋_GB2312" w:cs="仿宋_GB2312"/>
          <w:color w:val="000000"/>
          <w:sz w:val="32"/>
          <w:szCs w:val="32"/>
          <w:highlight w:val="none"/>
        </w:rPr>
        <w:t>部门在安居型商品房规划选址时，应当充分征求市、区主管部门意见。在规划和周边配套支撑的前提下，独立</w:t>
      </w:r>
      <w:r>
        <w:rPr>
          <w:rFonts w:hint="eastAsia" w:ascii="仿宋_GB2312" w:hAnsi="仿宋_GB2312" w:eastAsia="仿宋_GB2312" w:cs="仿宋_GB2312"/>
          <w:color w:val="000000"/>
          <w:sz w:val="32"/>
          <w:szCs w:val="32"/>
          <w:highlight w:val="none"/>
          <w:lang w:eastAsia="zh-CN"/>
        </w:rPr>
        <w:t>用地</w:t>
      </w:r>
      <w:r>
        <w:rPr>
          <w:rFonts w:hint="eastAsia" w:ascii="仿宋_GB2312" w:hAnsi="仿宋_GB2312" w:eastAsia="仿宋_GB2312" w:cs="仿宋_GB2312"/>
          <w:color w:val="000000"/>
          <w:sz w:val="32"/>
          <w:szCs w:val="32"/>
          <w:highlight w:val="none"/>
        </w:rPr>
        <w:t>建设安居型商品房的容积率按照所在密度分区居住用地的容积率上限取值。</w:t>
      </w:r>
    </w:p>
    <w:p>
      <w:pPr>
        <w:spacing w:line="560" w:lineRule="exact"/>
        <w:ind w:firstLine="640" w:firstLineChars="200"/>
        <w:outlineLvl w:val="2"/>
        <w:rPr>
          <w:rFonts w:ascii="黑体" w:hAnsi="黑体" w:eastAsia="黑体"/>
          <w:bCs/>
          <w:color w:val="000000"/>
          <w:sz w:val="32"/>
          <w:szCs w:val="32"/>
          <w:highlight w:val="none"/>
        </w:rPr>
      </w:pPr>
      <w:bookmarkStart w:id="109" w:name="_Toc520234187"/>
      <w:bookmarkStart w:id="110" w:name="_Toc1716"/>
      <w:bookmarkStart w:id="111" w:name="_Toc32364"/>
      <w:bookmarkStart w:id="112" w:name="_Toc8118"/>
      <w:bookmarkStart w:id="113" w:name="_Toc3332"/>
      <w:bookmarkStart w:id="114" w:name="_Toc5388"/>
      <w:bookmarkStart w:id="115" w:name="_Toc14863"/>
      <w:bookmarkStart w:id="116" w:name="_Toc3658"/>
      <w:bookmarkStart w:id="117" w:name="_Toc21065"/>
      <w:bookmarkStart w:id="118" w:name="_Toc523428790"/>
      <w:r>
        <w:rPr>
          <w:rFonts w:hint="eastAsia" w:ascii="黑体" w:hAnsi="黑体" w:eastAsia="黑体"/>
          <w:bCs/>
          <w:color w:val="000000"/>
          <w:sz w:val="32"/>
          <w:szCs w:val="32"/>
          <w:highlight w:val="none"/>
        </w:rPr>
        <w:t>第</w:t>
      </w:r>
      <w:r>
        <w:rPr>
          <w:rFonts w:hint="eastAsia" w:ascii="黑体" w:hAnsi="黑体" w:eastAsia="黑体"/>
          <w:bCs/>
          <w:color w:val="000000"/>
          <w:sz w:val="32"/>
          <w:szCs w:val="32"/>
          <w:highlight w:val="none"/>
          <w:lang w:eastAsia="zh-CN"/>
        </w:rPr>
        <w:t>九</w:t>
      </w:r>
      <w:r>
        <w:rPr>
          <w:rFonts w:hint="eastAsia" w:ascii="黑体" w:hAnsi="黑体" w:eastAsia="黑体"/>
          <w:bCs/>
          <w:color w:val="000000"/>
          <w:sz w:val="32"/>
          <w:szCs w:val="32"/>
          <w:highlight w:val="none"/>
        </w:rPr>
        <w:t>条</w:t>
      </w:r>
      <w:bookmarkEnd w:id="109"/>
      <w:bookmarkStart w:id="119" w:name="_Toc520234188"/>
      <w:r>
        <w:rPr>
          <w:rFonts w:hint="eastAsia" w:ascii="黑体" w:hAnsi="黑体" w:eastAsia="黑体"/>
          <w:bCs/>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安居型商品房由政府、人才住房专营机构、房地产企业</w:t>
      </w:r>
      <w:r>
        <w:rPr>
          <w:rFonts w:hint="eastAsia" w:ascii="仿宋_GB2312" w:hAnsi="仿宋_GB2312" w:eastAsia="仿宋_GB2312" w:cs="仿宋_GB2312"/>
          <w:color w:val="000000"/>
          <w:sz w:val="32"/>
          <w:szCs w:val="32"/>
          <w:highlight w:val="none"/>
          <w:lang w:eastAsia="zh-CN"/>
        </w:rPr>
        <w:t>和</w:t>
      </w:r>
      <w:r>
        <w:rPr>
          <w:rFonts w:hint="eastAsia" w:ascii="仿宋_GB2312" w:hAnsi="仿宋_GB2312" w:eastAsia="仿宋_GB2312" w:cs="仿宋_GB2312"/>
          <w:color w:val="000000"/>
          <w:sz w:val="32"/>
          <w:szCs w:val="32"/>
          <w:highlight w:val="none"/>
        </w:rPr>
        <w:t>其他单位</w:t>
      </w:r>
      <w:r>
        <w:rPr>
          <w:rFonts w:hint="eastAsia" w:ascii="仿宋_GB2312" w:hAnsi="仿宋_GB2312" w:eastAsia="仿宋_GB2312" w:cs="仿宋_GB2312"/>
          <w:color w:val="000000"/>
          <w:sz w:val="32"/>
          <w:szCs w:val="32"/>
          <w:highlight w:val="none"/>
          <w:lang w:eastAsia="zh-CN"/>
        </w:rPr>
        <w:t>投资，</w:t>
      </w:r>
      <w:r>
        <w:rPr>
          <w:rFonts w:hint="eastAsia" w:ascii="仿宋_GB2312" w:hAnsi="仿宋_GB2312" w:eastAsia="仿宋_GB2312" w:cs="仿宋_GB2312"/>
          <w:color w:val="000000"/>
          <w:sz w:val="32"/>
          <w:szCs w:val="32"/>
          <w:highlight w:val="none"/>
        </w:rPr>
        <w:t>通过以下方式建设筹集：</w:t>
      </w:r>
      <w:bookmarkEnd w:id="110"/>
      <w:bookmarkEnd w:id="111"/>
      <w:bookmarkEnd w:id="112"/>
      <w:bookmarkEnd w:id="113"/>
      <w:bookmarkEnd w:id="114"/>
      <w:bookmarkEnd w:id="115"/>
      <w:bookmarkEnd w:id="116"/>
      <w:bookmarkEnd w:id="117"/>
      <w:bookmarkEnd w:id="118"/>
      <w:bookmarkEnd w:id="119"/>
    </w:p>
    <w:p>
      <w:pPr>
        <w:spacing w:line="560" w:lineRule="exact"/>
        <w:ind w:firstLine="640" w:firstLineChars="200"/>
        <w:rPr>
          <w:rFonts w:ascii="仿宋_GB2312" w:hAnsi="仿宋_GB2312" w:eastAsia="仿宋_GB2312" w:cs="仿宋_GB2312"/>
          <w:color w:val="000000"/>
          <w:sz w:val="32"/>
          <w:szCs w:val="32"/>
          <w:highlight w:val="none"/>
        </w:rPr>
      </w:pPr>
      <w:bookmarkStart w:id="120" w:name="_Toc23761_WPSOffice_Level2"/>
      <w:bookmarkStart w:id="121" w:name="_Toc24679_WPSOffice_Level2"/>
      <w:bookmarkStart w:id="122" w:name="_Toc14423_WPSOffice_Level2"/>
      <w:bookmarkStart w:id="123" w:name="_Toc520234189"/>
      <w:r>
        <w:rPr>
          <w:rFonts w:hint="eastAsia" w:ascii="仿宋_GB2312" w:hAnsi="仿宋_GB2312" w:eastAsia="仿宋_GB2312" w:cs="仿宋_GB2312"/>
          <w:color w:val="000000"/>
          <w:sz w:val="32"/>
          <w:szCs w:val="32"/>
          <w:highlight w:val="none"/>
        </w:rPr>
        <w:t>（一）新供应用地建设；</w:t>
      </w:r>
      <w:bookmarkEnd w:id="120"/>
      <w:bookmarkEnd w:id="121"/>
      <w:bookmarkEnd w:id="122"/>
      <w:bookmarkEnd w:id="123"/>
    </w:p>
    <w:p>
      <w:pPr>
        <w:spacing w:line="560" w:lineRule="exact"/>
        <w:ind w:firstLine="640" w:firstLineChars="200"/>
        <w:rPr>
          <w:rFonts w:ascii="仿宋_GB2312" w:hAnsi="仿宋_GB2312" w:eastAsia="仿宋_GB2312" w:cs="仿宋_GB2312"/>
          <w:color w:val="000000"/>
          <w:sz w:val="32"/>
          <w:szCs w:val="32"/>
          <w:highlight w:val="none"/>
        </w:rPr>
      </w:pPr>
      <w:bookmarkStart w:id="124" w:name="_Toc520234190"/>
      <w:bookmarkStart w:id="125" w:name="_Toc13432_WPSOffice_Level2"/>
      <w:bookmarkStart w:id="126" w:name="_Toc27150_WPSOffice_Level2"/>
      <w:bookmarkStart w:id="127" w:name="_Toc19022_WPSOffice_Level2"/>
      <w:r>
        <w:rPr>
          <w:rFonts w:hint="eastAsia" w:ascii="仿宋_GB2312" w:hAnsi="仿宋_GB2312" w:eastAsia="仿宋_GB2312" w:cs="仿宋_GB2312"/>
          <w:color w:val="000000"/>
          <w:sz w:val="32"/>
          <w:szCs w:val="32"/>
          <w:highlight w:val="none"/>
        </w:rPr>
        <w:t>（二）</w:t>
      </w:r>
      <w:r>
        <w:rPr>
          <w:rFonts w:hint="eastAsia" w:ascii="仿宋_GB2312" w:hAnsi="仿宋_GB2312" w:eastAsia="仿宋_GB2312" w:cs="仿宋_GB2312"/>
          <w:color w:val="auto"/>
          <w:sz w:val="32"/>
          <w:szCs w:val="32"/>
          <w:highlight w:val="none"/>
        </w:rPr>
        <w:t>棚户区改造、</w:t>
      </w:r>
      <w:r>
        <w:rPr>
          <w:rFonts w:hint="eastAsia" w:ascii="仿宋_GB2312" w:hAnsi="仿宋_GB2312" w:eastAsia="仿宋_GB2312" w:cs="仿宋_GB2312"/>
          <w:color w:val="000000"/>
          <w:sz w:val="32"/>
          <w:szCs w:val="32"/>
          <w:highlight w:val="none"/>
        </w:rPr>
        <w:t>已批未建用地、未完善征（转）</w:t>
      </w:r>
      <w:r>
        <w:rPr>
          <w:rFonts w:hint="eastAsia" w:ascii="仿宋_GB2312" w:hAnsi="仿宋_GB2312" w:eastAsia="仿宋_GB2312" w:cs="仿宋_GB2312"/>
          <w:color w:val="000000"/>
          <w:sz w:val="32"/>
          <w:szCs w:val="32"/>
          <w:highlight w:val="none"/>
          <w:lang w:eastAsia="zh-CN"/>
        </w:rPr>
        <w:t>地</w:t>
      </w:r>
      <w:r>
        <w:rPr>
          <w:rFonts w:hint="eastAsia" w:ascii="仿宋_GB2312" w:hAnsi="仿宋_GB2312" w:eastAsia="仿宋_GB2312" w:cs="仿宋_GB2312"/>
          <w:color w:val="000000"/>
          <w:sz w:val="32"/>
          <w:szCs w:val="32"/>
          <w:highlight w:val="none"/>
          <w:lang w:val="en-US" w:eastAsia="zh-CN"/>
        </w:rPr>
        <w:t>补偿</w:t>
      </w:r>
      <w:r>
        <w:rPr>
          <w:rFonts w:hint="eastAsia" w:ascii="仿宋_GB2312" w:hAnsi="仿宋_GB2312" w:eastAsia="仿宋_GB2312" w:cs="仿宋_GB2312"/>
          <w:color w:val="000000"/>
          <w:sz w:val="32"/>
          <w:szCs w:val="32"/>
          <w:highlight w:val="none"/>
        </w:rPr>
        <w:t>手续用地、历史遗留未完善出让手续用地、社会存量用地、征地返还用地等建设；</w:t>
      </w:r>
      <w:bookmarkEnd w:id="124"/>
      <w:bookmarkEnd w:id="125"/>
      <w:bookmarkEnd w:id="126"/>
      <w:bookmarkEnd w:id="127"/>
    </w:p>
    <w:p>
      <w:pPr>
        <w:spacing w:line="560" w:lineRule="exact"/>
        <w:ind w:firstLine="640" w:firstLineChars="200"/>
        <w:rPr>
          <w:rFonts w:ascii="仿宋_GB2312" w:hAnsi="仿宋_GB2312" w:eastAsia="仿宋_GB2312" w:cs="仿宋_GB2312"/>
          <w:color w:val="000000"/>
          <w:sz w:val="32"/>
          <w:szCs w:val="32"/>
          <w:highlight w:val="none"/>
        </w:rPr>
      </w:pPr>
      <w:bookmarkStart w:id="128" w:name="_Toc31831_WPSOffice_Level2"/>
      <w:bookmarkStart w:id="129" w:name="_Toc31095_WPSOffice_Level2"/>
      <w:bookmarkStart w:id="130" w:name="_Toc16938_WPSOffice_Level2"/>
      <w:bookmarkStart w:id="131" w:name="_Toc520234191"/>
      <w:r>
        <w:rPr>
          <w:rFonts w:hint="eastAsia" w:ascii="仿宋_GB2312" w:hAnsi="仿宋_GB2312" w:eastAsia="仿宋_GB2312" w:cs="仿宋_GB2312"/>
          <w:color w:val="000000"/>
          <w:sz w:val="32"/>
          <w:szCs w:val="32"/>
          <w:highlight w:val="none"/>
        </w:rPr>
        <w:t>（三）招标、拍卖、挂牌用地配建，城市更新配建；</w:t>
      </w:r>
      <w:bookmarkEnd w:id="128"/>
      <w:bookmarkEnd w:id="129"/>
      <w:bookmarkEnd w:id="130"/>
      <w:bookmarkEnd w:id="131"/>
    </w:p>
    <w:p>
      <w:pPr>
        <w:spacing w:line="560" w:lineRule="exact"/>
        <w:ind w:firstLine="640" w:firstLineChars="200"/>
        <w:rPr>
          <w:rFonts w:ascii="仿宋_GB2312" w:hAnsi="仿宋_GB2312" w:eastAsia="仿宋_GB2312" w:cs="仿宋_GB2312"/>
          <w:strike/>
          <w:color w:val="000000"/>
          <w:sz w:val="32"/>
          <w:szCs w:val="32"/>
          <w:highlight w:val="none"/>
        </w:rPr>
      </w:pPr>
      <w:bookmarkStart w:id="132" w:name="_Toc12946_WPSOffice_Level2"/>
      <w:bookmarkStart w:id="133" w:name="_Toc9887_WPSOffice_Level2"/>
      <w:bookmarkStart w:id="134" w:name="_Toc29663_WPSOffice_Level2"/>
      <w:bookmarkStart w:id="135" w:name="_Toc520234192"/>
      <w:r>
        <w:rPr>
          <w:rFonts w:hint="eastAsia" w:ascii="仿宋_GB2312" w:hAnsi="仿宋_GB2312" w:eastAsia="仿宋_GB2312" w:cs="仿宋_GB2312"/>
          <w:color w:val="000000"/>
          <w:sz w:val="32"/>
          <w:szCs w:val="32"/>
          <w:highlight w:val="none"/>
        </w:rPr>
        <w:t>（四）</w:t>
      </w:r>
      <w:bookmarkEnd w:id="132"/>
      <w:bookmarkEnd w:id="133"/>
      <w:bookmarkEnd w:id="134"/>
      <w:bookmarkEnd w:id="135"/>
      <w:r>
        <w:rPr>
          <w:rFonts w:hint="eastAsia" w:ascii="仿宋_GB2312" w:hAnsi="仿宋_GB2312" w:eastAsia="仿宋_GB2312" w:cs="仿宋_GB2312"/>
          <w:color w:val="auto"/>
          <w:sz w:val="32"/>
          <w:szCs w:val="32"/>
          <w:highlight w:val="none"/>
        </w:rPr>
        <w:t>轨道车辆段和停车场等城市基础设施和公共配套设施综合开发建设；</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（五）临深片区城际合作建设。</w:t>
      </w:r>
    </w:p>
    <w:p>
      <w:pPr>
        <w:spacing w:line="560" w:lineRule="exact"/>
        <w:ind w:firstLine="640" w:firstLineChars="200"/>
        <w:outlineLvl w:val="2"/>
        <w:rPr>
          <w:rFonts w:ascii="仿宋" w:hAnsi="仿宋" w:eastAsia="仿宋" w:cs="仿宋"/>
          <w:bCs/>
          <w:color w:val="000000"/>
          <w:sz w:val="32"/>
          <w:szCs w:val="32"/>
          <w:highlight w:val="none"/>
        </w:rPr>
      </w:pPr>
      <w:r>
        <w:rPr>
          <w:rStyle w:val="17"/>
          <w:rFonts w:hint="eastAsia"/>
          <w:color w:val="000000"/>
          <w:highlight w:val="none"/>
        </w:rPr>
        <w:t>第十条</w:t>
      </w:r>
      <w:r>
        <w:rPr>
          <w:rStyle w:val="17"/>
          <w:rFonts w:hint="eastAsia" w:eastAsia="黑体"/>
          <w:color w:val="000000"/>
          <w:highlight w:val="none"/>
          <w:lang w:val="en-US" w:eastAsia="zh-CN"/>
        </w:rPr>
        <w:t xml:space="preserve"> </w:t>
      </w:r>
      <w:r>
        <w:rPr>
          <w:rFonts w:ascii="仿宋" w:hAnsi="仿宋" w:eastAsia="仿宋" w:cs="仿宋"/>
          <w:bCs/>
          <w:color w:val="auto"/>
          <w:sz w:val="32"/>
          <w:szCs w:val="32"/>
          <w:highlight w:val="none"/>
        </w:rPr>
        <w:t>产权归政府</w:t>
      </w:r>
      <w:r>
        <w:rPr>
          <w:rFonts w:hint="eastAsia" w:ascii="仿宋" w:hAnsi="仿宋" w:eastAsia="仿宋" w:cs="仿宋"/>
          <w:bCs/>
          <w:color w:val="000000"/>
          <w:sz w:val="32"/>
          <w:szCs w:val="32"/>
          <w:highlight w:val="none"/>
        </w:rPr>
        <w:t>，出租的安居型商品房用地</w:t>
      </w:r>
      <w:r>
        <w:rPr>
          <w:rFonts w:hint="eastAsia" w:ascii="仿宋" w:hAnsi="仿宋" w:eastAsia="仿宋" w:cs="仿宋"/>
          <w:bCs/>
          <w:color w:val="000000"/>
          <w:sz w:val="32"/>
          <w:szCs w:val="32"/>
          <w:highlight w:val="none"/>
          <w:lang w:eastAsia="zh-CN"/>
        </w:rPr>
        <w:t>可以</w:t>
      </w:r>
      <w:r>
        <w:rPr>
          <w:rFonts w:hint="eastAsia" w:ascii="仿宋" w:hAnsi="仿宋" w:eastAsia="仿宋" w:cs="仿宋"/>
          <w:bCs/>
          <w:color w:val="000000"/>
          <w:sz w:val="32"/>
          <w:szCs w:val="32"/>
          <w:highlight w:val="none"/>
        </w:rPr>
        <w:t>以划拨方式供应，出售的安居型商品房用地以协议方式供应；产权归经市</w:t>
      </w:r>
      <w:r>
        <w:rPr>
          <w:rFonts w:hint="eastAsia" w:ascii="仿宋" w:hAnsi="仿宋" w:eastAsia="仿宋" w:cs="仿宋"/>
          <w:bCs/>
          <w:color w:val="000000"/>
          <w:sz w:val="32"/>
          <w:szCs w:val="32"/>
          <w:highlight w:val="none"/>
          <w:lang w:eastAsia="zh-CN"/>
        </w:rPr>
        <w:t>人民</w:t>
      </w:r>
      <w:r>
        <w:rPr>
          <w:rFonts w:hint="eastAsia" w:ascii="仿宋" w:hAnsi="仿宋" w:eastAsia="仿宋" w:cs="仿宋"/>
          <w:bCs/>
          <w:color w:val="000000"/>
          <w:sz w:val="32"/>
          <w:szCs w:val="32"/>
          <w:highlight w:val="none"/>
        </w:rPr>
        <w:t>政府确定的投资主体，出租的安居型商品房用地可以以协议方式供应。</w:t>
      </w:r>
    </w:p>
    <w:p>
      <w:pPr>
        <w:spacing w:line="560" w:lineRule="exact"/>
        <w:ind w:firstLine="640" w:firstLineChars="200"/>
        <w:outlineLvl w:val="2"/>
        <w:rPr>
          <w:rFonts w:ascii="仿宋_GB2312" w:hAnsi="仿宋_GB2312" w:eastAsia="仿宋_GB2312" w:cs="仿宋_GB2312"/>
          <w:color w:val="000000"/>
          <w:sz w:val="32"/>
          <w:szCs w:val="32"/>
          <w:highlight w:val="none"/>
        </w:rPr>
      </w:pPr>
      <w:r>
        <w:rPr>
          <w:rFonts w:hint="eastAsia" w:ascii="仿宋" w:hAnsi="仿宋" w:eastAsia="仿宋" w:cs="仿宋"/>
          <w:bCs/>
          <w:color w:val="000000"/>
          <w:sz w:val="32"/>
          <w:szCs w:val="32"/>
          <w:highlight w:val="none"/>
        </w:rPr>
        <w:t>用于建设出售的安居型商品房的新供应用地，可以通过</w:t>
      </w:r>
      <w:r>
        <w:rPr>
          <w:rFonts w:hint="eastAsia" w:ascii="仿宋_GB2312" w:hAnsi="仿宋_GB2312" w:eastAsia="仿宋_GB2312" w:cs="仿宋_GB2312"/>
          <w:color w:val="000000"/>
          <w:sz w:val="32"/>
          <w:szCs w:val="32"/>
          <w:highlight w:val="none"/>
        </w:rPr>
        <w:t>招标、拍卖和挂牌方式供应。</w:t>
      </w:r>
    </w:p>
    <w:p>
      <w:pPr>
        <w:spacing w:line="560" w:lineRule="exact"/>
        <w:ind w:firstLine="640" w:firstLineChars="200"/>
        <w:outlineLvl w:val="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企业利用符合条件的存量用地建设安居型商品房的，可以通过协议方式完善用地手续。</w:t>
      </w:r>
    </w:p>
    <w:p>
      <w:pPr>
        <w:spacing w:line="560" w:lineRule="exact"/>
        <w:ind w:firstLine="640" w:firstLineChars="200"/>
        <w:outlineLvl w:val="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利用符合条件的未完善征（转）</w:t>
      </w:r>
      <w:r>
        <w:rPr>
          <w:rFonts w:hint="eastAsia" w:ascii="仿宋_GB2312" w:hAnsi="仿宋_GB2312" w:eastAsia="仿宋_GB2312" w:cs="仿宋_GB2312"/>
          <w:color w:val="000000"/>
          <w:sz w:val="32"/>
          <w:szCs w:val="32"/>
          <w:highlight w:val="none"/>
          <w:lang w:eastAsia="zh-CN"/>
        </w:rPr>
        <w:t>地</w:t>
      </w:r>
      <w:r>
        <w:rPr>
          <w:rFonts w:hint="eastAsia" w:ascii="仿宋_GB2312" w:hAnsi="仿宋_GB2312" w:eastAsia="仿宋_GB2312" w:cs="仿宋_GB2312"/>
          <w:color w:val="000000"/>
          <w:sz w:val="32"/>
          <w:szCs w:val="32"/>
          <w:highlight w:val="none"/>
          <w:lang w:val="en-US" w:eastAsia="zh-CN"/>
        </w:rPr>
        <w:t>补偿</w:t>
      </w:r>
      <w:r>
        <w:rPr>
          <w:rFonts w:hint="eastAsia" w:ascii="仿宋_GB2312" w:hAnsi="仿宋_GB2312" w:eastAsia="仿宋_GB2312" w:cs="仿宋_GB2312"/>
          <w:color w:val="000000"/>
          <w:sz w:val="32"/>
          <w:szCs w:val="32"/>
          <w:highlight w:val="none"/>
        </w:rPr>
        <w:t>手续用地建设安居型商品房的，可以通过协议方式出让给原农村集体经济组织继受单位</w:t>
      </w:r>
      <w:r>
        <w:rPr>
          <w:rFonts w:hint="eastAsia" w:ascii="仿宋_GB2312" w:hAnsi="仿宋_GB2312" w:eastAsia="仿宋_GB2312" w:cs="仿宋_GB2312"/>
          <w:color w:val="000000"/>
          <w:sz w:val="32"/>
          <w:szCs w:val="32"/>
          <w:highlight w:val="none"/>
          <w:u w:val="none" w:color="auto"/>
          <w:lang w:val="en-US" w:eastAsia="zh-CN"/>
        </w:rPr>
        <w:t>（含其全资子公司</w:t>
      </w:r>
      <w:r>
        <w:rPr>
          <w:rFonts w:hint="eastAsia" w:ascii="仿宋_GB2312" w:hAnsi="仿宋_GB2312" w:eastAsia="仿宋_GB2312" w:cs="仿宋_GB2312"/>
          <w:color w:val="000000"/>
          <w:sz w:val="32"/>
          <w:szCs w:val="32"/>
          <w:highlight w:val="none"/>
          <w:u w:val="none"/>
          <w:lang w:val="en-US" w:eastAsia="zh-CN"/>
        </w:rPr>
        <w:t>，下同</w:t>
      </w:r>
      <w:r>
        <w:rPr>
          <w:rFonts w:hint="eastAsia" w:ascii="仿宋_GB2312" w:hAnsi="仿宋_GB2312" w:eastAsia="仿宋_GB2312" w:cs="仿宋_GB2312"/>
          <w:color w:val="000000"/>
          <w:sz w:val="32"/>
          <w:szCs w:val="32"/>
          <w:highlight w:val="none"/>
          <w:u w:val="none" w:color="auto"/>
          <w:lang w:val="en-US" w:eastAsia="zh-CN"/>
        </w:rPr>
        <w:t>）</w:t>
      </w:r>
      <w:r>
        <w:rPr>
          <w:rFonts w:hint="eastAsia" w:ascii="仿宋_GB2312" w:hAnsi="仿宋_GB2312" w:eastAsia="仿宋_GB2312" w:cs="仿宋_GB2312"/>
          <w:color w:val="000000"/>
          <w:sz w:val="32"/>
          <w:szCs w:val="32"/>
          <w:highlight w:val="none"/>
        </w:rPr>
        <w:t>。利用符合条件的历史遗留未完善出让手续用地建设安居型商品房的，可以通过协议方式出让给原用地主体或者原征地补偿实施主体。</w:t>
      </w:r>
    </w:p>
    <w:p>
      <w:pPr>
        <w:spacing w:line="560" w:lineRule="exact"/>
        <w:ind w:firstLine="640" w:firstLineChars="200"/>
        <w:outlineLvl w:val="2"/>
        <w:rPr>
          <w:rFonts w:ascii="仿宋_GB2312" w:hAnsi="仿宋_GB2312" w:eastAsia="仿宋_GB2312" w:cs="仿宋_GB2312"/>
          <w:color w:val="000000"/>
          <w:sz w:val="32"/>
          <w:szCs w:val="32"/>
          <w:highlight w:val="none"/>
        </w:rPr>
      </w:pPr>
      <w:r>
        <w:rPr>
          <w:rFonts w:hint="eastAsia" w:ascii="黑体" w:hAnsi="黑体" w:eastAsia="黑体"/>
          <w:bCs/>
          <w:color w:val="000000"/>
          <w:sz w:val="32"/>
          <w:szCs w:val="32"/>
          <w:highlight w:val="none"/>
        </w:rPr>
        <w:t>第十</w:t>
      </w:r>
      <w:r>
        <w:rPr>
          <w:rFonts w:hint="eastAsia" w:ascii="黑体" w:hAnsi="黑体" w:eastAsia="黑体"/>
          <w:bCs/>
          <w:color w:val="000000"/>
          <w:sz w:val="32"/>
          <w:szCs w:val="32"/>
          <w:highlight w:val="none"/>
          <w:lang w:eastAsia="zh-CN"/>
        </w:rPr>
        <w:t>一</w:t>
      </w:r>
      <w:r>
        <w:rPr>
          <w:rFonts w:hint="eastAsia" w:ascii="黑体" w:hAnsi="黑体" w:eastAsia="黑体"/>
          <w:bCs/>
          <w:color w:val="000000"/>
          <w:sz w:val="32"/>
          <w:szCs w:val="32"/>
          <w:highlight w:val="none"/>
        </w:rPr>
        <w:t>条</w:t>
      </w:r>
      <w:r>
        <w:rPr>
          <w:rFonts w:hint="eastAsia" w:ascii="黑体" w:hAnsi="黑体" w:eastAsia="黑体"/>
          <w:bCs/>
          <w:color w:val="000000"/>
          <w:sz w:val="32"/>
          <w:szCs w:val="32"/>
          <w:highlight w:val="none"/>
          <w:lang w:val="en-US" w:eastAsia="zh-CN"/>
        </w:rPr>
        <w:t xml:space="preserve"> </w:t>
      </w:r>
      <w:r>
        <w:rPr>
          <w:rFonts w:hint="eastAsia" w:ascii="仿宋" w:hAnsi="仿宋" w:eastAsia="仿宋" w:cs="仿宋"/>
          <w:bCs/>
          <w:color w:val="000000"/>
          <w:sz w:val="32"/>
          <w:szCs w:val="32"/>
          <w:highlight w:val="none"/>
        </w:rPr>
        <w:t>通过</w:t>
      </w:r>
      <w:r>
        <w:rPr>
          <w:rFonts w:hint="eastAsia" w:ascii="仿宋_GB2312" w:hAnsi="仿宋_GB2312" w:eastAsia="仿宋_GB2312" w:cs="仿宋_GB2312"/>
          <w:color w:val="000000"/>
          <w:sz w:val="32"/>
          <w:szCs w:val="32"/>
          <w:highlight w:val="none"/>
        </w:rPr>
        <w:t>招标、拍卖和挂牌出让土地的方式建设或者配建</w:t>
      </w:r>
      <w:r>
        <w:rPr>
          <w:rFonts w:hint="eastAsia" w:ascii="仿宋" w:hAnsi="仿宋" w:eastAsia="仿宋" w:cs="仿宋"/>
          <w:bCs/>
          <w:color w:val="000000"/>
          <w:sz w:val="32"/>
          <w:szCs w:val="32"/>
          <w:highlight w:val="none"/>
        </w:rPr>
        <w:t>安居型商品房的</w:t>
      </w:r>
      <w:r>
        <w:rPr>
          <w:rFonts w:hint="eastAsia" w:ascii="仿宋_GB2312" w:hAnsi="仿宋_GB2312" w:eastAsia="仿宋_GB2312" w:cs="仿宋_GB2312"/>
          <w:color w:val="000000"/>
          <w:sz w:val="32"/>
          <w:szCs w:val="32"/>
          <w:highlight w:val="none"/>
        </w:rPr>
        <w:t>，规划</w:t>
      </w:r>
      <w:r>
        <w:rPr>
          <w:rFonts w:hint="eastAsia" w:ascii="仿宋_GB2312" w:hAnsi="仿宋_GB2312" w:eastAsia="仿宋_GB2312" w:cs="仿宋_GB2312"/>
          <w:color w:val="000000"/>
          <w:sz w:val="32"/>
          <w:szCs w:val="32"/>
          <w:highlight w:val="none"/>
          <w:lang w:eastAsia="zh-CN"/>
        </w:rPr>
        <w:t>和自然资源</w:t>
      </w:r>
      <w:r>
        <w:rPr>
          <w:rFonts w:hint="eastAsia" w:ascii="仿宋_GB2312" w:hAnsi="仿宋_GB2312" w:eastAsia="仿宋_GB2312" w:cs="仿宋_GB2312"/>
          <w:color w:val="000000"/>
          <w:sz w:val="32"/>
          <w:szCs w:val="32"/>
          <w:highlight w:val="none"/>
        </w:rPr>
        <w:t>部门会同主管部门合理设置竞买人（竞标人）资格要求。</w:t>
      </w:r>
    </w:p>
    <w:p>
      <w:pPr>
        <w:spacing w:line="560" w:lineRule="exact"/>
        <w:ind w:firstLine="640" w:firstLineChars="200"/>
        <w:outlineLvl w:val="2"/>
        <w:rPr>
          <w:rFonts w:ascii="仿宋_GB2312" w:hAnsi="仿宋_GB2312" w:eastAsia="仿宋_GB2312" w:cs="仿宋_GB2312"/>
          <w:color w:val="000000"/>
          <w:sz w:val="32"/>
          <w:szCs w:val="32"/>
          <w:highlight w:val="none"/>
        </w:rPr>
      </w:pPr>
      <w:bookmarkStart w:id="136" w:name="_Toc22208"/>
      <w:bookmarkStart w:id="137" w:name="_Toc18339"/>
      <w:bookmarkStart w:id="138" w:name="_Toc523428792"/>
      <w:bookmarkStart w:id="139" w:name="_Toc21086"/>
      <w:bookmarkStart w:id="140" w:name="_Toc28568"/>
      <w:bookmarkStart w:id="141" w:name="_Toc29749"/>
      <w:bookmarkStart w:id="142" w:name="_Toc15574"/>
      <w:bookmarkStart w:id="143" w:name="_Toc520234203"/>
      <w:bookmarkStart w:id="144" w:name="_Toc4716"/>
      <w:bookmarkStart w:id="145" w:name="_Toc23280"/>
      <w:r>
        <w:rPr>
          <w:rStyle w:val="17"/>
          <w:rFonts w:hint="eastAsia"/>
          <w:color w:val="auto"/>
          <w:highlight w:val="none"/>
        </w:rPr>
        <w:t>第十</w:t>
      </w:r>
      <w:r>
        <w:rPr>
          <w:rStyle w:val="17"/>
          <w:rFonts w:hint="eastAsia" w:eastAsia="黑体"/>
          <w:color w:val="auto"/>
          <w:highlight w:val="none"/>
          <w:lang w:eastAsia="zh-CN"/>
        </w:rPr>
        <w:t>二</w:t>
      </w:r>
      <w:r>
        <w:rPr>
          <w:rStyle w:val="17"/>
          <w:rFonts w:hint="eastAsia"/>
          <w:color w:val="auto"/>
          <w:highlight w:val="none"/>
        </w:rPr>
        <w:t>条</w:t>
      </w:r>
      <w:r>
        <w:rPr>
          <w:rStyle w:val="17"/>
          <w:rFonts w:hint="eastAsia" w:eastAsia="黑体"/>
          <w:color w:val="auto"/>
          <w:highlight w:val="none"/>
          <w:lang w:val="en-US" w:eastAsia="zh-CN"/>
        </w:rPr>
        <w:t xml:space="preserve"> </w:t>
      </w:r>
      <w:r>
        <w:rPr>
          <w:rFonts w:hint="eastAsia" w:ascii="仿宋_GB2312" w:hAnsi="仿宋_GB2312" w:eastAsia="仿宋_GB2312" w:cs="仿宋_GB2312"/>
          <w:color w:val="000000"/>
          <w:sz w:val="32"/>
          <w:szCs w:val="32"/>
          <w:highlight w:val="none"/>
          <w:u w:val="none" w:color="auto"/>
          <w:lang w:val="en-US" w:eastAsia="zh-CN"/>
        </w:rPr>
        <w:t>工业、物流仓储、商业服务业等已批未建的经营性用地</w:t>
      </w:r>
      <w:r>
        <w:rPr>
          <w:rFonts w:hint="eastAsia" w:ascii="仿宋_GB2312" w:hAnsi="仿宋_GB2312" w:eastAsia="仿宋_GB2312" w:cs="仿宋_GB2312"/>
          <w:color w:val="000000"/>
          <w:sz w:val="32"/>
          <w:szCs w:val="32"/>
          <w:highlight w:val="none"/>
        </w:rPr>
        <w:t>在符合城市规划的前提下，可以建设安居型商品房。</w:t>
      </w:r>
    </w:p>
    <w:p>
      <w:pPr>
        <w:autoSpaceDE w:val="0"/>
        <w:autoSpaceDN w:val="0"/>
        <w:adjustRightInd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 w:hAnsi="仿宋" w:eastAsia="仿宋" w:cs="仿宋"/>
          <w:bCs/>
          <w:color w:val="000000"/>
          <w:sz w:val="32"/>
          <w:szCs w:val="32"/>
          <w:highlight w:val="none"/>
        </w:rPr>
        <w:t>工业区块线一级线内规划工业用地应当予以严格保护。</w:t>
      </w:r>
      <w:r>
        <w:rPr>
          <w:rFonts w:hint="eastAsia" w:ascii="仿宋_GB2312" w:hAnsi="仿宋_GB2312" w:eastAsia="仿宋_GB2312" w:cs="仿宋_GB2312"/>
          <w:color w:val="000000"/>
          <w:sz w:val="32"/>
          <w:szCs w:val="32"/>
          <w:highlight w:val="none"/>
        </w:rPr>
        <w:t>在公共配套条件支撑的前提下，位于</w:t>
      </w:r>
      <w:r>
        <w:rPr>
          <w:rStyle w:val="15"/>
          <w:rFonts w:hint="eastAsia" w:ascii="仿宋_GB2312" w:eastAsia="仿宋_GB2312"/>
          <w:color w:val="000000"/>
          <w:highlight w:val="none"/>
        </w:rPr>
        <w:t>已建、在建</w:t>
      </w:r>
      <w:r>
        <w:rPr>
          <w:rFonts w:hint="eastAsia" w:ascii="仿宋_GB2312" w:hAnsi="仿宋_GB2312" w:eastAsia="仿宋_GB2312" w:cs="仿宋_GB2312"/>
          <w:color w:val="000000"/>
          <w:sz w:val="32"/>
          <w:szCs w:val="32"/>
          <w:highlight w:val="none"/>
        </w:rPr>
        <w:t>或者近期规划建设的轨道站点出入口5</w:t>
      </w:r>
      <w:r>
        <w:rPr>
          <w:rFonts w:ascii="仿宋_GB2312" w:hAnsi="仿宋_GB2312" w:eastAsia="仿宋_GB2312" w:cs="仿宋_GB2312"/>
          <w:color w:val="000000"/>
          <w:sz w:val="32"/>
          <w:szCs w:val="32"/>
          <w:highlight w:val="none"/>
        </w:rPr>
        <w:t>00</w:t>
      </w:r>
      <w:r>
        <w:rPr>
          <w:rFonts w:hint="eastAsia" w:ascii="仿宋_GB2312" w:hAnsi="仿宋_GB2312" w:eastAsia="仿宋_GB2312" w:cs="仿宋_GB2312"/>
          <w:color w:val="000000"/>
          <w:sz w:val="32"/>
          <w:szCs w:val="32"/>
          <w:highlight w:val="none"/>
        </w:rPr>
        <w:t>米范围内的已批未建工业用地，可以建设安居型商品房，但用地面积原则上不得超过该区块总面积的</w:t>
      </w:r>
      <w:r>
        <w:rPr>
          <w:rFonts w:ascii="仿宋_GB2312" w:hAnsi="仿宋_GB2312" w:eastAsia="仿宋_GB2312" w:cs="仿宋_GB2312"/>
          <w:color w:val="000000"/>
          <w:sz w:val="32"/>
          <w:szCs w:val="32"/>
          <w:highlight w:val="none"/>
        </w:rPr>
        <w:t>10%</w:t>
      </w:r>
      <w:r>
        <w:rPr>
          <w:rFonts w:hint="eastAsia" w:ascii="仿宋_GB2312" w:hAnsi="仿宋_GB2312" w:eastAsia="仿宋_GB2312" w:cs="仿宋_GB2312"/>
          <w:color w:val="000000"/>
          <w:sz w:val="32"/>
          <w:szCs w:val="32"/>
          <w:highlight w:val="none"/>
        </w:rPr>
        <w:t>。</w:t>
      </w:r>
    </w:p>
    <w:p>
      <w:pPr>
        <w:spacing w:line="560" w:lineRule="exact"/>
        <w:ind w:firstLine="640" w:firstLineChars="200"/>
        <w:outlineLvl w:val="2"/>
        <w:rPr>
          <w:rFonts w:ascii="仿宋_GB2312" w:hAnsi="仿宋_GB2312" w:eastAsia="仿宋_GB2312" w:cs="仿宋_GB2312"/>
          <w:color w:val="000000"/>
          <w:sz w:val="32"/>
          <w:szCs w:val="32"/>
          <w:highlight w:val="none"/>
        </w:rPr>
      </w:pPr>
      <w:r>
        <w:rPr>
          <w:rStyle w:val="17"/>
          <w:rFonts w:hint="eastAsia"/>
          <w:color w:val="auto"/>
          <w:highlight w:val="none"/>
        </w:rPr>
        <w:t>第十</w:t>
      </w:r>
      <w:r>
        <w:rPr>
          <w:rStyle w:val="17"/>
          <w:rFonts w:hint="eastAsia" w:eastAsia="黑体"/>
          <w:color w:val="auto"/>
          <w:highlight w:val="none"/>
          <w:lang w:eastAsia="zh-CN"/>
        </w:rPr>
        <w:t>三</w:t>
      </w:r>
      <w:r>
        <w:rPr>
          <w:rStyle w:val="17"/>
          <w:rFonts w:hint="eastAsia"/>
          <w:color w:val="auto"/>
          <w:highlight w:val="none"/>
        </w:rPr>
        <w:t>条</w:t>
      </w:r>
      <w:r>
        <w:rPr>
          <w:rStyle w:val="17"/>
          <w:rFonts w:hint="eastAsia" w:eastAsia="黑体"/>
          <w:color w:val="auto"/>
          <w:highlight w:val="none"/>
          <w:lang w:val="en-US" w:eastAsia="zh-CN"/>
        </w:rPr>
        <w:t xml:space="preserve"> </w:t>
      </w:r>
      <w:r>
        <w:rPr>
          <w:rFonts w:hint="eastAsia" w:ascii="仿宋_GB2312" w:hAnsi="仿宋_GB2312" w:eastAsia="仿宋_GB2312" w:cs="仿宋_GB2312"/>
          <w:color w:val="000000"/>
          <w:sz w:val="32"/>
          <w:szCs w:val="32"/>
          <w:highlight w:val="none"/>
        </w:rPr>
        <w:t>工业区块线一级线内，规划为工业且</w:t>
      </w:r>
      <w:r>
        <w:rPr>
          <w:rStyle w:val="15"/>
          <w:rFonts w:hint="eastAsia" w:ascii="仿宋_GB2312" w:eastAsia="仿宋_GB2312"/>
          <w:color w:val="000000"/>
          <w:highlight w:val="none"/>
        </w:rPr>
        <w:t>位于已建、在建</w:t>
      </w:r>
      <w:r>
        <w:rPr>
          <w:rFonts w:hint="eastAsia" w:ascii="仿宋_GB2312" w:hAnsi="仿宋_GB2312" w:eastAsia="仿宋_GB2312" w:cs="仿宋_GB2312"/>
          <w:color w:val="000000"/>
          <w:sz w:val="32"/>
          <w:szCs w:val="32"/>
          <w:highlight w:val="none"/>
        </w:rPr>
        <w:t>或者近期规划建设的</w:t>
      </w:r>
      <w:r>
        <w:rPr>
          <w:rStyle w:val="15"/>
          <w:rFonts w:hint="eastAsia" w:ascii="仿宋_GB2312" w:eastAsia="仿宋_GB2312"/>
          <w:color w:val="000000"/>
          <w:highlight w:val="none"/>
        </w:rPr>
        <w:t>轨道站点出入口500米范围内的旧工业区，在公共配套条件支撑的前提下，</w:t>
      </w:r>
      <w:r>
        <w:rPr>
          <w:rFonts w:hint="eastAsia" w:ascii="仿宋_GB2312" w:hAnsi="仿宋_GB2312" w:eastAsia="仿宋_GB2312" w:cs="仿宋_GB2312"/>
          <w:color w:val="000000"/>
          <w:sz w:val="32"/>
          <w:szCs w:val="32"/>
          <w:highlight w:val="none"/>
        </w:rPr>
        <w:t>可以按照规定通过城市更新建设安居型商品房，但用地面积原则上不得超过该区块总面积的</w:t>
      </w:r>
      <w:r>
        <w:rPr>
          <w:rFonts w:ascii="仿宋_GB2312" w:hAnsi="仿宋_GB2312" w:eastAsia="仿宋_GB2312" w:cs="仿宋_GB2312"/>
          <w:color w:val="000000"/>
          <w:sz w:val="32"/>
          <w:szCs w:val="32"/>
          <w:highlight w:val="none"/>
        </w:rPr>
        <w:t>10%</w:t>
      </w:r>
      <w:r>
        <w:rPr>
          <w:rFonts w:hint="eastAsia" w:ascii="仿宋_GB2312" w:hAnsi="仿宋_GB2312" w:eastAsia="仿宋_GB2312" w:cs="仿宋_GB2312"/>
          <w:color w:val="000000"/>
          <w:sz w:val="32"/>
          <w:szCs w:val="32"/>
          <w:highlight w:val="none"/>
        </w:rPr>
        <w:t>。</w:t>
      </w:r>
    </w:p>
    <w:p>
      <w:pPr>
        <w:spacing w:line="560" w:lineRule="exact"/>
        <w:ind w:firstLine="640" w:firstLineChars="200"/>
        <w:outlineLvl w:val="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工业区块线一级线外，规划为工业</w:t>
      </w:r>
      <w:r>
        <w:rPr>
          <w:rStyle w:val="15"/>
          <w:rFonts w:hint="eastAsia" w:ascii="仿宋_GB2312" w:eastAsia="仿宋_GB2312"/>
          <w:color w:val="000000"/>
          <w:highlight w:val="none"/>
        </w:rPr>
        <w:t>的旧工业区，在公共配套条件支撑的前提下，可以</w:t>
      </w:r>
      <w:r>
        <w:rPr>
          <w:rFonts w:hint="eastAsia" w:ascii="仿宋_GB2312" w:hAnsi="仿宋_GB2312" w:eastAsia="仿宋_GB2312" w:cs="仿宋_GB2312"/>
          <w:color w:val="000000"/>
          <w:sz w:val="32"/>
          <w:szCs w:val="32"/>
          <w:highlight w:val="none"/>
        </w:rPr>
        <w:t>申请按照简易程序调整法定图则用地功能建设安居型商品房。</w:t>
      </w:r>
    </w:p>
    <w:p>
      <w:pPr>
        <w:spacing w:line="560" w:lineRule="exact"/>
        <w:ind w:firstLine="640" w:firstLineChars="200"/>
        <w:outlineLvl w:val="2"/>
        <w:rPr>
          <w:rFonts w:ascii="仿宋_GB2312" w:hAnsi="宋体" w:eastAsia="仿宋_GB2312"/>
          <w:color w:val="000000"/>
          <w:sz w:val="32"/>
          <w:szCs w:val="32"/>
          <w:highlight w:val="none"/>
        </w:rPr>
      </w:pPr>
      <w:r>
        <w:rPr>
          <w:rStyle w:val="20"/>
          <w:rFonts w:hint="eastAsia"/>
          <w:color w:val="000000"/>
          <w:highlight w:val="none"/>
        </w:rPr>
        <w:t>第十</w:t>
      </w:r>
      <w:r>
        <w:rPr>
          <w:rStyle w:val="20"/>
          <w:rFonts w:hint="eastAsia" w:eastAsia="黑体"/>
          <w:color w:val="000000"/>
          <w:highlight w:val="none"/>
          <w:lang w:eastAsia="zh-CN"/>
        </w:rPr>
        <w:t>四</w:t>
      </w:r>
      <w:r>
        <w:rPr>
          <w:rStyle w:val="20"/>
          <w:rFonts w:hint="eastAsia"/>
          <w:color w:val="000000"/>
          <w:highlight w:val="none"/>
        </w:rPr>
        <w:t>条</w:t>
      </w:r>
      <w:r>
        <w:rPr>
          <w:rStyle w:val="20"/>
          <w:rFonts w:hint="eastAsia" w:eastAsia="黑体"/>
          <w:color w:val="000000"/>
          <w:highlight w:val="none"/>
          <w:lang w:val="en-US" w:eastAsia="zh-CN"/>
        </w:rPr>
        <w:t xml:space="preserve"> </w:t>
      </w:r>
      <w:r>
        <w:rPr>
          <w:rFonts w:hint="eastAsia" w:ascii="仿宋_GB2312" w:hAnsi="宋体" w:eastAsia="仿宋_GB2312"/>
          <w:color w:val="000000"/>
          <w:sz w:val="32"/>
          <w:szCs w:val="32"/>
          <w:highlight w:val="none"/>
        </w:rPr>
        <w:t>在符合城市规划的前提下，国有企业可以利用符合条件的自有存量用地与人才住房专营机构合作建设安居型商品房。</w:t>
      </w:r>
      <w:bookmarkStart w:id="404" w:name="_GoBack"/>
      <w:bookmarkEnd w:id="404"/>
    </w:p>
    <w:bookmarkEnd w:id="136"/>
    <w:bookmarkEnd w:id="137"/>
    <w:bookmarkEnd w:id="138"/>
    <w:bookmarkEnd w:id="139"/>
    <w:bookmarkEnd w:id="140"/>
    <w:bookmarkEnd w:id="141"/>
    <w:bookmarkEnd w:id="142"/>
    <w:bookmarkEnd w:id="143"/>
    <w:bookmarkEnd w:id="144"/>
    <w:bookmarkEnd w:id="145"/>
    <w:p>
      <w:pPr>
        <w:adjustRightInd w:val="0"/>
        <w:spacing w:line="560" w:lineRule="exact"/>
        <w:ind w:firstLine="640" w:firstLineChars="200"/>
        <w:outlineLvl w:val="2"/>
        <w:rPr>
          <w:rFonts w:ascii="仿宋_GB2312" w:hAnsi="仿宋_GB2312" w:eastAsia="仿宋_GB2312" w:cs="仿宋_GB2312"/>
          <w:color w:val="auto"/>
          <w:kern w:val="0"/>
          <w:sz w:val="32"/>
          <w:szCs w:val="32"/>
          <w:highlight w:val="none"/>
        </w:rPr>
      </w:pPr>
      <w:r>
        <w:rPr>
          <w:rStyle w:val="17"/>
          <w:rFonts w:hint="eastAsia"/>
          <w:color w:val="auto"/>
          <w:szCs w:val="32"/>
          <w:highlight w:val="none"/>
        </w:rPr>
        <w:t>第十</w:t>
      </w:r>
      <w:r>
        <w:rPr>
          <w:rStyle w:val="17"/>
          <w:rFonts w:hint="eastAsia" w:eastAsia="黑体"/>
          <w:color w:val="auto"/>
          <w:szCs w:val="32"/>
          <w:highlight w:val="none"/>
          <w:lang w:eastAsia="zh-CN"/>
        </w:rPr>
        <w:t>五</w:t>
      </w:r>
      <w:r>
        <w:rPr>
          <w:rStyle w:val="17"/>
          <w:rFonts w:hint="eastAsia"/>
          <w:color w:val="auto"/>
          <w:szCs w:val="32"/>
          <w:highlight w:val="none"/>
        </w:rPr>
        <w:t>条</w:t>
      </w:r>
      <w:r>
        <w:rPr>
          <w:rStyle w:val="17"/>
          <w:rFonts w:hint="eastAsia" w:eastAsia="黑体"/>
          <w:color w:val="auto"/>
          <w:highlight w:val="none"/>
          <w:lang w:val="en-US" w:eastAsia="zh-CN"/>
        </w:rPr>
        <w:t xml:space="preserve"> </w:t>
      </w:r>
      <w:r>
        <w:rPr>
          <w:rFonts w:hint="eastAsia" w:ascii="仿宋_GB2312" w:hAnsi="华文仿宋" w:eastAsia="仿宋_GB2312"/>
          <w:color w:val="auto"/>
          <w:sz w:val="32"/>
          <w:szCs w:val="32"/>
          <w:highlight w:val="none"/>
        </w:rPr>
        <w:t>经规划</w:t>
      </w:r>
      <w:r>
        <w:rPr>
          <w:rFonts w:hint="eastAsia" w:ascii="仿宋_GB2312" w:hAnsi="仿宋_GB2312" w:eastAsia="仿宋_GB2312" w:cs="仿宋_GB2312"/>
          <w:color w:val="000000"/>
          <w:sz w:val="32"/>
          <w:szCs w:val="32"/>
          <w:highlight w:val="none"/>
          <w:lang w:eastAsia="zh-CN"/>
        </w:rPr>
        <w:t>和自然资源</w:t>
      </w:r>
      <w:r>
        <w:rPr>
          <w:rFonts w:hint="eastAsia" w:ascii="仿宋_GB2312" w:hAnsi="华文仿宋" w:eastAsia="仿宋_GB2312"/>
          <w:color w:val="auto"/>
          <w:sz w:val="32"/>
          <w:szCs w:val="32"/>
          <w:highlight w:val="none"/>
        </w:rPr>
        <w:t>部门核准并已落实的</w:t>
      </w:r>
      <w:r>
        <w:rPr>
          <w:rFonts w:hint="eastAsia" w:ascii="仿宋_GB2312" w:hAnsi="仿宋_GB2312" w:eastAsia="仿宋_GB2312" w:cs="仿宋_GB2312"/>
          <w:color w:val="000000"/>
          <w:sz w:val="32"/>
          <w:szCs w:val="32"/>
          <w:highlight w:val="none"/>
        </w:rPr>
        <w:t>原农村集体经济组织继受单位</w:t>
      </w:r>
      <w:r>
        <w:rPr>
          <w:rFonts w:hint="eastAsia" w:ascii="仿宋_GB2312" w:hAnsi="华文仿宋" w:eastAsia="仿宋_GB2312"/>
          <w:color w:val="auto"/>
          <w:sz w:val="32"/>
          <w:szCs w:val="32"/>
          <w:highlight w:val="none"/>
        </w:rPr>
        <w:t>保留使用的非农建设用地、征地返还用地等已批未建的留用地，符合条件的可以提高居住用地的容积率，由此增加的居住面积用于建设安居型商品房。</w:t>
      </w:r>
    </w:p>
    <w:p>
      <w:pPr>
        <w:spacing w:line="560" w:lineRule="exact"/>
        <w:ind w:firstLine="640" w:firstLineChars="200"/>
        <w:outlineLvl w:val="2"/>
        <w:rPr>
          <w:rFonts w:ascii="仿宋_GB2312" w:hAnsi="仿宋_GB2312" w:eastAsia="仿宋_GB2312" w:cs="仿宋_GB2312"/>
          <w:color w:val="000000"/>
          <w:sz w:val="32"/>
          <w:szCs w:val="32"/>
          <w:highlight w:val="none"/>
        </w:rPr>
      </w:pPr>
      <w:r>
        <w:rPr>
          <w:rFonts w:hint="eastAsia" w:ascii="仿宋_GB2312" w:hAnsi="华文仿宋" w:eastAsia="仿宋_GB2312"/>
          <w:color w:val="auto"/>
          <w:sz w:val="32"/>
          <w:szCs w:val="32"/>
          <w:highlight w:val="none"/>
        </w:rPr>
        <w:t>符合条件的</w:t>
      </w:r>
      <w:r>
        <w:rPr>
          <w:rFonts w:hint="eastAsia" w:ascii="仿宋_GB2312" w:hAnsi="仿宋_GB2312" w:eastAsia="仿宋_GB2312" w:cs="仿宋_GB2312"/>
          <w:color w:val="000000"/>
          <w:sz w:val="32"/>
          <w:szCs w:val="32"/>
          <w:highlight w:val="none"/>
        </w:rPr>
        <w:t>未完善征（转）</w:t>
      </w:r>
      <w:r>
        <w:rPr>
          <w:rFonts w:hint="eastAsia" w:ascii="仿宋_GB2312" w:hAnsi="仿宋_GB2312" w:eastAsia="仿宋_GB2312" w:cs="仿宋_GB2312"/>
          <w:color w:val="000000"/>
          <w:sz w:val="32"/>
          <w:szCs w:val="32"/>
          <w:highlight w:val="none"/>
          <w:lang w:eastAsia="zh-CN"/>
        </w:rPr>
        <w:t>地</w:t>
      </w:r>
      <w:r>
        <w:rPr>
          <w:rFonts w:hint="eastAsia" w:ascii="仿宋_GB2312" w:hAnsi="仿宋_GB2312" w:eastAsia="仿宋_GB2312" w:cs="仿宋_GB2312"/>
          <w:color w:val="000000"/>
          <w:sz w:val="32"/>
          <w:szCs w:val="32"/>
          <w:highlight w:val="none"/>
          <w:lang w:val="en-US" w:eastAsia="zh-CN"/>
        </w:rPr>
        <w:t>补偿</w:t>
      </w:r>
      <w:r>
        <w:rPr>
          <w:rFonts w:hint="eastAsia" w:ascii="仿宋_GB2312" w:hAnsi="仿宋_GB2312" w:eastAsia="仿宋_GB2312" w:cs="仿宋_GB2312"/>
          <w:color w:val="000000"/>
          <w:sz w:val="32"/>
          <w:szCs w:val="32"/>
          <w:highlight w:val="none"/>
        </w:rPr>
        <w:t>手续用地，原农村集体经济组织继受单位可以申请建设安居型商品房。</w:t>
      </w:r>
    </w:p>
    <w:p>
      <w:pPr>
        <w:spacing w:line="560" w:lineRule="exact"/>
        <w:ind w:firstLine="640" w:firstLineChars="200"/>
        <w:outlineLvl w:val="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符合条件的历史遗留未完善出让手续用地，原用地主体或者原征地补偿实施主体可以申请建设安居型商品房。</w:t>
      </w:r>
    </w:p>
    <w:p>
      <w:pPr>
        <w:spacing w:line="560" w:lineRule="exact"/>
        <w:ind w:firstLine="640" w:firstLineChars="200"/>
        <w:rPr>
          <w:rFonts w:ascii="仿宋_GB2312" w:hAnsi="仿宋_GB2312" w:eastAsia="仿宋_GB2312" w:cs="仿宋_GB2312"/>
          <w:color w:val="auto"/>
          <w:sz w:val="32"/>
          <w:szCs w:val="32"/>
          <w:highlight w:val="none"/>
        </w:rPr>
      </w:pPr>
      <w:r>
        <w:rPr>
          <w:rStyle w:val="16"/>
          <w:rFonts w:hint="eastAsia"/>
          <w:color w:val="auto"/>
          <w:highlight w:val="none"/>
        </w:rPr>
        <w:t>第十</w:t>
      </w:r>
      <w:r>
        <w:rPr>
          <w:rStyle w:val="16"/>
          <w:rFonts w:hint="eastAsia" w:eastAsia="黑体"/>
          <w:color w:val="auto"/>
          <w:highlight w:val="none"/>
          <w:lang w:eastAsia="zh-CN"/>
        </w:rPr>
        <w:t>六</w:t>
      </w:r>
      <w:r>
        <w:rPr>
          <w:rStyle w:val="16"/>
          <w:rFonts w:hint="eastAsia"/>
          <w:color w:val="auto"/>
          <w:highlight w:val="none"/>
        </w:rPr>
        <w:t>条</w:t>
      </w:r>
      <w:r>
        <w:rPr>
          <w:rStyle w:val="16"/>
          <w:rFonts w:hint="eastAsia" w:eastAsia="黑体"/>
          <w:color w:val="auto"/>
          <w:highlight w:val="none"/>
          <w:lang w:val="en-US" w:eastAsia="zh-CN"/>
        </w:rPr>
        <w:t xml:space="preserve"> </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eastAsia="zh-CN"/>
        </w:rPr>
        <w:t>人民</w:t>
      </w:r>
      <w:r>
        <w:rPr>
          <w:rFonts w:hint="eastAsia" w:ascii="仿宋_GB2312" w:hAnsi="仿宋_GB2312" w:eastAsia="仿宋_GB2312" w:cs="仿宋_GB2312"/>
          <w:color w:val="auto"/>
          <w:sz w:val="32"/>
          <w:szCs w:val="32"/>
          <w:highlight w:val="none"/>
        </w:rPr>
        <w:t>政府统筹协调各区</w:t>
      </w:r>
      <w:r>
        <w:rPr>
          <w:rFonts w:hint="eastAsia" w:ascii="仿宋_GB2312" w:hAnsi="仿宋_GB2312" w:eastAsia="仿宋_GB2312" w:cs="仿宋_GB2312"/>
          <w:color w:val="auto"/>
          <w:sz w:val="32"/>
          <w:szCs w:val="32"/>
          <w:highlight w:val="none"/>
          <w:lang w:eastAsia="zh-CN"/>
        </w:rPr>
        <w:t>人民</w:t>
      </w:r>
      <w:r>
        <w:rPr>
          <w:rFonts w:hint="eastAsia" w:ascii="仿宋_GB2312" w:hAnsi="仿宋_GB2312" w:eastAsia="仿宋_GB2312" w:cs="仿宋_GB2312"/>
          <w:color w:val="auto"/>
          <w:sz w:val="32"/>
          <w:szCs w:val="32"/>
          <w:highlight w:val="none"/>
        </w:rPr>
        <w:t>政府在安居型商品房的建设和管理方面建立区际合作机制</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各区</w:t>
      </w:r>
      <w:r>
        <w:rPr>
          <w:rFonts w:hint="eastAsia" w:ascii="仿宋_GB2312" w:hAnsi="仿宋_GB2312" w:eastAsia="仿宋_GB2312" w:cs="仿宋_GB2312"/>
          <w:color w:val="auto"/>
          <w:sz w:val="32"/>
          <w:szCs w:val="32"/>
          <w:highlight w:val="none"/>
          <w:lang w:eastAsia="zh-CN"/>
        </w:rPr>
        <w:t>人民</w:t>
      </w:r>
      <w:r>
        <w:rPr>
          <w:rFonts w:hint="eastAsia" w:ascii="仿宋_GB2312" w:hAnsi="仿宋_GB2312" w:eastAsia="仿宋_GB2312" w:cs="仿宋_GB2312"/>
          <w:color w:val="auto"/>
          <w:sz w:val="32"/>
          <w:szCs w:val="32"/>
          <w:highlight w:val="none"/>
        </w:rPr>
        <w:t>政府可以</w:t>
      </w:r>
      <w:r>
        <w:rPr>
          <w:rFonts w:hint="eastAsia" w:ascii="仿宋_GB2312" w:hAnsi="仿宋_GB2312" w:eastAsia="仿宋_GB2312" w:cs="仿宋_GB2312"/>
          <w:color w:val="auto"/>
          <w:sz w:val="32"/>
          <w:szCs w:val="32"/>
          <w:highlight w:val="none"/>
          <w:lang w:eastAsia="zh-CN"/>
        </w:rPr>
        <w:t>通过</w:t>
      </w:r>
      <w:r>
        <w:rPr>
          <w:rFonts w:hint="eastAsia" w:ascii="仿宋_GB2312" w:hAnsi="仿宋_GB2312" w:eastAsia="仿宋_GB2312" w:cs="仿宋_GB2312"/>
          <w:color w:val="auto"/>
          <w:sz w:val="32"/>
          <w:szCs w:val="32"/>
          <w:highlight w:val="none"/>
        </w:rPr>
        <w:t>提供建设资金</w:t>
      </w:r>
      <w:r>
        <w:rPr>
          <w:rFonts w:hint="eastAsia" w:ascii="仿宋_GB2312" w:hAnsi="仿宋_GB2312" w:eastAsia="仿宋_GB2312" w:cs="仿宋_GB2312"/>
          <w:color w:val="auto"/>
          <w:sz w:val="32"/>
          <w:szCs w:val="32"/>
          <w:highlight w:val="none"/>
          <w:lang w:eastAsia="zh-CN"/>
        </w:rPr>
        <w:t>或者</w:t>
      </w:r>
      <w:r>
        <w:rPr>
          <w:rFonts w:hint="eastAsia" w:ascii="仿宋_GB2312" w:hAnsi="仿宋_GB2312" w:eastAsia="仿宋_GB2312" w:cs="仿宋_GB2312"/>
          <w:color w:val="auto"/>
          <w:sz w:val="32"/>
          <w:szCs w:val="32"/>
          <w:highlight w:val="none"/>
        </w:rPr>
        <w:t>建设用地进行</w:t>
      </w:r>
      <w:r>
        <w:rPr>
          <w:rFonts w:hint="eastAsia" w:ascii="仿宋_GB2312" w:hAnsi="仿宋_GB2312" w:eastAsia="仿宋_GB2312" w:cs="仿宋_GB2312"/>
          <w:color w:val="auto"/>
          <w:sz w:val="32"/>
          <w:szCs w:val="32"/>
          <w:highlight w:val="none"/>
          <w:lang w:eastAsia="zh-CN"/>
        </w:rPr>
        <w:t>合作</w:t>
      </w:r>
      <w:r>
        <w:rPr>
          <w:rFonts w:hint="eastAsia" w:ascii="仿宋_GB2312" w:hAnsi="仿宋_GB2312" w:eastAsia="仿宋_GB2312" w:cs="仿宋_GB2312"/>
          <w:color w:val="auto"/>
          <w:sz w:val="32"/>
          <w:szCs w:val="32"/>
          <w:highlight w:val="none"/>
        </w:rPr>
        <w:t>开发建设，</w:t>
      </w:r>
      <w:r>
        <w:rPr>
          <w:rFonts w:hint="eastAsia" w:ascii="仿宋_GB2312" w:hAnsi="仿宋_GB2312" w:eastAsia="仿宋_GB2312" w:cs="仿宋_GB2312"/>
          <w:color w:val="000000"/>
          <w:sz w:val="32"/>
          <w:szCs w:val="32"/>
          <w:highlight w:val="none"/>
        </w:rPr>
        <w:t>所建的安居型商品房按比例分成。</w:t>
      </w:r>
    </w:p>
    <w:p>
      <w:pPr>
        <w:numPr>
          <w:ilvl w:val="255"/>
          <w:numId w:val="0"/>
        </w:numPr>
        <w:spacing w:line="560" w:lineRule="exact"/>
        <w:ind w:firstLine="640" w:firstLineChars="200"/>
        <w:rPr>
          <w:rFonts w:ascii="仿宋_GB2312" w:hAnsi="仿宋_GB2312" w:eastAsia="仿宋_GB2312" w:cs="仿宋_GB2312"/>
          <w:color w:val="auto"/>
          <w:sz w:val="32"/>
          <w:szCs w:val="32"/>
          <w:highlight w:val="none"/>
        </w:rPr>
      </w:pPr>
      <w:bookmarkStart w:id="146" w:name="_Toc20817"/>
      <w:bookmarkStart w:id="147" w:name="_Toc523428822"/>
      <w:bookmarkStart w:id="148" w:name="_Toc27062"/>
      <w:bookmarkStart w:id="149" w:name="_Toc5279"/>
      <w:bookmarkStart w:id="150" w:name="_Toc3547"/>
      <w:r>
        <w:rPr>
          <w:rStyle w:val="16"/>
          <w:rFonts w:hint="eastAsia"/>
          <w:color w:val="auto"/>
          <w:highlight w:val="none"/>
        </w:rPr>
        <w:t>第十</w:t>
      </w:r>
      <w:r>
        <w:rPr>
          <w:rStyle w:val="16"/>
          <w:rFonts w:hint="eastAsia" w:eastAsia="黑体"/>
          <w:color w:val="auto"/>
          <w:highlight w:val="none"/>
          <w:lang w:eastAsia="zh-CN"/>
        </w:rPr>
        <w:t>七</w:t>
      </w:r>
      <w:r>
        <w:rPr>
          <w:rStyle w:val="16"/>
          <w:rFonts w:hint="eastAsia"/>
          <w:color w:val="auto"/>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除福田区、罗湖区、南山区房源供需矛盾突出的区以外，其他区每年度应当划出不低于2</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的安居型商品房房源，由市主管部门统筹调剂。</w:t>
      </w:r>
      <w:bookmarkEnd w:id="146"/>
      <w:bookmarkEnd w:id="147"/>
      <w:bookmarkEnd w:id="148"/>
      <w:bookmarkEnd w:id="149"/>
      <w:bookmarkEnd w:id="150"/>
    </w:p>
    <w:p>
      <w:pPr>
        <w:spacing w:line="560" w:lineRule="exact"/>
        <w:ind w:firstLine="640" w:firstLineChars="200"/>
        <w:outlineLvl w:val="2"/>
        <w:rPr>
          <w:rFonts w:ascii="黑体" w:hAnsi="黑体" w:eastAsia="黑体"/>
          <w:bCs/>
          <w:color w:val="000000"/>
          <w:sz w:val="32"/>
          <w:szCs w:val="32"/>
          <w:highlight w:val="none"/>
        </w:rPr>
      </w:pPr>
      <w:r>
        <w:rPr>
          <w:rFonts w:hint="eastAsia" w:ascii="黑体" w:hAnsi="黑体" w:eastAsia="黑体" w:cs="黑体"/>
          <w:color w:val="000000"/>
          <w:sz w:val="32"/>
          <w:szCs w:val="32"/>
          <w:highlight w:val="none"/>
        </w:rPr>
        <w:t>第十</w:t>
      </w:r>
      <w:r>
        <w:rPr>
          <w:rFonts w:hint="eastAsia" w:ascii="黑体" w:hAnsi="黑体" w:eastAsia="黑体" w:cs="黑体"/>
          <w:color w:val="000000"/>
          <w:sz w:val="32"/>
          <w:szCs w:val="32"/>
          <w:highlight w:val="none"/>
          <w:lang w:eastAsia="zh-CN"/>
        </w:rPr>
        <w:t>八</w:t>
      </w:r>
      <w:r>
        <w:rPr>
          <w:rFonts w:hint="eastAsia" w:ascii="黑体" w:hAnsi="黑体" w:eastAsia="黑体" w:cs="黑体"/>
          <w:color w:val="000000"/>
          <w:sz w:val="32"/>
          <w:szCs w:val="32"/>
          <w:highlight w:val="none"/>
        </w:rPr>
        <w:t>条</w:t>
      </w:r>
      <w:bookmarkStart w:id="151" w:name="_Toc520234201"/>
      <w:r>
        <w:rPr>
          <w:rFonts w:hint="eastAsia" w:ascii="黑体" w:hAnsi="黑体" w:eastAsia="黑体"/>
          <w:bCs/>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结合粤港澳大湾区、深莞惠经济圈开发建设，沿区域性高铁、城际铁路，在临深片区符合条件的区域合作建设安居型商品房。</w:t>
      </w:r>
      <w:bookmarkEnd w:id="151"/>
    </w:p>
    <w:p>
      <w:pPr>
        <w:spacing w:line="560" w:lineRule="exact"/>
        <w:ind w:firstLine="640" w:firstLineChars="200"/>
        <w:rPr>
          <w:rFonts w:ascii="仿宋_GB2312" w:hAnsi="仿宋_GB2312" w:eastAsia="仿宋_GB2312" w:cs="仿宋_GB2312"/>
          <w:color w:val="000000"/>
          <w:sz w:val="32"/>
          <w:szCs w:val="32"/>
          <w:highlight w:val="none"/>
        </w:rPr>
      </w:pPr>
      <w:bookmarkStart w:id="152" w:name="_Toc520234202"/>
      <w:r>
        <w:rPr>
          <w:rFonts w:hint="eastAsia" w:ascii="仿宋_GB2312" w:hAnsi="仿宋_GB2312" w:eastAsia="仿宋_GB2312" w:cs="仿宋_GB2312"/>
          <w:color w:val="000000"/>
          <w:sz w:val="32"/>
          <w:szCs w:val="32"/>
          <w:highlight w:val="none"/>
        </w:rPr>
        <w:t>在深汕特别合作区规划实施以公共交通为导向的住房开发模式，在高铁站点一定范围内充分预留安居型商品房建设用地，建设大型安居社区。</w:t>
      </w:r>
      <w:bookmarkEnd w:id="152"/>
    </w:p>
    <w:p>
      <w:pPr>
        <w:spacing w:line="560" w:lineRule="exact"/>
        <w:ind w:firstLine="640" w:firstLineChars="200"/>
        <w:rPr>
          <w:rFonts w:ascii="仿宋_GB2312" w:hAnsi="仿宋_GB2312" w:eastAsia="仿宋_GB2312" w:cs="仿宋_GB2312"/>
          <w:color w:val="000000"/>
          <w:sz w:val="32"/>
          <w:szCs w:val="32"/>
          <w:highlight w:val="none"/>
        </w:rPr>
      </w:pPr>
      <w:bookmarkStart w:id="153" w:name="_Toc18708"/>
      <w:bookmarkStart w:id="154" w:name="_Toc520234175"/>
      <w:bookmarkStart w:id="155" w:name="_Toc10821"/>
      <w:bookmarkStart w:id="156" w:name="_Toc3793"/>
      <w:bookmarkStart w:id="157" w:name="_Toc28451"/>
      <w:bookmarkStart w:id="158" w:name="_Toc6003"/>
      <w:bookmarkStart w:id="159" w:name="_Toc523428806"/>
      <w:bookmarkStart w:id="160" w:name="_Toc11661"/>
      <w:bookmarkStart w:id="161" w:name="_Toc15854"/>
      <w:bookmarkStart w:id="162" w:name="_Toc29429"/>
      <w:r>
        <w:rPr>
          <w:rFonts w:hint="eastAsia" w:ascii="黑体" w:hAnsi="黑体" w:eastAsia="黑体"/>
          <w:bCs/>
          <w:color w:val="000000"/>
          <w:sz w:val="32"/>
          <w:szCs w:val="32"/>
          <w:highlight w:val="none"/>
        </w:rPr>
        <w:t>第</w:t>
      </w:r>
      <w:r>
        <w:rPr>
          <w:rFonts w:hint="eastAsia" w:ascii="黑体" w:hAnsi="黑体" w:eastAsia="黑体"/>
          <w:bCs/>
          <w:color w:val="000000"/>
          <w:sz w:val="32"/>
          <w:szCs w:val="32"/>
          <w:highlight w:val="none"/>
          <w:lang w:eastAsia="zh-CN"/>
        </w:rPr>
        <w:t>十九</w:t>
      </w:r>
      <w:r>
        <w:rPr>
          <w:rFonts w:hint="eastAsia" w:ascii="黑体" w:hAnsi="黑体" w:eastAsia="黑体"/>
          <w:bCs/>
          <w:color w:val="000000"/>
          <w:sz w:val="32"/>
          <w:szCs w:val="32"/>
          <w:highlight w:val="none"/>
        </w:rPr>
        <w:t>条</w:t>
      </w:r>
      <w:bookmarkEnd w:id="153"/>
      <w:bookmarkEnd w:id="154"/>
      <w:bookmarkEnd w:id="155"/>
      <w:bookmarkEnd w:id="156"/>
      <w:bookmarkEnd w:id="157"/>
      <w:bookmarkEnd w:id="158"/>
      <w:bookmarkEnd w:id="159"/>
      <w:bookmarkEnd w:id="160"/>
      <w:bookmarkEnd w:id="161"/>
      <w:bookmarkEnd w:id="162"/>
      <w:r>
        <w:rPr>
          <w:rFonts w:hint="eastAsia" w:ascii="黑体" w:hAnsi="黑体" w:eastAsia="黑体"/>
          <w:bCs/>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安居型商品房的地价收取</w:t>
      </w:r>
      <w:r>
        <w:rPr>
          <w:rFonts w:hint="eastAsia" w:ascii="仿宋_GB2312" w:hAnsi="仿宋_GB2312" w:eastAsia="仿宋_GB2312" w:cs="仿宋_GB2312"/>
          <w:color w:val="000000"/>
          <w:sz w:val="32"/>
          <w:szCs w:val="32"/>
          <w:highlight w:val="none"/>
        </w:rPr>
        <w:t>按照深圳市地价测算规则执行。</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黑体" w:hAnsi="黑体" w:eastAsia="黑体"/>
          <w:bCs/>
          <w:color w:val="000000"/>
          <w:sz w:val="32"/>
          <w:szCs w:val="32"/>
          <w:highlight w:val="none"/>
        </w:rPr>
        <w:t>第二十条</w:t>
      </w:r>
      <w:bookmarkStart w:id="163" w:name="_Toc520234179"/>
      <w:r>
        <w:rPr>
          <w:rFonts w:hint="eastAsia" w:ascii="黑体" w:hAnsi="黑体" w:eastAsia="黑体"/>
          <w:bCs/>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建设安居型商品房的，土地使用权出让合同或者补充合同应当包括安居型商品房的规划设计条件、租售比例、产权归属、违约责任，以及</w:t>
      </w:r>
      <w:bookmarkStart w:id="164" w:name="_Hlk519778176"/>
      <w:r>
        <w:rPr>
          <w:rFonts w:hint="eastAsia" w:ascii="仿宋_GB2312" w:hAnsi="仿宋_GB2312" w:eastAsia="仿宋_GB2312" w:cs="仿宋_GB2312"/>
          <w:color w:val="000000"/>
          <w:sz w:val="32"/>
          <w:szCs w:val="32"/>
          <w:highlight w:val="none"/>
        </w:rPr>
        <w:t>公共服务</w:t>
      </w:r>
      <w:bookmarkEnd w:id="164"/>
      <w:r>
        <w:rPr>
          <w:rFonts w:hint="eastAsia" w:ascii="仿宋_GB2312" w:hAnsi="仿宋_GB2312" w:eastAsia="仿宋_GB2312" w:cs="仿宋_GB2312"/>
          <w:color w:val="000000"/>
          <w:sz w:val="32"/>
          <w:szCs w:val="32"/>
          <w:highlight w:val="none"/>
        </w:rPr>
        <w:t>配套设施的产权和使用管理等内容。</w:t>
      </w:r>
      <w:bookmarkEnd w:id="163"/>
    </w:p>
    <w:p>
      <w:pPr>
        <w:spacing w:line="560" w:lineRule="exact"/>
        <w:ind w:firstLine="640" w:firstLineChars="200"/>
        <w:outlineLvl w:val="2"/>
        <w:rPr>
          <w:rFonts w:ascii="仿宋_GB2312" w:hAnsi="仿宋_GB2312" w:eastAsia="仿宋_GB2312" w:cs="仿宋_GB2312"/>
          <w:color w:val="000000"/>
          <w:sz w:val="32"/>
          <w:szCs w:val="32"/>
          <w:highlight w:val="none"/>
        </w:rPr>
      </w:pPr>
      <w:bookmarkStart w:id="165" w:name="_Toc520234209"/>
      <w:bookmarkStart w:id="166" w:name="_Toc21597"/>
      <w:bookmarkStart w:id="167" w:name="_Toc16484"/>
      <w:bookmarkStart w:id="168" w:name="_Toc8425"/>
      <w:bookmarkStart w:id="169" w:name="_Toc25075"/>
      <w:bookmarkStart w:id="170" w:name="_Toc18560"/>
      <w:bookmarkStart w:id="171" w:name="_Toc20595"/>
      <w:bookmarkStart w:id="172" w:name="_Toc17476"/>
      <w:bookmarkStart w:id="173" w:name="_Toc4918"/>
      <w:bookmarkStart w:id="174" w:name="_Toc523428810"/>
      <w:r>
        <w:rPr>
          <w:rFonts w:hint="eastAsia" w:ascii="黑体" w:hAnsi="黑体" w:eastAsia="黑体"/>
          <w:bCs/>
          <w:color w:val="000000"/>
          <w:sz w:val="32"/>
          <w:szCs w:val="32"/>
          <w:highlight w:val="none"/>
        </w:rPr>
        <w:t>第二十</w:t>
      </w:r>
      <w:r>
        <w:rPr>
          <w:rFonts w:hint="eastAsia" w:ascii="黑体" w:hAnsi="黑体" w:eastAsia="黑体"/>
          <w:bCs/>
          <w:color w:val="000000"/>
          <w:sz w:val="32"/>
          <w:szCs w:val="32"/>
          <w:highlight w:val="none"/>
          <w:lang w:eastAsia="zh-CN"/>
        </w:rPr>
        <w:t>一</w:t>
      </w:r>
      <w:r>
        <w:rPr>
          <w:rFonts w:hint="eastAsia" w:ascii="黑体" w:hAnsi="黑体" w:eastAsia="黑体"/>
          <w:bCs/>
          <w:color w:val="000000"/>
          <w:sz w:val="32"/>
          <w:szCs w:val="32"/>
          <w:highlight w:val="none"/>
        </w:rPr>
        <w:t>条</w:t>
      </w:r>
      <w:bookmarkEnd w:id="165"/>
      <w:r>
        <w:rPr>
          <w:rFonts w:hint="eastAsia" w:ascii="黑体" w:hAnsi="黑体" w:eastAsia="黑体"/>
          <w:bCs/>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安居型商品房建设实行建设和管理任务书制度。建设和管理任务书作为土地使用权出让合同或者补充合同的附件，效力与合同一致。</w:t>
      </w:r>
      <w:bookmarkEnd w:id="166"/>
      <w:bookmarkEnd w:id="167"/>
      <w:bookmarkEnd w:id="168"/>
      <w:bookmarkEnd w:id="169"/>
      <w:bookmarkEnd w:id="170"/>
      <w:bookmarkEnd w:id="171"/>
      <w:bookmarkEnd w:id="172"/>
      <w:bookmarkEnd w:id="173"/>
      <w:bookmarkEnd w:id="174"/>
    </w:p>
    <w:p>
      <w:pPr>
        <w:spacing w:line="560" w:lineRule="exact"/>
        <w:ind w:firstLine="640" w:firstLineChars="200"/>
        <w:outlineLvl w:val="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auto"/>
          <w:sz w:val="32"/>
          <w:szCs w:val="32"/>
          <w:highlight w:val="none"/>
        </w:rPr>
        <w:t>建设和管理任务书应当由市、区主管部门在土地出让前制定，包含以下</w:t>
      </w:r>
      <w:r>
        <w:rPr>
          <w:rFonts w:hint="eastAsia" w:ascii="仿宋_GB2312" w:hAnsi="仿宋_GB2312" w:eastAsia="仿宋_GB2312" w:cs="仿宋_GB2312"/>
          <w:color w:val="000000"/>
          <w:sz w:val="32"/>
          <w:szCs w:val="32"/>
          <w:highlight w:val="none"/>
        </w:rPr>
        <w:t>内容：建设标准、</w:t>
      </w:r>
      <w:r>
        <w:rPr>
          <w:rFonts w:hint="eastAsia" w:ascii="仿宋_GB2312" w:hAnsi="仿宋_GB2312" w:eastAsia="仿宋_GB2312" w:cs="仿宋_GB2312"/>
          <w:color w:val="000000"/>
          <w:sz w:val="32"/>
          <w:szCs w:val="32"/>
          <w:highlight w:val="none"/>
          <w:u w:val="none" w:color="auto"/>
        </w:rPr>
        <w:t>回购或</w:t>
      </w:r>
      <w:r>
        <w:rPr>
          <w:rFonts w:hint="eastAsia" w:ascii="仿宋_GB2312" w:hAnsi="仿宋_GB2312" w:eastAsia="仿宋_GB2312" w:cs="仿宋_GB2312"/>
          <w:color w:val="000000"/>
          <w:sz w:val="32"/>
          <w:szCs w:val="32"/>
          <w:highlight w:val="none"/>
          <w:u w:val="none" w:color="auto"/>
          <w:lang w:eastAsia="zh-CN"/>
        </w:rPr>
        <w:t>者</w:t>
      </w:r>
      <w:r>
        <w:rPr>
          <w:rFonts w:hint="eastAsia" w:ascii="仿宋_GB2312" w:hAnsi="仿宋_GB2312" w:eastAsia="仿宋_GB2312" w:cs="仿宋_GB2312"/>
          <w:color w:val="000000"/>
          <w:sz w:val="32"/>
          <w:szCs w:val="32"/>
          <w:highlight w:val="none"/>
          <w:u w:val="none" w:color="auto"/>
        </w:rPr>
        <w:t>接收主体、</w:t>
      </w:r>
      <w:r>
        <w:rPr>
          <w:rFonts w:hint="eastAsia" w:ascii="仿宋_GB2312" w:hAnsi="仿宋_GB2312" w:eastAsia="仿宋_GB2312" w:cs="仿宋_GB2312"/>
          <w:color w:val="000000"/>
          <w:sz w:val="32"/>
          <w:szCs w:val="32"/>
          <w:highlight w:val="none"/>
        </w:rPr>
        <w:t>产权限制、建设工期、交付日期等，示范文本由市主管部门制定。</w:t>
      </w:r>
    </w:p>
    <w:p>
      <w:pPr>
        <w:spacing w:line="560" w:lineRule="exact"/>
        <w:ind w:firstLine="640" w:firstLineChars="200"/>
        <w:outlineLvl w:val="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以招标、拍卖和挂牌方式建设或者配建安居型商品房的，土地使用权出让公告体现建设和管理任务书的主要内容。</w:t>
      </w:r>
    </w:p>
    <w:p>
      <w:pPr>
        <w:spacing w:line="560" w:lineRule="exact"/>
        <w:ind w:firstLine="640" w:firstLineChars="200"/>
        <w:outlineLvl w:val="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通过招标、拍卖、挂牌用地，已批未建用地，未完善征（转）</w:t>
      </w:r>
      <w:r>
        <w:rPr>
          <w:rFonts w:hint="eastAsia" w:ascii="仿宋_GB2312" w:hAnsi="仿宋_GB2312" w:eastAsia="仿宋_GB2312" w:cs="仿宋_GB2312"/>
          <w:color w:val="000000"/>
          <w:sz w:val="32"/>
          <w:szCs w:val="32"/>
          <w:highlight w:val="none"/>
          <w:lang w:eastAsia="zh-CN"/>
        </w:rPr>
        <w:t>地</w:t>
      </w:r>
      <w:r>
        <w:rPr>
          <w:rFonts w:hint="eastAsia" w:ascii="仿宋_GB2312" w:hAnsi="仿宋_GB2312" w:eastAsia="仿宋_GB2312" w:cs="仿宋_GB2312"/>
          <w:color w:val="000000"/>
          <w:sz w:val="32"/>
          <w:szCs w:val="32"/>
          <w:highlight w:val="none"/>
          <w:lang w:val="en-US" w:eastAsia="zh-CN"/>
        </w:rPr>
        <w:t>补偿</w:t>
      </w:r>
      <w:r>
        <w:rPr>
          <w:rFonts w:hint="eastAsia" w:ascii="仿宋_GB2312" w:hAnsi="仿宋_GB2312" w:eastAsia="仿宋_GB2312" w:cs="仿宋_GB2312"/>
          <w:color w:val="000000"/>
          <w:sz w:val="32"/>
          <w:szCs w:val="32"/>
          <w:highlight w:val="none"/>
        </w:rPr>
        <w:t>手续用地，社会存量用地，城际合作等渠道建设或者配建安居型商品房的，由建设单位与市主管部门或者其委托单位签订建设和管理任务书。</w:t>
      </w:r>
    </w:p>
    <w:p>
      <w:pPr>
        <w:spacing w:line="560" w:lineRule="exact"/>
        <w:ind w:firstLine="640" w:firstLineChars="200"/>
        <w:outlineLvl w:val="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通过新供应用地、棚户区改造、城市更新、征地返还等用地建设</w:t>
      </w:r>
      <w:r>
        <w:rPr>
          <w:rFonts w:hint="eastAsia" w:ascii="仿宋_GB2312" w:hAnsi="仿宋_GB2312" w:eastAsia="仿宋_GB2312" w:cs="仿宋_GB2312"/>
          <w:color w:val="000000"/>
          <w:sz w:val="32"/>
          <w:szCs w:val="32"/>
          <w:highlight w:val="none"/>
          <w:lang w:eastAsia="zh-CN"/>
        </w:rPr>
        <w:t>或者配建</w:t>
      </w:r>
      <w:r>
        <w:rPr>
          <w:rFonts w:hint="eastAsia" w:ascii="仿宋_GB2312" w:hAnsi="仿宋_GB2312" w:eastAsia="仿宋_GB2312" w:cs="仿宋_GB2312"/>
          <w:color w:val="000000"/>
          <w:sz w:val="32"/>
          <w:szCs w:val="32"/>
          <w:highlight w:val="none"/>
        </w:rPr>
        <w:t>安居型商品房的，由建设单位与区主管部门或者其委托单位签订建设和管理任务书。</w:t>
      </w:r>
    </w:p>
    <w:p>
      <w:pPr>
        <w:spacing w:line="560" w:lineRule="exact"/>
        <w:ind w:firstLine="640" w:firstLineChars="200"/>
        <w:outlineLvl w:val="2"/>
        <w:rPr>
          <w:rFonts w:hint="eastAsia" w:ascii="仿宋_GB2312" w:hAnsi="仿宋_GB2312" w:eastAsia="仿宋_GB2312" w:cs="仿宋_GB2312"/>
          <w:color w:val="000000"/>
          <w:sz w:val="32"/>
          <w:szCs w:val="32"/>
          <w:highlight w:val="none"/>
        </w:rPr>
      </w:pPr>
      <w:r>
        <w:rPr>
          <w:rFonts w:hint="eastAsia" w:ascii="黑体" w:hAnsi="黑体" w:eastAsia="黑体"/>
          <w:bCs/>
          <w:color w:val="000000"/>
          <w:sz w:val="32"/>
          <w:szCs w:val="32"/>
          <w:highlight w:val="none"/>
        </w:rPr>
        <w:t>第二十</w:t>
      </w:r>
      <w:r>
        <w:rPr>
          <w:rFonts w:hint="eastAsia" w:ascii="黑体" w:hAnsi="黑体" w:eastAsia="黑体"/>
          <w:bCs/>
          <w:color w:val="000000"/>
          <w:sz w:val="32"/>
          <w:szCs w:val="32"/>
          <w:highlight w:val="none"/>
          <w:lang w:eastAsia="zh-CN"/>
        </w:rPr>
        <w:t>二</w:t>
      </w:r>
      <w:r>
        <w:rPr>
          <w:rFonts w:hint="eastAsia" w:ascii="黑体" w:hAnsi="黑体" w:eastAsia="黑体"/>
          <w:bCs/>
          <w:color w:val="000000"/>
          <w:sz w:val="32"/>
          <w:szCs w:val="32"/>
          <w:highlight w:val="none"/>
        </w:rPr>
        <w:t>条</w:t>
      </w:r>
      <w:r>
        <w:rPr>
          <w:rFonts w:hint="eastAsia" w:ascii="黑体" w:hAnsi="黑体" w:eastAsia="黑体"/>
          <w:bCs/>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市主管部门应当结合本市实际制定安居型商品房建设标准，包括设计要求、户型面积、建造要求（装配式建筑、绿色建筑、建筑信息模型等）、装修标准等内容。</w:t>
      </w:r>
    </w:p>
    <w:p>
      <w:pPr>
        <w:spacing w:line="560" w:lineRule="exact"/>
        <w:ind w:firstLine="640" w:firstLineChars="200"/>
        <w:outlineLvl w:val="2"/>
        <w:rPr>
          <w:rFonts w:ascii="仿宋_GB2312" w:hAnsi="仿宋_GB2312" w:eastAsia="仿宋_GB2312" w:cs="仿宋_GB2312"/>
          <w:color w:val="000000"/>
          <w:sz w:val="32"/>
          <w:szCs w:val="32"/>
          <w:highlight w:val="none"/>
        </w:rPr>
      </w:pPr>
      <w:bookmarkStart w:id="175" w:name="_Toc520234211"/>
      <w:bookmarkStart w:id="176" w:name="_Toc21201"/>
      <w:bookmarkStart w:id="177" w:name="_Toc523428811"/>
      <w:bookmarkStart w:id="178" w:name="_Toc22987"/>
      <w:bookmarkStart w:id="179" w:name="_Toc11897"/>
      <w:bookmarkStart w:id="180" w:name="_Toc3425"/>
      <w:bookmarkStart w:id="181" w:name="_Toc31580"/>
      <w:bookmarkStart w:id="182" w:name="_Toc11212"/>
      <w:bookmarkStart w:id="183" w:name="_Toc22723"/>
      <w:bookmarkStart w:id="184" w:name="_Toc31213"/>
      <w:r>
        <w:rPr>
          <w:rFonts w:hint="eastAsia" w:ascii="黑体" w:hAnsi="黑体" w:eastAsia="黑体"/>
          <w:bCs/>
          <w:color w:val="000000"/>
          <w:sz w:val="32"/>
          <w:szCs w:val="32"/>
          <w:highlight w:val="none"/>
        </w:rPr>
        <w:t>第二十</w:t>
      </w:r>
      <w:r>
        <w:rPr>
          <w:rFonts w:hint="eastAsia" w:ascii="黑体" w:hAnsi="黑体" w:eastAsia="黑体"/>
          <w:bCs/>
          <w:color w:val="000000"/>
          <w:sz w:val="32"/>
          <w:szCs w:val="32"/>
          <w:highlight w:val="none"/>
          <w:lang w:eastAsia="zh-CN"/>
        </w:rPr>
        <w:t>三</w:t>
      </w:r>
      <w:r>
        <w:rPr>
          <w:rFonts w:hint="eastAsia" w:ascii="黑体" w:hAnsi="黑体" w:eastAsia="黑体"/>
          <w:bCs/>
          <w:color w:val="000000"/>
          <w:sz w:val="32"/>
          <w:szCs w:val="32"/>
          <w:highlight w:val="none"/>
        </w:rPr>
        <w:t>条</w:t>
      </w:r>
      <w:bookmarkEnd w:id="175"/>
      <w:r>
        <w:rPr>
          <w:rFonts w:hint="eastAsia" w:ascii="黑体" w:hAnsi="黑体" w:eastAsia="黑体"/>
          <w:bCs/>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规划</w:t>
      </w:r>
      <w:r>
        <w:rPr>
          <w:rFonts w:hint="eastAsia" w:ascii="仿宋_GB2312" w:hAnsi="仿宋_GB2312" w:eastAsia="仿宋_GB2312" w:cs="仿宋_GB2312"/>
          <w:color w:val="000000"/>
          <w:sz w:val="32"/>
          <w:szCs w:val="32"/>
          <w:highlight w:val="none"/>
          <w:lang w:eastAsia="zh-CN"/>
        </w:rPr>
        <w:t>和自然资源</w:t>
      </w:r>
      <w:r>
        <w:rPr>
          <w:rFonts w:hint="eastAsia" w:ascii="仿宋_GB2312" w:hAnsi="仿宋_GB2312" w:eastAsia="仿宋_GB2312" w:cs="仿宋_GB2312"/>
          <w:color w:val="000000"/>
          <w:sz w:val="32"/>
          <w:szCs w:val="32"/>
          <w:highlight w:val="none"/>
        </w:rPr>
        <w:t>部门应当在建设工程规划许可环节就建设项目的方案设计等相关文件征求主管部门意见。</w:t>
      </w:r>
      <w:bookmarkEnd w:id="176"/>
      <w:bookmarkEnd w:id="177"/>
      <w:bookmarkEnd w:id="178"/>
      <w:bookmarkEnd w:id="179"/>
      <w:bookmarkEnd w:id="180"/>
      <w:bookmarkEnd w:id="181"/>
      <w:bookmarkEnd w:id="182"/>
      <w:bookmarkEnd w:id="183"/>
      <w:bookmarkEnd w:id="184"/>
    </w:p>
    <w:p>
      <w:pPr>
        <w:spacing w:line="560" w:lineRule="exact"/>
        <w:ind w:firstLine="640" w:firstLineChars="200"/>
        <w:outlineLvl w:val="2"/>
        <w:rPr>
          <w:rFonts w:ascii="仿宋_GB2312" w:hAnsi="仿宋_GB2312" w:eastAsia="仿宋_GB2312" w:cs="仿宋_GB2312"/>
          <w:color w:val="000000"/>
          <w:sz w:val="32"/>
          <w:szCs w:val="32"/>
          <w:highlight w:val="none"/>
        </w:rPr>
      </w:pPr>
      <w:bookmarkStart w:id="185" w:name="_Toc22827"/>
      <w:bookmarkStart w:id="186" w:name="_Toc21759"/>
      <w:bookmarkStart w:id="187" w:name="_Toc22717"/>
      <w:bookmarkStart w:id="188" w:name="_Toc523428812"/>
      <w:bookmarkStart w:id="189" w:name="_Toc31650"/>
      <w:bookmarkStart w:id="190" w:name="_Toc30405"/>
      <w:bookmarkStart w:id="191" w:name="_Toc11348"/>
      <w:bookmarkStart w:id="192" w:name="_Toc17419"/>
      <w:bookmarkStart w:id="193" w:name="_Toc6690"/>
      <w:bookmarkStart w:id="194" w:name="_Toc6087"/>
      <w:bookmarkStart w:id="195" w:name="_Toc30379"/>
      <w:bookmarkStart w:id="196" w:name="_Toc7932"/>
      <w:r>
        <w:rPr>
          <w:rFonts w:hint="eastAsia" w:ascii="仿宋_GB2312" w:hAnsi="仿宋_GB2312" w:eastAsia="仿宋_GB2312" w:cs="仿宋_GB2312"/>
          <w:color w:val="000000"/>
          <w:sz w:val="32"/>
          <w:szCs w:val="32"/>
          <w:highlight w:val="none"/>
        </w:rPr>
        <w:t>城市更新配建安居型商品房的，区城市更新部门应当就</w:t>
      </w:r>
      <w:r>
        <w:rPr>
          <w:rFonts w:hint="eastAsia" w:ascii="仿宋_GB2312" w:hAnsi="仿宋_GB2312" w:eastAsia="仿宋_GB2312" w:cs="仿宋_GB2312"/>
          <w:color w:val="auto"/>
          <w:sz w:val="32"/>
          <w:szCs w:val="32"/>
          <w:highlight w:val="none"/>
        </w:rPr>
        <w:t>城市更新单元规划</w:t>
      </w:r>
      <w:r>
        <w:rPr>
          <w:rFonts w:hint="eastAsia" w:ascii="仿宋_GB2312" w:hAnsi="仿宋_GB2312" w:eastAsia="仿宋_GB2312" w:cs="仿宋_GB2312"/>
          <w:color w:val="000000"/>
          <w:sz w:val="32"/>
          <w:szCs w:val="32"/>
          <w:highlight w:val="none"/>
        </w:rPr>
        <w:t>征求区主管部门意见。</w:t>
      </w:r>
      <w:bookmarkEnd w:id="185"/>
      <w:bookmarkEnd w:id="186"/>
      <w:bookmarkEnd w:id="187"/>
      <w:bookmarkEnd w:id="188"/>
      <w:bookmarkEnd w:id="189"/>
      <w:bookmarkEnd w:id="190"/>
      <w:bookmarkEnd w:id="191"/>
      <w:bookmarkEnd w:id="192"/>
      <w:bookmarkEnd w:id="193"/>
      <w:bookmarkEnd w:id="194"/>
      <w:bookmarkEnd w:id="195"/>
      <w:bookmarkEnd w:id="196"/>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在建设过程中，建设工程规划许可证变更涉及到建设和管理任务书内容的，规划</w:t>
      </w:r>
      <w:r>
        <w:rPr>
          <w:rFonts w:hint="eastAsia" w:ascii="仿宋_GB2312" w:hAnsi="仿宋_GB2312" w:eastAsia="仿宋_GB2312" w:cs="仿宋_GB2312"/>
          <w:color w:val="000000"/>
          <w:sz w:val="32"/>
          <w:szCs w:val="32"/>
          <w:highlight w:val="none"/>
          <w:lang w:eastAsia="zh-CN"/>
        </w:rPr>
        <w:t>和自然资源</w:t>
      </w:r>
      <w:r>
        <w:rPr>
          <w:rFonts w:hint="eastAsia" w:ascii="仿宋_GB2312" w:hAnsi="仿宋_GB2312" w:eastAsia="仿宋_GB2312" w:cs="仿宋_GB2312"/>
          <w:color w:val="000000"/>
          <w:sz w:val="32"/>
          <w:szCs w:val="32"/>
          <w:highlight w:val="none"/>
        </w:rPr>
        <w:t>部门或者相关部门应当征求主管部门意见。</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 w:eastAsia="仿宋_GB2312"/>
          <w:color w:val="000000"/>
          <w:sz w:val="32"/>
          <w:szCs w:val="32"/>
          <w:highlight w:val="none"/>
        </w:rPr>
        <w:t>同一项目的公共区域内，不得通过设置物理围墙</w:t>
      </w:r>
      <w:r>
        <w:rPr>
          <w:rFonts w:hint="eastAsia" w:ascii="仿宋_GB2312" w:hAnsi="仿宋" w:eastAsia="仿宋_GB2312"/>
          <w:color w:val="000000"/>
          <w:sz w:val="32"/>
          <w:szCs w:val="32"/>
          <w:highlight w:val="none"/>
          <w:lang w:eastAsia="zh-CN"/>
        </w:rPr>
        <w:t>等</w:t>
      </w:r>
      <w:r>
        <w:rPr>
          <w:rFonts w:hint="eastAsia" w:ascii="仿宋_GB2312" w:hAnsi="仿宋" w:eastAsia="仿宋_GB2312"/>
          <w:color w:val="000000"/>
          <w:sz w:val="32"/>
          <w:szCs w:val="32"/>
          <w:highlight w:val="none"/>
        </w:rPr>
        <w:t>方式，将安居型商品房与市场商品住房进行隔离或者区别对待。</w:t>
      </w:r>
    </w:p>
    <w:p>
      <w:pPr>
        <w:spacing w:line="560" w:lineRule="exact"/>
        <w:ind w:firstLine="640" w:firstLineChars="200"/>
        <w:outlineLvl w:val="2"/>
        <w:rPr>
          <w:rFonts w:ascii="仿宋_GB2312" w:hAnsi="仿宋_GB2312" w:eastAsia="仿宋_GB2312" w:cs="仿宋_GB2312"/>
          <w:color w:val="000000"/>
          <w:sz w:val="32"/>
          <w:szCs w:val="32"/>
          <w:highlight w:val="none"/>
        </w:rPr>
      </w:pPr>
      <w:bookmarkStart w:id="197" w:name="_Toc520234213"/>
      <w:r>
        <w:rPr>
          <w:rFonts w:hint="eastAsia" w:ascii="黑体" w:hAnsi="黑体" w:eastAsia="黑体"/>
          <w:bCs/>
          <w:color w:val="000000"/>
          <w:sz w:val="32"/>
          <w:szCs w:val="32"/>
          <w:highlight w:val="none"/>
        </w:rPr>
        <w:t>第二十</w:t>
      </w:r>
      <w:r>
        <w:rPr>
          <w:rFonts w:hint="eastAsia" w:ascii="黑体" w:hAnsi="黑体" w:eastAsia="黑体"/>
          <w:bCs/>
          <w:color w:val="000000"/>
          <w:sz w:val="32"/>
          <w:szCs w:val="32"/>
          <w:highlight w:val="none"/>
          <w:lang w:eastAsia="zh-CN"/>
        </w:rPr>
        <w:t>四</w:t>
      </w:r>
      <w:r>
        <w:rPr>
          <w:rFonts w:hint="eastAsia" w:ascii="黑体" w:hAnsi="黑体" w:eastAsia="黑体"/>
          <w:bCs/>
          <w:color w:val="000000"/>
          <w:sz w:val="32"/>
          <w:szCs w:val="32"/>
          <w:highlight w:val="none"/>
        </w:rPr>
        <w:t>条</w:t>
      </w:r>
      <w:bookmarkEnd w:id="197"/>
      <w:r>
        <w:rPr>
          <w:rFonts w:hint="eastAsia" w:ascii="黑体" w:hAnsi="黑体" w:eastAsia="黑体"/>
          <w:bCs/>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区</w:t>
      </w:r>
      <w:r>
        <w:rPr>
          <w:rFonts w:hint="eastAsia" w:ascii="仿宋_GB2312" w:hAnsi="仿宋_GB2312" w:eastAsia="仿宋_GB2312" w:cs="仿宋_GB2312"/>
          <w:color w:val="000000"/>
          <w:sz w:val="32"/>
          <w:szCs w:val="32"/>
          <w:highlight w:val="none"/>
          <w:lang w:eastAsia="zh-CN"/>
        </w:rPr>
        <w:t>人民</w:t>
      </w:r>
      <w:r>
        <w:rPr>
          <w:rFonts w:hint="eastAsia" w:ascii="仿宋_GB2312" w:hAnsi="仿宋_GB2312" w:eastAsia="仿宋_GB2312" w:cs="仿宋_GB2312"/>
          <w:color w:val="000000"/>
          <w:sz w:val="32"/>
          <w:szCs w:val="32"/>
          <w:highlight w:val="none"/>
        </w:rPr>
        <w:t>政府会同规划</w:t>
      </w:r>
      <w:r>
        <w:rPr>
          <w:rFonts w:hint="eastAsia" w:ascii="仿宋_GB2312" w:hAnsi="仿宋_GB2312" w:eastAsia="仿宋_GB2312" w:cs="仿宋_GB2312"/>
          <w:color w:val="000000"/>
          <w:sz w:val="32"/>
          <w:szCs w:val="32"/>
          <w:highlight w:val="none"/>
          <w:lang w:eastAsia="zh-CN"/>
        </w:rPr>
        <w:t>和自然资源</w:t>
      </w:r>
      <w:r>
        <w:rPr>
          <w:rFonts w:hint="eastAsia" w:ascii="仿宋_GB2312" w:hAnsi="仿宋_GB2312" w:eastAsia="仿宋_GB2312" w:cs="仿宋_GB2312"/>
          <w:color w:val="000000"/>
          <w:sz w:val="32"/>
          <w:szCs w:val="32"/>
          <w:highlight w:val="none"/>
        </w:rPr>
        <w:t>、交通运输、教育等相关部门，落实安居型商品房的配套设施建设，坚持交通、教育等市政和公共服务配套设施与新建安居型商品房同步规划、同步建设、同步交付使用。</w:t>
      </w:r>
    </w:p>
    <w:p>
      <w:pPr>
        <w:spacing w:line="560" w:lineRule="exact"/>
        <w:ind w:firstLine="640" w:firstLineChars="200"/>
        <w:outlineLvl w:val="2"/>
        <w:rPr>
          <w:rFonts w:ascii="仿宋_GB2312" w:hAnsi="仿宋_GB2312" w:eastAsia="仿宋_GB2312" w:cs="仿宋_GB2312"/>
          <w:color w:val="000000"/>
          <w:sz w:val="32"/>
          <w:szCs w:val="32"/>
          <w:highlight w:val="none"/>
        </w:rPr>
      </w:pPr>
      <w:bookmarkStart w:id="198" w:name="_Toc520234214"/>
      <w:bookmarkStart w:id="199" w:name="_Toc24170"/>
      <w:bookmarkStart w:id="200" w:name="_Toc14074"/>
      <w:bookmarkStart w:id="201" w:name="_Toc27107"/>
      <w:bookmarkStart w:id="202" w:name="_Toc2099"/>
      <w:bookmarkStart w:id="203" w:name="_Toc13487"/>
      <w:bookmarkStart w:id="204" w:name="_Toc7341"/>
      <w:bookmarkStart w:id="205" w:name="_Toc12901"/>
      <w:bookmarkStart w:id="206" w:name="_Toc7005"/>
      <w:bookmarkStart w:id="207" w:name="_Toc523428816"/>
      <w:r>
        <w:rPr>
          <w:rFonts w:hint="eastAsia" w:ascii="黑体" w:hAnsi="黑体" w:eastAsia="黑体"/>
          <w:bCs/>
          <w:color w:val="000000"/>
          <w:sz w:val="32"/>
          <w:szCs w:val="32"/>
          <w:highlight w:val="none"/>
        </w:rPr>
        <w:t>第二十</w:t>
      </w:r>
      <w:r>
        <w:rPr>
          <w:rFonts w:hint="eastAsia" w:ascii="黑体" w:hAnsi="黑体" w:eastAsia="黑体"/>
          <w:bCs/>
          <w:color w:val="000000"/>
          <w:sz w:val="32"/>
          <w:szCs w:val="32"/>
          <w:highlight w:val="none"/>
          <w:lang w:eastAsia="zh-CN"/>
        </w:rPr>
        <w:t>五</w:t>
      </w:r>
      <w:r>
        <w:rPr>
          <w:rFonts w:hint="eastAsia" w:ascii="黑体" w:hAnsi="黑体" w:eastAsia="黑体"/>
          <w:bCs/>
          <w:color w:val="000000"/>
          <w:sz w:val="32"/>
          <w:szCs w:val="32"/>
          <w:highlight w:val="none"/>
        </w:rPr>
        <w:t>条</w:t>
      </w:r>
      <w:bookmarkEnd w:id="198"/>
      <w:bookmarkStart w:id="208" w:name="_Toc520234215"/>
      <w:r>
        <w:rPr>
          <w:rFonts w:hint="eastAsia" w:ascii="黑体" w:hAnsi="黑体" w:eastAsia="黑体"/>
          <w:bCs/>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建设单位应当按照</w:t>
      </w:r>
      <w:r>
        <w:rPr>
          <w:rFonts w:hint="eastAsia" w:ascii="仿宋_GB2312" w:hAnsi="仿宋_GB2312" w:eastAsia="仿宋_GB2312" w:cs="仿宋_GB2312"/>
          <w:color w:val="000000"/>
          <w:sz w:val="32"/>
          <w:szCs w:val="32"/>
          <w:highlight w:val="none"/>
          <w:lang w:eastAsia="zh-CN"/>
        </w:rPr>
        <w:t>土地使用权出让合同、</w:t>
      </w:r>
      <w:r>
        <w:rPr>
          <w:rFonts w:hint="eastAsia" w:ascii="仿宋_GB2312" w:hAnsi="仿宋_GB2312" w:eastAsia="仿宋_GB2312" w:cs="仿宋_GB2312"/>
          <w:color w:val="000000"/>
          <w:sz w:val="32"/>
          <w:szCs w:val="32"/>
          <w:highlight w:val="none"/>
        </w:rPr>
        <w:t>建设和管理任务书等相关要求组织建设安居型商品房。</w:t>
      </w:r>
      <w:bookmarkEnd w:id="208"/>
      <w:r>
        <w:rPr>
          <w:rFonts w:hint="eastAsia" w:ascii="仿宋_GB2312" w:hAnsi="仿宋_GB2312" w:eastAsia="仿宋_GB2312" w:cs="仿宋_GB2312"/>
          <w:color w:val="000000"/>
          <w:sz w:val="32"/>
          <w:szCs w:val="32"/>
          <w:highlight w:val="none"/>
        </w:rPr>
        <w:t>项目竣工验收前，建设单位应当向主管部门申请核查。</w:t>
      </w:r>
      <w:bookmarkEnd w:id="199"/>
      <w:bookmarkEnd w:id="200"/>
      <w:bookmarkEnd w:id="201"/>
      <w:bookmarkEnd w:id="202"/>
      <w:bookmarkEnd w:id="203"/>
      <w:bookmarkEnd w:id="204"/>
      <w:bookmarkEnd w:id="205"/>
      <w:bookmarkEnd w:id="206"/>
      <w:bookmarkEnd w:id="207"/>
      <w:r>
        <w:rPr>
          <w:rFonts w:hint="eastAsia" w:ascii="仿宋_GB2312" w:hAnsi="仿宋_GB2312" w:eastAsia="仿宋_GB2312" w:cs="仿宋_GB2312"/>
          <w:color w:val="000000"/>
          <w:sz w:val="32"/>
          <w:szCs w:val="32"/>
          <w:highlight w:val="none"/>
        </w:rPr>
        <w:t>主管部门根据建设和管理任务书及有关要求，对户型面积、</w:t>
      </w:r>
      <w:r>
        <w:rPr>
          <w:rFonts w:hint="eastAsia" w:ascii="仿宋_GB2312" w:hAnsi="仿宋_GB2312" w:eastAsia="仿宋_GB2312" w:cs="仿宋_GB2312"/>
          <w:color w:val="000000"/>
          <w:sz w:val="32"/>
          <w:szCs w:val="32"/>
          <w:highlight w:val="none"/>
          <w:lang w:eastAsia="zh-CN"/>
        </w:rPr>
        <w:t>建造要求</w:t>
      </w:r>
      <w:r>
        <w:rPr>
          <w:rFonts w:hint="eastAsia" w:ascii="仿宋_GB2312" w:hAnsi="仿宋_GB2312" w:eastAsia="仿宋_GB2312" w:cs="仿宋_GB2312"/>
          <w:color w:val="000000"/>
          <w:sz w:val="32"/>
          <w:szCs w:val="32"/>
          <w:highlight w:val="none"/>
        </w:rPr>
        <w:t>、装修标准等进行核查并出具核查结果。对不符合</w:t>
      </w:r>
      <w:r>
        <w:rPr>
          <w:rFonts w:hint="eastAsia" w:ascii="仿宋_GB2312" w:hAnsi="仿宋_GB2312" w:eastAsia="仿宋_GB2312" w:cs="仿宋_GB2312"/>
          <w:color w:val="000000"/>
          <w:sz w:val="32"/>
          <w:szCs w:val="32"/>
          <w:highlight w:val="none"/>
          <w:lang w:eastAsia="zh-CN"/>
        </w:rPr>
        <w:t>有关</w:t>
      </w:r>
      <w:r>
        <w:rPr>
          <w:rFonts w:hint="eastAsia" w:ascii="仿宋_GB2312" w:hAnsi="仿宋_GB2312" w:eastAsia="仿宋_GB2312" w:cs="仿宋_GB2312"/>
          <w:color w:val="000000"/>
          <w:sz w:val="32"/>
          <w:szCs w:val="32"/>
          <w:highlight w:val="none"/>
        </w:rPr>
        <w:t>要求的，主管部门应当责令其限期</w:t>
      </w:r>
      <w:r>
        <w:rPr>
          <w:rFonts w:hint="eastAsia" w:ascii="仿宋_GB2312" w:hAnsi="仿宋_GB2312" w:eastAsia="仿宋_GB2312" w:cs="仿宋_GB2312"/>
          <w:color w:val="000000"/>
          <w:sz w:val="32"/>
          <w:szCs w:val="32"/>
          <w:highlight w:val="none"/>
          <w:lang w:eastAsia="zh-CN"/>
        </w:rPr>
        <w:t>改正</w:t>
      </w:r>
      <w:r>
        <w:rPr>
          <w:rFonts w:hint="eastAsia" w:ascii="仿宋_GB2312" w:hAnsi="仿宋_GB2312" w:eastAsia="仿宋_GB2312" w:cs="仿宋_GB2312"/>
          <w:color w:val="000000"/>
          <w:sz w:val="32"/>
          <w:szCs w:val="32"/>
          <w:highlight w:val="none"/>
        </w:rPr>
        <w:t>。</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未经主管部门核查或者核查不符合要求的，有关部门不得办理该项目竣工验收备案。</w:t>
      </w:r>
    </w:p>
    <w:p>
      <w:pPr>
        <w:spacing w:beforeLines="50" w:afterLines="50" w:line="560" w:lineRule="exact"/>
        <w:jc w:val="center"/>
        <w:outlineLvl w:val="1"/>
        <w:rPr>
          <w:rFonts w:hint="eastAsia" w:ascii="黑体" w:hAnsi="黑体" w:eastAsia="黑体"/>
          <w:bCs/>
          <w:color w:val="auto"/>
          <w:sz w:val="32"/>
          <w:szCs w:val="32"/>
          <w:highlight w:val="none"/>
          <w:lang w:val="en-US" w:eastAsia="zh-CN"/>
        </w:rPr>
      </w:pPr>
      <w:r>
        <w:rPr>
          <w:rFonts w:hint="eastAsia" w:ascii="黑体" w:hAnsi="黑体" w:eastAsia="黑体"/>
          <w:bCs/>
          <w:color w:val="auto"/>
          <w:sz w:val="32"/>
          <w:szCs w:val="32"/>
          <w:highlight w:val="none"/>
        </w:rPr>
        <w:t xml:space="preserve">第三章 </w:t>
      </w:r>
      <w:bookmarkEnd w:id="73"/>
      <w:bookmarkEnd w:id="74"/>
      <w:bookmarkEnd w:id="75"/>
      <w:bookmarkEnd w:id="76"/>
      <w:bookmarkEnd w:id="77"/>
      <w:bookmarkEnd w:id="78"/>
      <w:bookmarkEnd w:id="79"/>
      <w:bookmarkEnd w:id="80"/>
      <w:bookmarkEnd w:id="81"/>
      <w:bookmarkEnd w:id="82"/>
      <w:bookmarkEnd w:id="83"/>
      <w:r>
        <w:rPr>
          <w:rFonts w:hint="eastAsia" w:ascii="黑体" w:hAnsi="黑体" w:eastAsia="黑体"/>
          <w:bCs/>
          <w:color w:val="auto"/>
          <w:sz w:val="32"/>
          <w:szCs w:val="32"/>
          <w:highlight w:val="none"/>
          <w:lang w:val="en-US" w:eastAsia="zh-CN"/>
        </w:rPr>
        <w:t>分配</w:t>
      </w:r>
    </w:p>
    <w:p>
      <w:pPr>
        <w:tabs>
          <w:tab w:val="left" w:pos="6090"/>
        </w:tabs>
        <w:spacing w:line="560" w:lineRule="exact"/>
        <w:ind w:firstLine="640" w:firstLineChars="200"/>
        <w:outlineLvl w:val="2"/>
        <w:rPr>
          <w:rFonts w:hint="eastAsia" w:ascii="仿宋_GB2312" w:hAnsi="仿宋_GB2312" w:eastAsia="仿宋_GB2312" w:cs="仿宋_GB2312"/>
          <w:bCs w:val="0"/>
          <w:color w:val="auto"/>
          <w:sz w:val="32"/>
          <w:szCs w:val="32"/>
          <w:highlight w:val="none"/>
        </w:rPr>
      </w:pPr>
      <w:bookmarkStart w:id="209" w:name="_Toc5777_WPSOffice_Level2"/>
      <w:r>
        <w:rPr>
          <w:rFonts w:hint="eastAsia" w:ascii="黑体" w:hAnsi="黑体" w:eastAsia="黑体"/>
          <w:bCs/>
          <w:color w:val="000000"/>
          <w:sz w:val="32"/>
          <w:szCs w:val="32"/>
          <w:highlight w:val="none"/>
        </w:rPr>
        <w:t>第</w:t>
      </w:r>
      <w:r>
        <w:rPr>
          <w:rFonts w:hint="eastAsia" w:ascii="黑体" w:hAnsi="黑体" w:eastAsia="黑体"/>
          <w:bCs/>
          <w:color w:val="000000"/>
          <w:sz w:val="32"/>
          <w:szCs w:val="32"/>
          <w:highlight w:val="none"/>
          <w:lang w:val="en-US" w:eastAsia="zh-CN"/>
        </w:rPr>
        <w:t>二十六</w:t>
      </w:r>
      <w:r>
        <w:rPr>
          <w:rFonts w:hint="eastAsia" w:ascii="黑体" w:hAnsi="黑体" w:eastAsia="黑体"/>
          <w:bCs/>
          <w:color w:val="000000"/>
          <w:sz w:val="32"/>
          <w:szCs w:val="32"/>
          <w:highlight w:val="none"/>
        </w:rPr>
        <w:t>条</w:t>
      </w:r>
      <w:r>
        <w:rPr>
          <w:rFonts w:hint="eastAsia" w:ascii="黑体" w:hAnsi="黑体" w:eastAsia="黑体"/>
          <w:bCs/>
          <w:color w:val="000000"/>
          <w:sz w:val="32"/>
          <w:szCs w:val="32"/>
          <w:highlight w:val="none"/>
          <w:lang w:val="en-US" w:eastAsia="zh-CN"/>
        </w:rPr>
        <w:t xml:space="preserve"> </w:t>
      </w:r>
      <w:r>
        <w:rPr>
          <w:rStyle w:val="12"/>
          <w:rFonts w:hint="eastAsia" w:ascii="仿宋_GB2312" w:hAnsi="仿宋_GB2312" w:eastAsia="仿宋_GB2312" w:cs="仿宋_GB2312"/>
          <w:b w:val="0"/>
          <w:bCs w:val="0"/>
          <w:color w:val="auto"/>
          <w:sz w:val="32"/>
          <w:szCs w:val="32"/>
          <w:highlight w:val="none"/>
          <w:lang w:val="en-US" w:eastAsia="zh-CN"/>
        </w:rPr>
        <w:t>安居型商品房</w:t>
      </w:r>
      <w:r>
        <w:rPr>
          <w:rStyle w:val="12"/>
          <w:rFonts w:hint="eastAsia" w:ascii="仿宋_GB2312" w:hAnsi="仿宋_GB2312" w:eastAsia="仿宋_GB2312" w:cs="仿宋_GB2312"/>
          <w:b w:val="0"/>
          <w:bCs w:val="0"/>
          <w:color w:val="auto"/>
          <w:sz w:val="32"/>
          <w:szCs w:val="32"/>
          <w:highlight w:val="none"/>
        </w:rPr>
        <w:t>的分配</w:t>
      </w:r>
      <w:r>
        <w:rPr>
          <w:rFonts w:hint="eastAsia" w:ascii="仿宋_GB2312" w:hAnsi="仿宋_GB2312" w:eastAsia="仿宋_GB2312" w:cs="仿宋_GB2312"/>
          <w:bCs w:val="0"/>
          <w:color w:val="000000"/>
          <w:sz w:val="32"/>
          <w:szCs w:val="32"/>
          <w:highlight w:val="none"/>
        </w:rPr>
        <w:t>由主管部门负责组织实施。</w:t>
      </w:r>
    </w:p>
    <w:p>
      <w:pPr>
        <w:spacing w:line="560" w:lineRule="exact"/>
        <w:ind w:firstLine="640" w:firstLineChars="0"/>
        <w:outlineLvl w:val="9"/>
        <w:rPr>
          <w:rFonts w:hint="eastAsia" w:ascii="仿宋_GB2312" w:hAnsi="仿宋_GB2312" w:eastAsia="仿宋_GB2312" w:cs="仿宋_GB2312"/>
          <w:bCs w:val="0"/>
          <w:color w:val="auto"/>
          <w:sz w:val="32"/>
          <w:szCs w:val="32"/>
          <w:highlight w:val="none"/>
        </w:rPr>
      </w:pPr>
      <w:r>
        <w:rPr>
          <w:rFonts w:ascii="黑体" w:hAnsi="黑体" w:eastAsia="黑体"/>
          <w:color w:val="auto"/>
          <w:sz w:val="32"/>
          <w:szCs w:val="32"/>
          <w:highlight w:val="none"/>
        </w:rPr>
        <w:t>第二十</w:t>
      </w:r>
      <w:r>
        <w:rPr>
          <w:rFonts w:hint="eastAsia" w:ascii="黑体" w:hAnsi="黑体" w:eastAsia="黑体"/>
          <w:color w:val="auto"/>
          <w:sz w:val="32"/>
          <w:szCs w:val="32"/>
          <w:highlight w:val="none"/>
          <w:lang w:eastAsia="zh-CN"/>
        </w:rPr>
        <w:t>七</w:t>
      </w:r>
      <w:r>
        <w:rPr>
          <w:rFonts w:ascii="黑体" w:hAnsi="黑体" w:eastAsia="黑体"/>
          <w:color w:val="auto"/>
          <w:sz w:val="32"/>
          <w:szCs w:val="32"/>
          <w:highlight w:val="none"/>
        </w:rPr>
        <w:t>条</w:t>
      </w:r>
      <w:r>
        <w:rPr>
          <w:rFonts w:hint="eastAsia" w:ascii="黑体" w:hAnsi="黑体" w:eastAsia="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shd w:val="clear" w:color="auto" w:fill="auto"/>
        </w:rPr>
        <w:t>收入线标准、财产限额由</w:t>
      </w:r>
      <w:r>
        <w:rPr>
          <w:rFonts w:hint="eastAsia" w:ascii="仿宋_GB2312" w:hAnsi="仿宋_GB2312" w:eastAsia="仿宋_GB2312" w:cs="仿宋_GB2312"/>
          <w:color w:val="auto"/>
          <w:sz w:val="32"/>
          <w:szCs w:val="32"/>
          <w:highlight w:val="none"/>
        </w:rPr>
        <w:t>市发展改革部门会同市主管部门</w:t>
      </w:r>
      <w:r>
        <w:rPr>
          <w:rFonts w:hint="eastAsia" w:ascii="仿宋_GB2312" w:hAnsi="仿宋_GB2312" w:eastAsia="仿宋_GB2312" w:cs="仿宋_GB2312"/>
          <w:color w:val="auto"/>
          <w:sz w:val="32"/>
          <w:szCs w:val="32"/>
          <w:highlight w:val="none"/>
          <w:shd w:val="clear" w:color="auto" w:fill="auto"/>
        </w:rPr>
        <w:t>等相关部门</w:t>
      </w:r>
      <w:r>
        <w:rPr>
          <w:rFonts w:hint="eastAsia" w:ascii="仿宋_GB2312" w:hAnsi="仿宋_GB2312" w:eastAsia="仿宋_GB2312" w:cs="仿宋_GB2312"/>
          <w:color w:val="auto"/>
          <w:sz w:val="32"/>
          <w:szCs w:val="32"/>
          <w:highlight w:val="none"/>
        </w:rPr>
        <w:t>，根据本市居民收入水平、家庭财产状况、住房状况以及政府财政承受能力、住房市场发展状况等因素</w:t>
      </w:r>
      <w:r>
        <w:rPr>
          <w:rFonts w:hint="eastAsia" w:ascii="仿宋_GB2312" w:hAnsi="仿宋_GB2312" w:eastAsia="仿宋_GB2312" w:cs="仿宋_GB2312"/>
          <w:color w:val="auto"/>
          <w:sz w:val="32"/>
          <w:szCs w:val="32"/>
          <w:highlight w:val="none"/>
          <w:shd w:val="clear" w:color="auto" w:fill="auto"/>
        </w:rPr>
        <w:t>划定</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shd w:val="clear" w:color="auto" w:fill="auto"/>
        </w:rPr>
        <w:t>报市人民政府批准后公布执行</w:t>
      </w:r>
      <w:r>
        <w:rPr>
          <w:rFonts w:hint="eastAsia" w:ascii="仿宋_GB2312" w:hAnsi="仿宋_GB2312" w:eastAsia="仿宋_GB2312" w:cs="仿宋_GB2312"/>
          <w:color w:val="auto"/>
          <w:sz w:val="32"/>
          <w:szCs w:val="32"/>
          <w:highlight w:val="none"/>
        </w:rPr>
        <w:t>，并实施动态调整。</w:t>
      </w:r>
    </w:p>
    <w:p>
      <w:pPr>
        <w:tabs>
          <w:tab w:val="left" w:pos="6090"/>
        </w:tabs>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黑体" w:hAnsi="黑体" w:eastAsia="黑体"/>
          <w:bCs/>
          <w:color w:val="auto"/>
          <w:sz w:val="32"/>
          <w:szCs w:val="32"/>
          <w:highlight w:val="none"/>
        </w:rPr>
        <w:t>第二十</w:t>
      </w:r>
      <w:r>
        <w:rPr>
          <w:rFonts w:hint="eastAsia" w:ascii="黑体" w:hAnsi="黑体" w:eastAsia="黑体"/>
          <w:bCs/>
          <w:color w:val="auto"/>
          <w:sz w:val="32"/>
          <w:szCs w:val="32"/>
          <w:highlight w:val="none"/>
          <w:lang w:eastAsia="zh-CN"/>
        </w:rPr>
        <w:t>八</w:t>
      </w:r>
      <w:r>
        <w:rPr>
          <w:rFonts w:hint="eastAsia" w:ascii="黑体" w:hAnsi="黑体" w:eastAsia="黑体"/>
          <w:bCs/>
          <w:color w:val="auto"/>
          <w:sz w:val="32"/>
          <w:szCs w:val="32"/>
          <w:highlight w:val="none"/>
        </w:rPr>
        <w:t>条</w:t>
      </w:r>
      <w:bookmarkEnd w:id="209"/>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安居型商品房的租金、售价为</w:t>
      </w:r>
      <w:r>
        <w:rPr>
          <w:rFonts w:ascii="仿宋_GB2312" w:hAnsi="仿宋_GB2312" w:eastAsia="仿宋_GB2312" w:cs="仿宋_GB2312"/>
          <w:color w:val="auto"/>
          <w:sz w:val="32"/>
          <w:szCs w:val="32"/>
          <w:highlight w:val="none"/>
        </w:rPr>
        <w:t>届时</w:t>
      </w:r>
      <w:r>
        <w:rPr>
          <w:rFonts w:hint="eastAsia" w:ascii="仿宋_GB2312" w:hAnsi="仿宋_GB2312" w:eastAsia="仿宋_GB2312" w:cs="仿宋_GB2312"/>
          <w:color w:val="auto"/>
          <w:sz w:val="32"/>
          <w:szCs w:val="32"/>
          <w:highlight w:val="none"/>
        </w:rPr>
        <w:t>同区域同类型市场商品住房租金、售价的50%左右。市主管部门负责委托专业机构定期评估市场商品住房租金、售价。</w:t>
      </w:r>
    </w:p>
    <w:p>
      <w:pPr>
        <w:tabs>
          <w:tab w:val="left" w:pos="6090"/>
        </w:tabs>
        <w:spacing w:line="560" w:lineRule="exact"/>
        <w:ind w:firstLine="640" w:firstLineChars="200"/>
        <w:outlineLvl w:val="2"/>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市发展改革部门会同市主管部门，根据本市居民经济承受能力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经济社会发展状况、物价变动水平以及房地产市场发展状况，对安居型商品房的租售价格进行适时调整，</w:t>
      </w:r>
      <w:r>
        <w:rPr>
          <w:rFonts w:hint="eastAsia" w:ascii="仿宋_GB2312" w:hAnsi="仿宋_GB2312" w:eastAsia="仿宋_GB2312" w:cs="仿宋_GB2312"/>
          <w:color w:val="auto"/>
          <w:sz w:val="32"/>
          <w:szCs w:val="32"/>
          <w:highlight w:val="none"/>
          <w:lang w:eastAsia="zh-CN"/>
        </w:rPr>
        <w:t>报</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eastAsia="zh-CN"/>
        </w:rPr>
        <w:t>人民</w:t>
      </w:r>
      <w:r>
        <w:rPr>
          <w:rFonts w:hint="eastAsia" w:ascii="仿宋_GB2312" w:hAnsi="仿宋_GB2312" w:eastAsia="仿宋_GB2312" w:cs="仿宋_GB2312"/>
          <w:color w:val="auto"/>
          <w:sz w:val="32"/>
          <w:szCs w:val="32"/>
          <w:highlight w:val="none"/>
        </w:rPr>
        <w:t>政府批准后公布执行。</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000000"/>
          <w:sz w:val="32"/>
          <w:szCs w:val="32"/>
          <w:highlight w:val="none"/>
        </w:rPr>
        <w:t>市发展改革部门</w:t>
      </w:r>
      <w:r>
        <w:rPr>
          <w:rFonts w:hint="eastAsia" w:ascii="仿宋_GB2312" w:hAnsi="仿宋_GB2312" w:eastAsia="仿宋_GB2312" w:cs="仿宋_GB2312"/>
          <w:b w:val="0"/>
          <w:bCs w:val="0"/>
          <w:color w:val="auto"/>
          <w:sz w:val="32"/>
          <w:szCs w:val="32"/>
          <w:highlight w:val="none"/>
        </w:rPr>
        <w:t>会同市</w:t>
      </w:r>
      <w:r>
        <w:rPr>
          <w:rFonts w:hint="eastAsia" w:ascii="仿宋_GB2312" w:hAnsi="仿宋_GB2312" w:eastAsia="仿宋_GB2312" w:cs="仿宋_GB2312"/>
          <w:b w:val="0"/>
          <w:bCs w:val="0"/>
          <w:color w:val="auto"/>
          <w:sz w:val="32"/>
          <w:szCs w:val="32"/>
          <w:highlight w:val="none"/>
          <w:lang w:eastAsia="zh-CN"/>
        </w:rPr>
        <w:t>主管</w:t>
      </w:r>
      <w:r>
        <w:rPr>
          <w:rFonts w:hint="eastAsia" w:ascii="仿宋_GB2312" w:hAnsi="仿宋_GB2312" w:eastAsia="仿宋_GB2312" w:cs="仿宋_GB2312"/>
          <w:b w:val="0"/>
          <w:bCs w:val="0"/>
          <w:color w:val="auto"/>
          <w:sz w:val="32"/>
          <w:szCs w:val="32"/>
          <w:highlight w:val="none"/>
        </w:rPr>
        <w:t>部门拟定全市安居型商品房年度租金定价方案，</w:t>
      </w:r>
      <w:r>
        <w:rPr>
          <w:rFonts w:hint="eastAsia" w:ascii="仿宋_GB2312" w:hAnsi="仿宋_GB2312" w:eastAsia="仿宋_GB2312" w:cs="仿宋_GB2312"/>
          <w:color w:val="auto"/>
          <w:sz w:val="32"/>
          <w:szCs w:val="32"/>
          <w:highlight w:val="none"/>
          <w:lang w:eastAsia="zh-CN"/>
        </w:rPr>
        <w:t>报</w:t>
      </w:r>
      <w:r>
        <w:rPr>
          <w:rFonts w:hint="eastAsia" w:ascii="仿宋_GB2312" w:hAnsi="仿宋_GB2312" w:eastAsia="仿宋_GB2312" w:cs="仿宋_GB2312"/>
          <w:b w:val="0"/>
          <w:bCs w:val="0"/>
          <w:color w:val="auto"/>
          <w:sz w:val="32"/>
          <w:szCs w:val="32"/>
          <w:highlight w:val="none"/>
        </w:rPr>
        <w:t>市</w:t>
      </w:r>
      <w:r>
        <w:rPr>
          <w:rFonts w:hint="eastAsia" w:ascii="仿宋_GB2312" w:hAnsi="仿宋_GB2312" w:eastAsia="仿宋_GB2312" w:cs="仿宋_GB2312"/>
          <w:b w:val="0"/>
          <w:bCs w:val="0"/>
          <w:color w:val="auto"/>
          <w:sz w:val="32"/>
          <w:szCs w:val="32"/>
          <w:highlight w:val="none"/>
          <w:lang w:eastAsia="zh-CN"/>
        </w:rPr>
        <w:t>人民</w:t>
      </w:r>
      <w:r>
        <w:rPr>
          <w:rFonts w:hint="eastAsia" w:ascii="仿宋_GB2312" w:hAnsi="仿宋_GB2312" w:eastAsia="仿宋_GB2312" w:cs="仿宋_GB2312"/>
          <w:b w:val="0"/>
          <w:bCs w:val="0"/>
          <w:color w:val="auto"/>
          <w:sz w:val="32"/>
          <w:szCs w:val="32"/>
          <w:highlight w:val="none"/>
        </w:rPr>
        <w:t>政府批准后公布执行。市主管部门负责按照租金定价方案开展年度具体安居型商品房项目的租金定价工作。</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市发展改革部门会同市主管部门拟定安居型商品房项目的基准销售价格，</w:t>
      </w:r>
      <w:r>
        <w:rPr>
          <w:rFonts w:hint="eastAsia" w:ascii="仿宋_GB2312" w:hAnsi="仿宋_GB2312" w:eastAsia="仿宋_GB2312" w:cs="仿宋_GB2312"/>
          <w:color w:val="auto"/>
          <w:sz w:val="32"/>
          <w:szCs w:val="32"/>
          <w:highlight w:val="none"/>
          <w:lang w:eastAsia="zh-CN"/>
        </w:rPr>
        <w:t>报</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eastAsia="zh-CN"/>
        </w:rPr>
        <w:t>人民</w:t>
      </w:r>
      <w:r>
        <w:rPr>
          <w:rFonts w:hint="eastAsia" w:ascii="仿宋_GB2312" w:hAnsi="仿宋_GB2312" w:eastAsia="仿宋_GB2312" w:cs="仿宋_GB2312"/>
          <w:color w:val="auto"/>
          <w:sz w:val="32"/>
          <w:szCs w:val="32"/>
          <w:highlight w:val="none"/>
        </w:rPr>
        <w:t>政府批准后公布执行。建设单位根据基准销售价格，结合楼层、朝向等因素拟定单套安居型商品房售价，报市发展改革部门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市主管部门备案后实施。</w:t>
      </w:r>
    </w:p>
    <w:p>
      <w:pPr>
        <w:spacing w:line="560" w:lineRule="exact"/>
        <w:ind w:firstLine="640" w:firstLineChars="200"/>
        <w:outlineLvl w:val="9"/>
        <w:rPr>
          <w:rFonts w:ascii="仿宋_GB2312" w:hAnsi="仿宋_GB2312" w:eastAsia="仿宋_GB2312" w:cs="仿宋_GB2312"/>
          <w:color w:val="auto"/>
          <w:sz w:val="32"/>
          <w:szCs w:val="32"/>
          <w:highlight w:val="none"/>
        </w:rPr>
      </w:pPr>
      <w:bookmarkStart w:id="210" w:name="_Toc3539"/>
      <w:r>
        <w:rPr>
          <w:rFonts w:hint="eastAsia" w:ascii="黑体" w:hAnsi="黑体" w:eastAsia="黑体"/>
          <w:bCs/>
          <w:color w:val="auto"/>
          <w:sz w:val="32"/>
          <w:szCs w:val="32"/>
          <w:highlight w:val="none"/>
        </w:rPr>
        <w:t>第二十</w:t>
      </w:r>
      <w:r>
        <w:rPr>
          <w:rFonts w:hint="eastAsia" w:ascii="黑体" w:hAnsi="黑体" w:eastAsia="黑体"/>
          <w:bCs/>
          <w:color w:val="auto"/>
          <w:sz w:val="32"/>
          <w:szCs w:val="32"/>
          <w:highlight w:val="none"/>
          <w:lang w:eastAsia="zh-CN"/>
        </w:rPr>
        <w:t>九</w:t>
      </w:r>
      <w:r>
        <w:rPr>
          <w:rFonts w:hint="eastAsia" w:ascii="黑体" w:hAnsi="黑体" w:eastAsia="黑体"/>
          <w:bCs/>
          <w:color w:val="auto"/>
          <w:sz w:val="32"/>
          <w:szCs w:val="32"/>
          <w:highlight w:val="none"/>
        </w:rPr>
        <w:t>条</w:t>
      </w:r>
      <w:bookmarkEnd w:id="210"/>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安居型商品房配租配售面积按照以下原则确定：</w:t>
      </w:r>
    </w:p>
    <w:p>
      <w:pPr>
        <w:spacing w:line="560" w:lineRule="exact"/>
        <w:ind w:firstLine="640" w:firstLineChars="200"/>
        <w:outlineLvl w:val="2"/>
        <w:rPr>
          <w:rFonts w:ascii="仿宋_GB2312" w:hAnsi="仿宋_GB2312" w:eastAsia="仿宋_GB2312" w:cs="仿宋_GB2312"/>
          <w:color w:val="auto"/>
          <w:sz w:val="32"/>
          <w:szCs w:val="32"/>
          <w:highlight w:val="none"/>
        </w:rPr>
      </w:pPr>
      <w:bookmarkStart w:id="211" w:name="_Toc11727"/>
      <w:r>
        <w:rPr>
          <w:rFonts w:hint="eastAsia" w:ascii="仿宋_GB2312" w:hAnsi="仿宋_GB2312" w:eastAsia="仿宋_GB2312" w:cs="仿宋_GB2312"/>
          <w:color w:val="auto"/>
          <w:sz w:val="32"/>
          <w:szCs w:val="32"/>
          <w:highlight w:val="none"/>
        </w:rPr>
        <w:t>（一）单身居民、</w:t>
      </w:r>
      <w:r>
        <w:rPr>
          <w:rFonts w:hint="eastAsia" w:ascii="仿宋_GB2312" w:hAnsi="仿宋_GB2312" w:eastAsia="仿宋_GB2312" w:cs="仿宋_GB2312"/>
          <w:color w:val="auto"/>
          <w:sz w:val="32"/>
          <w:szCs w:val="32"/>
          <w:highlight w:val="none"/>
          <w:lang w:eastAsia="zh-CN"/>
        </w:rPr>
        <w:t>两</w:t>
      </w:r>
      <w:r>
        <w:rPr>
          <w:rFonts w:ascii="仿宋_GB2312" w:hAnsi="仿宋_GB2312" w:eastAsia="仿宋_GB2312" w:cs="仿宋_GB2312"/>
          <w:color w:val="auto"/>
          <w:sz w:val="32"/>
          <w:szCs w:val="32"/>
          <w:highlight w:val="none"/>
        </w:rPr>
        <w:t>至</w:t>
      </w:r>
      <w:r>
        <w:rPr>
          <w:rFonts w:hint="eastAsia" w:ascii="仿宋_GB2312" w:hAnsi="仿宋_GB2312" w:eastAsia="仿宋_GB2312" w:cs="仿宋_GB2312"/>
          <w:color w:val="auto"/>
          <w:sz w:val="32"/>
          <w:szCs w:val="32"/>
          <w:highlight w:val="none"/>
          <w:lang w:eastAsia="zh-CN"/>
        </w:rPr>
        <w:t>三</w:t>
      </w:r>
      <w:r>
        <w:rPr>
          <w:rFonts w:ascii="仿宋_GB2312" w:hAnsi="仿宋_GB2312" w:eastAsia="仿宋_GB2312" w:cs="仿宋_GB2312"/>
          <w:color w:val="auto"/>
          <w:sz w:val="32"/>
          <w:szCs w:val="32"/>
          <w:highlight w:val="none"/>
        </w:rPr>
        <w:t>人家庭</w:t>
      </w:r>
      <w:r>
        <w:rPr>
          <w:rFonts w:hint="eastAsia" w:ascii="仿宋_GB2312" w:hAnsi="仿宋_GB2312" w:eastAsia="仿宋_GB2312" w:cs="仿宋_GB2312"/>
          <w:color w:val="auto"/>
          <w:sz w:val="32"/>
          <w:szCs w:val="32"/>
          <w:highlight w:val="none"/>
        </w:rPr>
        <w:t>配租配售</w:t>
      </w:r>
      <w:r>
        <w:rPr>
          <w:rFonts w:ascii="仿宋_GB2312" w:hAnsi="仿宋_GB2312" w:eastAsia="仿宋_GB2312" w:cs="仿宋_GB2312"/>
          <w:color w:val="auto"/>
          <w:sz w:val="32"/>
          <w:szCs w:val="32"/>
          <w:highlight w:val="none"/>
        </w:rPr>
        <w:t>建筑面积标准为</w:t>
      </w:r>
      <w:r>
        <w:rPr>
          <w:rFonts w:hint="eastAsia" w:ascii="仿宋_GB2312" w:hAnsi="仿宋_GB2312" w:eastAsia="仿宋_GB2312" w:cs="仿宋_GB2312"/>
          <w:color w:val="auto"/>
          <w:sz w:val="32"/>
          <w:szCs w:val="32"/>
          <w:highlight w:val="none"/>
        </w:rPr>
        <w:t>65</w:t>
      </w:r>
      <w:r>
        <w:rPr>
          <w:rFonts w:ascii="仿宋_GB2312" w:hAnsi="仿宋_GB2312" w:eastAsia="仿宋_GB2312" w:cs="仿宋_GB2312"/>
          <w:color w:val="auto"/>
          <w:sz w:val="32"/>
          <w:szCs w:val="32"/>
          <w:highlight w:val="none"/>
        </w:rPr>
        <w:t>平方米</w:t>
      </w:r>
      <w:r>
        <w:rPr>
          <w:rFonts w:hint="eastAsia" w:ascii="仿宋_GB2312" w:hAnsi="仿宋_GB2312" w:eastAsia="仿宋_GB2312" w:cs="仿宋_GB2312"/>
          <w:color w:val="auto"/>
          <w:sz w:val="32"/>
          <w:szCs w:val="32"/>
          <w:highlight w:val="none"/>
        </w:rPr>
        <w:t>左右</w:t>
      </w:r>
      <w:r>
        <w:rPr>
          <w:rFonts w:ascii="仿宋_GB2312" w:hAnsi="仿宋_GB2312" w:eastAsia="仿宋_GB2312" w:cs="仿宋_GB2312"/>
          <w:color w:val="auto"/>
          <w:sz w:val="32"/>
          <w:szCs w:val="32"/>
          <w:highlight w:val="none"/>
        </w:rPr>
        <w:t>；</w:t>
      </w:r>
      <w:bookmarkEnd w:id="211"/>
    </w:p>
    <w:p>
      <w:pPr>
        <w:spacing w:line="560" w:lineRule="exact"/>
        <w:ind w:firstLine="640" w:firstLineChars="200"/>
        <w:outlineLvl w:val="2"/>
        <w:rPr>
          <w:rFonts w:ascii="仿宋_GB2312" w:hAnsi="仿宋_GB2312" w:eastAsia="仿宋_GB2312" w:cs="仿宋_GB2312"/>
          <w:color w:val="auto"/>
          <w:sz w:val="32"/>
          <w:szCs w:val="32"/>
          <w:highlight w:val="none"/>
        </w:rPr>
      </w:pPr>
      <w:bookmarkStart w:id="212" w:name="_Toc21476"/>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四</w:t>
      </w:r>
      <w:r>
        <w:rPr>
          <w:rFonts w:ascii="仿宋_GB2312" w:hAnsi="仿宋_GB2312" w:eastAsia="仿宋_GB2312" w:cs="仿宋_GB2312"/>
          <w:color w:val="auto"/>
          <w:sz w:val="32"/>
          <w:szCs w:val="32"/>
          <w:highlight w:val="none"/>
        </w:rPr>
        <w:t>人及以上家庭</w:t>
      </w:r>
      <w:r>
        <w:rPr>
          <w:rFonts w:hint="eastAsia" w:ascii="仿宋_GB2312" w:hAnsi="仿宋_GB2312" w:eastAsia="仿宋_GB2312" w:cs="仿宋_GB2312"/>
          <w:color w:val="auto"/>
          <w:sz w:val="32"/>
          <w:szCs w:val="32"/>
          <w:highlight w:val="none"/>
        </w:rPr>
        <w:t>配租配售</w:t>
      </w:r>
      <w:r>
        <w:rPr>
          <w:rFonts w:ascii="仿宋_GB2312" w:hAnsi="仿宋_GB2312" w:eastAsia="仿宋_GB2312" w:cs="仿宋_GB2312"/>
          <w:color w:val="auto"/>
          <w:sz w:val="32"/>
          <w:szCs w:val="32"/>
          <w:highlight w:val="none"/>
        </w:rPr>
        <w:t>建筑面积标准为</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5</w:t>
      </w:r>
      <w:r>
        <w:rPr>
          <w:rFonts w:ascii="仿宋_GB2312" w:hAnsi="仿宋_GB2312" w:eastAsia="仿宋_GB2312" w:cs="仿宋_GB2312"/>
          <w:color w:val="auto"/>
          <w:sz w:val="32"/>
          <w:szCs w:val="32"/>
          <w:highlight w:val="none"/>
        </w:rPr>
        <w:t>平方米</w:t>
      </w:r>
      <w:r>
        <w:rPr>
          <w:rFonts w:hint="eastAsia" w:ascii="仿宋_GB2312" w:hAnsi="仿宋_GB2312" w:eastAsia="仿宋_GB2312" w:cs="仿宋_GB2312"/>
          <w:color w:val="auto"/>
          <w:sz w:val="32"/>
          <w:szCs w:val="32"/>
          <w:highlight w:val="none"/>
        </w:rPr>
        <w:t>左右</w:t>
      </w:r>
      <w:r>
        <w:rPr>
          <w:rFonts w:ascii="仿宋_GB2312" w:hAnsi="仿宋_GB2312" w:eastAsia="仿宋_GB2312" w:cs="仿宋_GB2312"/>
          <w:color w:val="auto"/>
          <w:sz w:val="32"/>
          <w:szCs w:val="32"/>
          <w:highlight w:val="none"/>
        </w:rPr>
        <w:t>。</w:t>
      </w:r>
      <w:bookmarkEnd w:id="212"/>
    </w:p>
    <w:p>
      <w:pPr>
        <w:spacing w:line="560" w:lineRule="exact"/>
        <w:ind w:firstLine="640" w:firstLineChars="200"/>
        <w:outlineLvl w:val="2"/>
        <w:rPr>
          <w:rFonts w:ascii="仿宋_GB2312" w:hAnsi="仿宋_GB2312" w:eastAsia="仿宋_GB2312" w:cs="仿宋_GB2312"/>
          <w:color w:val="auto"/>
          <w:sz w:val="32"/>
          <w:szCs w:val="32"/>
          <w:highlight w:val="none"/>
        </w:rPr>
      </w:pPr>
      <w:bookmarkStart w:id="213" w:name="_Toc10551"/>
      <w:r>
        <w:rPr>
          <w:rFonts w:hint="default" w:ascii="仿宋_GB2312" w:hAnsi="仿宋_GB2312" w:eastAsia="仿宋_GB2312" w:cs="仿宋_GB2312"/>
          <w:color w:val="auto"/>
          <w:sz w:val="32"/>
          <w:szCs w:val="32"/>
          <w:highlight w:val="none"/>
        </w:rPr>
        <w:t>家庭人口数按照</w:t>
      </w:r>
      <w:r>
        <w:rPr>
          <w:rFonts w:hint="eastAsia" w:ascii="仿宋_GB2312" w:hAnsi="仿宋_GB2312" w:eastAsia="仿宋_GB2312" w:cs="仿宋_GB2312"/>
          <w:color w:val="auto"/>
          <w:sz w:val="32"/>
          <w:szCs w:val="32"/>
          <w:highlight w:val="none"/>
          <w:lang w:eastAsia="zh-CN"/>
        </w:rPr>
        <w:t>符合条件的</w:t>
      </w:r>
      <w:r>
        <w:rPr>
          <w:rFonts w:hint="default" w:ascii="仿宋_GB2312" w:hAnsi="仿宋_GB2312" w:eastAsia="仿宋_GB2312" w:cs="仿宋_GB2312"/>
          <w:color w:val="auto"/>
          <w:sz w:val="32"/>
          <w:szCs w:val="32"/>
          <w:highlight w:val="none"/>
        </w:rPr>
        <w:t>申请人、共同申请人的总人数予以确定。</w:t>
      </w:r>
      <w:r>
        <w:rPr>
          <w:rFonts w:hint="eastAsia" w:ascii="仿宋_GB2312" w:hAnsi="仿宋_GB2312" w:eastAsia="仿宋_GB2312" w:cs="仿宋_GB2312"/>
          <w:color w:val="auto"/>
          <w:sz w:val="32"/>
          <w:szCs w:val="32"/>
          <w:highlight w:val="none"/>
        </w:rPr>
        <w:t>申请</w:t>
      </w:r>
      <w:r>
        <w:rPr>
          <w:rFonts w:hint="default"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自愿租购低于其家庭人口数对应建筑面积标准住房</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，低于建筑面积标准的部分不予补偿。</w:t>
      </w:r>
      <w:bookmarkEnd w:id="213"/>
    </w:p>
    <w:p>
      <w:pPr>
        <w:spacing w:line="560" w:lineRule="exact"/>
        <w:ind w:firstLine="640" w:firstLineChars="200"/>
        <w:outlineLvl w:val="2"/>
        <w:rPr>
          <w:rFonts w:ascii="仿宋_GB2312" w:hAnsi="仿宋_GB2312" w:eastAsia="仿宋_GB2312" w:cs="仿宋_GB2312"/>
          <w:color w:val="auto"/>
          <w:sz w:val="32"/>
          <w:szCs w:val="32"/>
          <w:highlight w:val="none"/>
        </w:rPr>
      </w:pPr>
      <w:bookmarkStart w:id="214" w:name="_Toc19154"/>
      <w:bookmarkStart w:id="215" w:name="_Toc31468"/>
      <w:bookmarkStart w:id="216" w:name="_Toc5365"/>
      <w:bookmarkStart w:id="217" w:name="_Toc6457"/>
      <w:bookmarkStart w:id="218" w:name="_Toc7527"/>
      <w:bookmarkStart w:id="219" w:name="_Toc15122"/>
      <w:bookmarkStart w:id="220" w:name="_Toc523428820"/>
      <w:bookmarkStart w:id="221" w:name="_Toc19297_WPSOffice_Level2"/>
      <w:bookmarkStart w:id="222" w:name="_Toc19546"/>
      <w:bookmarkStart w:id="223" w:name="_Toc23752"/>
      <w:r>
        <w:rPr>
          <w:rFonts w:hint="eastAsia" w:ascii="黑体" w:hAnsi="黑体" w:eastAsia="黑体"/>
          <w:bCs/>
          <w:color w:val="auto"/>
          <w:sz w:val="32"/>
          <w:szCs w:val="32"/>
          <w:highlight w:val="none"/>
        </w:rPr>
        <w:t>第</w:t>
      </w:r>
      <w:r>
        <w:rPr>
          <w:rFonts w:hint="eastAsia" w:ascii="黑体" w:hAnsi="黑体" w:eastAsia="黑体"/>
          <w:bCs/>
          <w:color w:val="auto"/>
          <w:sz w:val="32"/>
          <w:szCs w:val="32"/>
          <w:highlight w:val="none"/>
          <w:lang w:eastAsia="zh-CN"/>
        </w:rPr>
        <w:t>三</w:t>
      </w:r>
      <w:r>
        <w:rPr>
          <w:rFonts w:hint="eastAsia" w:ascii="黑体" w:hAnsi="黑体" w:eastAsia="黑体"/>
          <w:bCs/>
          <w:color w:val="auto"/>
          <w:sz w:val="32"/>
          <w:szCs w:val="32"/>
          <w:highlight w:val="none"/>
        </w:rPr>
        <w:t>十条</w:t>
      </w:r>
      <w:bookmarkEnd w:id="214"/>
      <w:bookmarkEnd w:id="215"/>
      <w:bookmarkEnd w:id="216"/>
      <w:bookmarkEnd w:id="217"/>
      <w:bookmarkEnd w:id="218"/>
      <w:bookmarkEnd w:id="219"/>
      <w:bookmarkEnd w:id="220"/>
      <w:bookmarkEnd w:id="221"/>
      <w:bookmarkEnd w:id="222"/>
      <w:bookmarkEnd w:id="223"/>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产权单位应当向主管部门申请办理预售许可或者现售备案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申报安居型商品房房源相关信息。主管部门应当将安居型商品房房源相关信息纳入信息平台。</w:t>
      </w:r>
    </w:p>
    <w:p>
      <w:pPr>
        <w:spacing w:line="560" w:lineRule="exact"/>
        <w:ind w:firstLine="640" w:firstLineChars="200"/>
        <w:outlineLvl w:val="2"/>
        <w:rPr>
          <w:rFonts w:ascii="黑体" w:hAnsi="黑体" w:eastAsia="仿宋_GB2312"/>
          <w:b/>
          <w:bCs/>
          <w:color w:val="auto"/>
          <w:sz w:val="32"/>
          <w:szCs w:val="32"/>
          <w:highlight w:val="none"/>
        </w:rPr>
      </w:pPr>
      <w:bookmarkStart w:id="224" w:name="_Toc32422_WPSOffice_Level2"/>
      <w:bookmarkStart w:id="225" w:name="_Toc32663"/>
      <w:bookmarkStart w:id="226" w:name="_Toc19369"/>
      <w:bookmarkStart w:id="227" w:name="_Toc9016"/>
      <w:bookmarkStart w:id="228" w:name="_Toc523428821"/>
      <w:bookmarkStart w:id="229" w:name="_Toc11692"/>
      <w:bookmarkStart w:id="230" w:name="_Toc25812"/>
      <w:bookmarkStart w:id="231" w:name="_Toc20518"/>
      <w:bookmarkStart w:id="232" w:name="_Toc11493"/>
      <w:bookmarkStart w:id="233" w:name="_Toc30157"/>
      <w:r>
        <w:rPr>
          <w:rFonts w:hint="eastAsia" w:ascii="黑体" w:hAnsi="黑体" w:eastAsia="黑体"/>
          <w:bCs/>
          <w:color w:val="auto"/>
          <w:sz w:val="32"/>
          <w:szCs w:val="32"/>
          <w:highlight w:val="none"/>
        </w:rPr>
        <w:t>第三十</w:t>
      </w:r>
      <w:r>
        <w:rPr>
          <w:rFonts w:hint="eastAsia" w:ascii="黑体" w:hAnsi="黑体" w:eastAsia="黑体"/>
          <w:bCs/>
          <w:color w:val="auto"/>
          <w:sz w:val="32"/>
          <w:szCs w:val="32"/>
          <w:highlight w:val="none"/>
          <w:lang w:eastAsia="zh-CN"/>
        </w:rPr>
        <w:t>一</w:t>
      </w:r>
      <w:r>
        <w:rPr>
          <w:rFonts w:hint="eastAsia" w:ascii="黑体" w:hAnsi="黑体" w:eastAsia="黑体"/>
          <w:bCs/>
          <w:color w:val="auto"/>
          <w:sz w:val="32"/>
          <w:szCs w:val="32"/>
          <w:highlight w:val="none"/>
        </w:rPr>
        <w:t>条</w:t>
      </w:r>
      <w:bookmarkEnd w:id="224"/>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安居型商品房具备租售条件的，产权单位应当及时拟定租售方案并报主管部门批准，经批准的租售方案主要内容应当以</w:t>
      </w:r>
      <w:r>
        <w:rPr>
          <w:rFonts w:hint="eastAsia" w:ascii="仿宋_GB2312" w:hAnsi="仿宋_GB2312" w:eastAsia="仿宋_GB2312" w:cs="仿宋_GB2312"/>
          <w:color w:val="auto"/>
          <w:sz w:val="32"/>
          <w:szCs w:val="32"/>
          <w:highlight w:val="none"/>
          <w:lang w:eastAsia="zh-CN"/>
        </w:rPr>
        <w:t>通</w:t>
      </w:r>
      <w:r>
        <w:rPr>
          <w:rFonts w:hint="eastAsia" w:ascii="仿宋_GB2312" w:hAnsi="仿宋_GB2312" w:eastAsia="仿宋_GB2312" w:cs="仿宋_GB2312"/>
          <w:color w:val="auto"/>
          <w:sz w:val="32"/>
          <w:szCs w:val="32"/>
          <w:highlight w:val="none"/>
        </w:rPr>
        <w:t>告的方式在信息平台上</w:t>
      </w:r>
      <w:r>
        <w:rPr>
          <w:rFonts w:hint="eastAsia" w:ascii="仿宋_GB2312" w:hAnsi="仿宋_GB2312" w:eastAsia="仿宋_GB2312" w:cs="仿宋_GB2312"/>
          <w:color w:val="auto"/>
          <w:sz w:val="32"/>
          <w:szCs w:val="32"/>
          <w:highlight w:val="none"/>
          <w:lang w:eastAsia="zh-CN"/>
        </w:rPr>
        <w:t>发</w:t>
      </w:r>
      <w:r>
        <w:rPr>
          <w:rFonts w:hint="eastAsia" w:ascii="仿宋_GB2312" w:hAnsi="仿宋_GB2312" w:eastAsia="仿宋_GB2312" w:cs="仿宋_GB2312"/>
          <w:color w:val="auto"/>
          <w:sz w:val="32"/>
          <w:szCs w:val="32"/>
          <w:highlight w:val="none"/>
        </w:rPr>
        <w:t>布。</w:t>
      </w:r>
      <w:bookmarkEnd w:id="225"/>
      <w:bookmarkEnd w:id="226"/>
      <w:bookmarkEnd w:id="227"/>
      <w:bookmarkEnd w:id="228"/>
      <w:bookmarkEnd w:id="229"/>
      <w:bookmarkEnd w:id="230"/>
      <w:bookmarkEnd w:id="231"/>
      <w:bookmarkEnd w:id="232"/>
      <w:bookmarkEnd w:id="233"/>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在租售方案中，</w:t>
      </w:r>
      <w:r>
        <w:rPr>
          <w:rFonts w:hint="eastAsia" w:ascii="仿宋_GB2312" w:hAnsi="仿宋_GB2312" w:eastAsia="仿宋_GB2312" w:cs="仿宋_GB2312"/>
          <w:color w:val="auto"/>
          <w:sz w:val="32"/>
          <w:szCs w:val="32"/>
          <w:highlight w:val="none"/>
          <w:lang w:val="en-US" w:eastAsia="zh-CN"/>
        </w:rPr>
        <w:t>应当确定一定比例的项目房源</w:t>
      </w:r>
      <w:r>
        <w:rPr>
          <w:rFonts w:hint="eastAsia" w:ascii="仿宋_GB2312" w:hAnsi="仿宋_GB2312" w:eastAsia="仿宋_GB2312" w:cs="仿宋_GB2312"/>
          <w:color w:val="auto"/>
          <w:sz w:val="32"/>
          <w:szCs w:val="32"/>
          <w:highlight w:val="none"/>
        </w:rPr>
        <w:t>面向在册轮候人分配。</w:t>
      </w:r>
    </w:p>
    <w:p>
      <w:pPr>
        <w:numPr>
          <w:ilvl w:val="255"/>
          <w:numId w:val="0"/>
        </w:num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bCs/>
          <w:color w:val="auto"/>
          <w:sz w:val="32"/>
          <w:szCs w:val="32"/>
          <w:highlight w:val="none"/>
        </w:rPr>
        <w:t>第三十</w:t>
      </w:r>
      <w:r>
        <w:rPr>
          <w:rFonts w:hint="eastAsia" w:ascii="黑体" w:hAnsi="黑体" w:eastAsia="黑体"/>
          <w:bCs/>
          <w:color w:val="auto"/>
          <w:sz w:val="32"/>
          <w:szCs w:val="32"/>
          <w:highlight w:val="none"/>
          <w:lang w:eastAsia="zh-CN"/>
        </w:rPr>
        <w:t>二</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在采取抽签、摇号以及</w:t>
      </w:r>
      <w:r>
        <w:rPr>
          <w:rFonts w:hint="eastAsia" w:ascii="仿宋_GB2312" w:hAnsi="仿宋_GB2312" w:eastAsia="仿宋_GB2312" w:cs="仿宋_GB2312"/>
          <w:color w:val="auto"/>
          <w:sz w:val="32"/>
          <w:szCs w:val="32"/>
          <w:highlight w:val="none"/>
          <w:lang w:eastAsia="zh-CN"/>
        </w:rPr>
        <w:t>综合</w:t>
      </w:r>
      <w:r>
        <w:rPr>
          <w:rFonts w:hint="eastAsia" w:ascii="仿宋_GB2312" w:hAnsi="仿宋_GB2312" w:eastAsia="仿宋_GB2312" w:cs="仿宋_GB2312"/>
          <w:color w:val="auto"/>
          <w:sz w:val="32"/>
          <w:szCs w:val="32"/>
          <w:highlight w:val="none"/>
        </w:rPr>
        <w:t>评分等方式确定</w:t>
      </w:r>
      <w:r>
        <w:rPr>
          <w:rFonts w:hint="eastAsia" w:ascii="仿宋_GB2312" w:hAnsi="仿宋_GB2312" w:eastAsia="仿宋_GB2312" w:cs="仿宋_GB2312"/>
          <w:color w:val="auto"/>
          <w:sz w:val="32"/>
          <w:szCs w:val="32"/>
          <w:highlight w:val="none"/>
          <w:lang w:eastAsia="zh-CN"/>
        </w:rPr>
        <w:t>一定比例的</w:t>
      </w:r>
      <w:r>
        <w:rPr>
          <w:rFonts w:hint="eastAsia" w:ascii="仿宋_GB2312" w:hAnsi="仿宋_GB2312" w:eastAsia="仿宋_GB2312" w:cs="仿宋_GB2312"/>
          <w:color w:val="auto"/>
          <w:sz w:val="32"/>
          <w:szCs w:val="32"/>
          <w:highlight w:val="none"/>
        </w:rPr>
        <w:t>申请</w:t>
      </w:r>
      <w:r>
        <w:rPr>
          <w:rFonts w:hint="eastAsia" w:ascii="仿宋_GB2312" w:hAnsi="仿宋_GB2312" w:eastAsia="仿宋_GB2312" w:cs="仿宋_GB2312"/>
          <w:color w:val="auto"/>
          <w:sz w:val="32"/>
          <w:szCs w:val="32"/>
          <w:highlight w:val="none"/>
          <w:lang w:eastAsia="zh-CN"/>
        </w:rPr>
        <w:t>人收取书面申请资料</w:t>
      </w:r>
      <w:r>
        <w:rPr>
          <w:rFonts w:hint="eastAsia" w:ascii="仿宋_GB2312" w:hAnsi="仿宋_GB2312" w:eastAsia="仿宋_GB2312" w:cs="仿宋_GB2312"/>
          <w:color w:val="auto"/>
          <w:sz w:val="32"/>
          <w:szCs w:val="32"/>
          <w:highlight w:val="none"/>
        </w:rPr>
        <w:t>时，特殊群体申请</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可以享受增加抽签次数、配置两个摇号号码、适当加分等优先措施。</w:t>
      </w:r>
    </w:p>
    <w:p>
      <w:pPr>
        <w:numPr>
          <w:ilvl w:val="255"/>
          <w:numId w:val="0"/>
        </w:num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主管部门可以安排一定比例的房源面向特殊群体申请人中的抚恤定补优抚对象及一</w:t>
      </w:r>
      <w:r>
        <w:rPr>
          <w:rFonts w:hint="eastAsia" w:ascii="仿宋_GB2312" w:hAnsi="仿宋_GB2312" w:eastAsia="仿宋_GB2312" w:cs="仿宋_GB2312"/>
          <w:color w:val="auto"/>
          <w:sz w:val="32"/>
          <w:szCs w:val="32"/>
          <w:highlight w:val="none"/>
          <w:lang w:eastAsia="zh-CN"/>
        </w:rPr>
        <w:t>至</w:t>
      </w:r>
      <w:r>
        <w:rPr>
          <w:rFonts w:hint="eastAsia" w:ascii="仿宋_GB2312" w:hAnsi="仿宋_GB2312" w:eastAsia="仿宋_GB2312" w:cs="仿宋_GB2312"/>
          <w:color w:val="auto"/>
          <w:sz w:val="32"/>
          <w:szCs w:val="32"/>
          <w:highlight w:val="none"/>
        </w:rPr>
        <w:t>二级残疾人配租配售。</w:t>
      </w:r>
    </w:p>
    <w:p>
      <w:pPr>
        <w:spacing w:line="560" w:lineRule="exact"/>
        <w:ind w:firstLine="640" w:firstLineChars="200"/>
        <w:outlineLvl w:val="2"/>
        <w:rPr>
          <w:rFonts w:hint="eastAsia" w:ascii="仿宋_GB2312" w:hAnsi="宋体" w:eastAsia="仿宋_GB2312"/>
          <w:color w:val="000000"/>
          <w:sz w:val="32"/>
          <w:szCs w:val="32"/>
          <w:highlight w:val="none"/>
        </w:rPr>
      </w:pPr>
      <w:bookmarkStart w:id="234" w:name="_Toc210"/>
      <w:bookmarkStart w:id="235" w:name="_Toc26036"/>
      <w:bookmarkStart w:id="236" w:name="_Toc17406"/>
      <w:bookmarkStart w:id="237" w:name="_Toc523428823"/>
      <w:bookmarkStart w:id="238" w:name="_Toc9804"/>
      <w:r>
        <w:rPr>
          <w:rFonts w:hint="eastAsia" w:ascii="黑体" w:hAnsi="黑体" w:eastAsia="黑体"/>
          <w:bCs/>
          <w:color w:val="auto"/>
          <w:sz w:val="32"/>
          <w:szCs w:val="32"/>
          <w:highlight w:val="none"/>
        </w:rPr>
        <w:t>第三十</w:t>
      </w:r>
      <w:r>
        <w:rPr>
          <w:rFonts w:hint="eastAsia" w:ascii="黑体" w:hAnsi="黑体" w:eastAsia="黑体"/>
          <w:bCs/>
          <w:color w:val="auto"/>
          <w:sz w:val="32"/>
          <w:szCs w:val="32"/>
          <w:highlight w:val="none"/>
          <w:lang w:eastAsia="zh-CN"/>
        </w:rPr>
        <w:t>三</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宋体" w:eastAsia="仿宋_GB2312"/>
          <w:color w:val="000000"/>
          <w:sz w:val="32"/>
          <w:szCs w:val="32"/>
          <w:highlight w:val="none"/>
        </w:rPr>
        <w:t>申请人已经组建家庭的，应当以家庭为单位提出申请，申请人的配偶、未满18周岁的子女应当列为共同申请人，申请人年满18周岁的子女不得列为共同申请人，</w:t>
      </w:r>
      <w:r>
        <w:rPr>
          <w:rFonts w:hint="eastAsia" w:ascii="仿宋_GB2312" w:eastAsia="仿宋_GB2312"/>
          <w:color w:val="auto"/>
          <w:sz w:val="32"/>
          <w:szCs w:val="32"/>
          <w:highlight w:val="none"/>
        </w:rPr>
        <w:t>但是属于经残疾人联合会认定的残疾人或</w:t>
      </w:r>
      <w:r>
        <w:rPr>
          <w:rFonts w:hint="eastAsia" w:ascii="仿宋_GB2312" w:eastAsia="仿宋_GB2312"/>
          <w:color w:val="auto"/>
          <w:sz w:val="32"/>
          <w:szCs w:val="32"/>
          <w:highlight w:val="none"/>
          <w:lang w:eastAsia="zh-CN"/>
        </w:rPr>
        <w:t>者</w:t>
      </w:r>
      <w:r>
        <w:rPr>
          <w:rFonts w:hint="eastAsia" w:ascii="仿宋_GB2312" w:eastAsia="仿宋_GB2312"/>
          <w:color w:val="auto"/>
          <w:sz w:val="32"/>
          <w:szCs w:val="32"/>
          <w:highlight w:val="none"/>
        </w:rPr>
        <w:t>经</w:t>
      </w:r>
      <w:r>
        <w:rPr>
          <w:rFonts w:hint="eastAsia" w:ascii="仿宋_GB2312" w:hAnsi="Calibri" w:eastAsia="仿宋_GB2312" w:cs="宋体"/>
          <w:b w:val="0"/>
          <w:bCs w:val="0"/>
          <w:color w:val="auto"/>
          <w:kern w:val="2"/>
          <w:sz w:val="32"/>
          <w:szCs w:val="32"/>
          <w:highlight w:val="none"/>
          <w:lang w:eastAsia="zh-CN"/>
        </w:rPr>
        <w:t>依法</w:t>
      </w:r>
      <w:r>
        <w:rPr>
          <w:rFonts w:hint="eastAsia" w:ascii="仿宋_GB2312" w:eastAsia="仿宋_GB2312"/>
          <w:color w:val="auto"/>
          <w:sz w:val="32"/>
          <w:szCs w:val="32"/>
          <w:highlight w:val="none"/>
        </w:rPr>
        <w:t>认定</w:t>
      </w:r>
      <w:r>
        <w:rPr>
          <w:rFonts w:ascii="仿宋_GB2312" w:eastAsia="仿宋_GB2312"/>
          <w:color w:val="auto"/>
          <w:sz w:val="32"/>
          <w:szCs w:val="32"/>
          <w:highlight w:val="none"/>
        </w:rPr>
        <w:t>的</w:t>
      </w:r>
      <w:r>
        <w:rPr>
          <w:rFonts w:hint="eastAsia" w:ascii="仿宋_GB2312" w:eastAsia="仿宋_GB2312"/>
          <w:color w:val="auto"/>
          <w:sz w:val="32"/>
          <w:szCs w:val="32"/>
          <w:highlight w:val="none"/>
        </w:rPr>
        <w:t>限制民事行为能力人、无民事行为能力人除外</w:t>
      </w:r>
      <w:r>
        <w:rPr>
          <w:rFonts w:hint="eastAsia" w:ascii="仿宋_GB2312" w:hAnsi="宋体" w:eastAsia="仿宋_GB2312"/>
          <w:color w:val="000000"/>
          <w:sz w:val="32"/>
          <w:szCs w:val="32"/>
          <w:highlight w:val="none"/>
        </w:rPr>
        <w:t>。</w:t>
      </w:r>
    </w:p>
    <w:p>
      <w:pPr>
        <w:spacing w:line="560" w:lineRule="exact"/>
        <w:ind w:firstLine="640" w:firstLineChars="200"/>
        <w:outlineLvl w:val="2"/>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未满18周岁的子女列为共同申请人的，不影响其年满18周岁后单独组成家庭或者达到规定年龄后以单身居民身份申请安居型商品房</w:t>
      </w:r>
      <w:r>
        <w:rPr>
          <w:rFonts w:hint="eastAsia" w:ascii="仿宋_GB2312" w:hAnsi="宋体" w:eastAsia="仿宋_GB2312"/>
          <w:bCs/>
          <w:color w:val="000000"/>
          <w:sz w:val="32"/>
          <w:szCs w:val="32"/>
          <w:highlight w:val="none"/>
        </w:rPr>
        <w:t>。</w:t>
      </w:r>
      <w:r>
        <w:rPr>
          <w:rFonts w:hint="eastAsia" w:ascii="仿宋_GB2312" w:hAnsi="宋体" w:eastAsia="仿宋_GB2312"/>
          <w:color w:val="000000"/>
          <w:sz w:val="32"/>
          <w:szCs w:val="32"/>
          <w:highlight w:val="none"/>
        </w:rPr>
        <w:t>投靠子女取得本市户籍的居民，只能作为共同申请人。</w:t>
      </w:r>
    </w:p>
    <w:p>
      <w:pPr>
        <w:spacing w:line="560" w:lineRule="exact"/>
        <w:ind w:firstLine="640" w:firstLineChars="200"/>
        <w:outlineLvl w:val="2"/>
        <w:rPr>
          <w:rFonts w:ascii="仿宋_GB2312" w:hAnsi="宋体" w:eastAsia="仿宋_GB2312"/>
          <w:bCs/>
          <w:color w:val="000000"/>
          <w:sz w:val="32"/>
          <w:szCs w:val="32"/>
          <w:highlight w:val="none"/>
        </w:rPr>
      </w:pPr>
      <w:r>
        <w:rPr>
          <w:rFonts w:hint="eastAsia" w:ascii="仿宋_GB2312" w:eastAsia="仿宋_GB2312"/>
          <w:color w:val="auto"/>
          <w:sz w:val="32"/>
          <w:szCs w:val="32"/>
          <w:highlight w:val="none"/>
        </w:rPr>
        <w:t>具有本市户籍的申请人父母、申请人配偶父母可以</w:t>
      </w:r>
      <w:r>
        <w:rPr>
          <w:rFonts w:hint="eastAsia" w:ascii="仿宋_GB2312" w:eastAsia="仿宋_GB2312"/>
          <w:color w:val="auto"/>
          <w:sz w:val="32"/>
          <w:szCs w:val="32"/>
          <w:highlight w:val="none"/>
          <w:lang w:eastAsia="zh-CN"/>
        </w:rPr>
        <w:t>单独一方</w:t>
      </w:r>
      <w:r>
        <w:rPr>
          <w:rFonts w:hint="eastAsia" w:ascii="仿宋_GB2312" w:eastAsia="仿宋_GB2312"/>
          <w:color w:val="auto"/>
          <w:sz w:val="32"/>
          <w:szCs w:val="32"/>
          <w:highlight w:val="none"/>
        </w:rPr>
        <w:t>列为共同申请人。</w:t>
      </w:r>
    </w:p>
    <w:p>
      <w:pPr>
        <w:tabs>
          <w:tab w:val="left" w:pos="1095"/>
          <w:tab w:val="left" w:pos="1620"/>
        </w:tabs>
        <w:snapToGrid w:val="0"/>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申请人为年满35周岁的单身居民，可以以个人名义申请安居型商品房。</w:t>
      </w:r>
    </w:p>
    <w:p>
      <w:pPr>
        <w:spacing w:line="560" w:lineRule="exact"/>
        <w:ind w:firstLine="640" w:firstLineChars="200"/>
        <w:outlineLvl w:val="2"/>
        <w:rPr>
          <w:rFonts w:ascii="黑体" w:hAnsi="黑体" w:eastAsia="黑体"/>
          <w:bCs/>
          <w:color w:val="auto"/>
          <w:sz w:val="32"/>
          <w:szCs w:val="32"/>
          <w:highlight w:val="none"/>
        </w:rPr>
      </w:pPr>
      <w:r>
        <w:rPr>
          <w:rFonts w:hint="eastAsia" w:ascii="黑体" w:hAnsi="黑体" w:eastAsia="黑体"/>
          <w:bCs/>
          <w:color w:val="auto"/>
          <w:sz w:val="32"/>
          <w:szCs w:val="32"/>
          <w:highlight w:val="none"/>
        </w:rPr>
        <w:t>第三十</w:t>
      </w:r>
      <w:r>
        <w:rPr>
          <w:rFonts w:hint="eastAsia" w:ascii="黑体" w:hAnsi="黑体" w:eastAsia="黑体"/>
          <w:bCs/>
          <w:color w:val="auto"/>
          <w:sz w:val="32"/>
          <w:szCs w:val="32"/>
          <w:highlight w:val="none"/>
          <w:lang w:eastAsia="zh-CN"/>
        </w:rPr>
        <w:t>四</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租赁或者购买安居型商品房应当同时符合以下条件：</w:t>
      </w:r>
      <w:bookmarkEnd w:id="234"/>
      <w:bookmarkEnd w:id="235"/>
      <w:bookmarkEnd w:id="236"/>
      <w:bookmarkEnd w:id="237"/>
      <w:bookmarkEnd w:id="238"/>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（一）申请人</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共同申请人均具有本市户籍。共同申请人为现役军人，或者因服兵役、就读全日制学校期间而将户籍迁出本市的未满18周岁的子女，不受户籍限制。</w:t>
      </w:r>
    </w:p>
    <w:p>
      <w:pPr>
        <w:spacing w:line="560" w:lineRule="exact"/>
        <w:ind w:firstLine="640" w:firstLineChars="200"/>
        <w:rPr>
          <w:rFonts w:ascii="仿宋_GB2312" w:eastAsia="仿宋_GB2312"/>
          <w:color w:val="000000"/>
          <w:sz w:val="32"/>
          <w:szCs w:val="32"/>
          <w:highlight w:val="none"/>
        </w:rPr>
      </w:pPr>
      <w:r>
        <w:rPr>
          <w:rFonts w:hint="eastAsia" w:ascii="仿宋_GB2312" w:hAnsi="仿宋_GB2312" w:eastAsia="仿宋_GB2312" w:cs="仿宋_GB2312"/>
          <w:color w:val="auto"/>
          <w:sz w:val="32"/>
          <w:szCs w:val="32"/>
          <w:highlight w:val="none"/>
        </w:rPr>
        <w:t>（二）申请人参加本市社会保险（包含养老或者医疗保险，不包含少儿医疗保险，下同）累计缴费10年以上；特殊群体作为申请人的，参加本市社会保险累计缴费5年以上；</w:t>
      </w:r>
      <w:r>
        <w:rPr>
          <w:rFonts w:hint="eastAsia" w:ascii="仿宋_GB2312" w:eastAsia="仿宋_GB2312"/>
          <w:color w:val="000000"/>
          <w:sz w:val="32"/>
          <w:szCs w:val="32"/>
          <w:highlight w:val="none"/>
          <w:lang w:eastAsia="zh-CN"/>
        </w:rPr>
        <w:t>退役</w:t>
      </w:r>
      <w:r>
        <w:rPr>
          <w:rFonts w:ascii="仿宋_GB2312" w:eastAsia="仿宋_GB2312"/>
          <w:color w:val="000000"/>
          <w:sz w:val="32"/>
          <w:szCs w:val="32"/>
          <w:highlight w:val="none"/>
        </w:rPr>
        <w:t>军人的服役年限计入</w:t>
      </w:r>
      <w:r>
        <w:rPr>
          <w:rFonts w:ascii="仿宋_GB2312" w:hAnsi="仿宋_GB2312" w:eastAsia="仿宋_GB2312" w:cs="仿宋_GB2312"/>
          <w:color w:val="auto"/>
          <w:sz w:val="32"/>
          <w:szCs w:val="32"/>
          <w:highlight w:val="none"/>
        </w:rPr>
        <w:t>本市社会保险累计缴费年限</w:t>
      </w:r>
      <w:r>
        <w:rPr>
          <w:rFonts w:hint="eastAsia" w:ascii="仿宋_GB2312" w:hAnsi="仿宋_GB2312" w:eastAsia="仿宋_GB2312" w:cs="仿宋_GB2312"/>
          <w:color w:val="auto"/>
          <w:sz w:val="32"/>
          <w:szCs w:val="32"/>
          <w:highlight w:val="none"/>
        </w:rPr>
        <w:t>；</w:t>
      </w:r>
      <w:r>
        <w:rPr>
          <w:rFonts w:hint="eastAsia" w:ascii="仿宋_GB2312" w:eastAsia="仿宋_GB2312"/>
          <w:color w:val="000000"/>
          <w:sz w:val="32"/>
          <w:szCs w:val="32"/>
          <w:highlight w:val="none"/>
        </w:rPr>
        <w:t>补缴的不计入</w:t>
      </w:r>
      <w:r>
        <w:rPr>
          <w:rFonts w:ascii="仿宋_GB2312" w:hAnsi="仿宋_GB2312" w:eastAsia="仿宋_GB2312" w:cs="仿宋_GB2312"/>
          <w:color w:val="auto"/>
          <w:sz w:val="32"/>
          <w:szCs w:val="32"/>
          <w:highlight w:val="none"/>
        </w:rPr>
        <w:t>本市社会保险</w:t>
      </w:r>
      <w:r>
        <w:rPr>
          <w:rFonts w:hint="eastAsia" w:ascii="仿宋_GB2312" w:eastAsia="仿宋_GB2312"/>
          <w:color w:val="000000"/>
          <w:sz w:val="32"/>
          <w:szCs w:val="32"/>
          <w:highlight w:val="none"/>
        </w:rPr>
        <w:t>累计缴费年限</w:t>
      </w:r>
      <w:r>
        <w:rPr>
          <w:rFonts w:ascii="仿宋_GB2312" w:eastAsia="仿宋_GB2312"/>
          <w:color w:val="000000"/>
          <w:sz w:val="32"/>
          <w:szCs w:val="32"/>
          <w:highlight w:val="none"/>
        </w:rPr>
        <w:t>。</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（三）申请人</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共同申请人</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未在本市拥有任何形式自有住房</w:t>
      </w:r>
      <w:r>
        <w:rPr>
          <w:rFonts w:hint="eastAsia" w:ascii="仿宋_GB2312" w:hAnsi="仿宋_GB2312" w:eastAsia="仿宋_GB2312" w:cs="仿宋_GB2312"/>
          <w:color w:val="auto"/>
          <w:sz w:val="32"/>
          <w:szCs w:val="32"/>
          <w:highlight w:val="none"/>
          <w:lang w:eastAsia="zh-CN"/>
        </w:rPr>
        <w:t>（含住房建设用地，下同）</w:t>
      </w:r>
      <w:r>
        <w:rPr>
          <w:rFonts w:hint="eastAsia" w:ascii="仿宋_GB2312" w:hAnsi="仿宋_GB2312" w:eastAsia="仿宋_GB2312" w:cs="仿宋_GB2312"/>
          <w:color w:val="auto"/>
          <w:sz w:val="32"/>
          <w:szCs w:val="32"/>
          <w:highlight w:val="none"/>
        </w:rPr>
        <w:t>、在申请受理日之前5年内未在本市转让过自有住房或者因离婚分割过自有住房。</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（四）申请人及共同申请人均未在本市享受过购房优惠政策。</w:t>
      </w:r>
      <w:r>
        <w:rPr>
          <w:rFonts w:hint="eastAsia" w:ascii="仿宋_GB2312" w:hAnsi="仿宋_GB2312" w:eastAsia="仿宋_GB2312" w:cs="仿宋_GB2312"/>
          <w:color w:val="auto"/>
          <w:sz w:val="32"/>
          <w:szCs w:val="32"/>
          <w:highlight w:val="none"/>
          <w:lang w:eastAsia="zh-CN"/>
        </w:rPr>
        <w:t>申请人的配偶</w:t>
      </w:r>
      <w:r>
        <w:rPr>
          <w:rFonts w:hint="eastAsia" w:ascii="仿宋_GB2312" w:hAnsi="仿宋_GB2312" w:eastAsia="仿宋_GB2312" w:cs="仿宋_GB2312"/>
          <w:color w:val="auto"/>
          <w:sz w:val="32"/>
          <w:szCs w:val="32"/>
          <w:highlight w:val="none"/>
        </w:rPr>
        <w:t>在前段婚姻存续期间购买过政策性住房，离异时该政策性住房归原配偶所有的，可以作为共同申请人申请安居型商品房。</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（五）申请</w:t>
      </w:r>
      <w:r>
        <w:rPr>
          <w:rFonts w:hint="eastAsia" w:ascii="仿宋_GB2312" w:hAnsi="仿宋_GB2312" w:eastAsia="仿宋_GB2312" w:cs="仿宋_GB2312"/>
          <w:color w:val="auto"/>
          <w:sz w:val="32"/>
          <w:szCs w:val="32"/>
          <w:highlight w:val="none"/>
          <w:lang w:eastAsia="zh-CN"/>
        </w:rPr>
        <w:t>人及共同申请人的家庭人均</w:t>
      </w:r>
      <w:r>
        <w:rPr>
          <w:rFonts w:hint="eastAsia" w:ascii="仿宋_GB2312" w:hAnsi="仿宋_GB2312" w:eastAsia="仿宋_GB2312" w:cs="仿宋_GB2312"/>
          <w:color w:val="auto"/>
          <w:sz w:val="32"/>
          <w:szCs w:val="32"/>
          <w:highlight w:val="none"/>
        </w:rPr>
        <w:t>年可支配收入和家庭财产总额符合本市规定的限额标准。</w:t>
      </w:r>
    </w:p>
    <w:p>
      <w:pPr>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（六）申请人及共同申请人均未因违反</w:t>
      </w:r>
      <w:r>
        <w:rPr>
          <w:rFonts w:hint="eastAsia" w:ascii="仿宋_GB2312" w:hAnsi="仿宋_GB2312" w:eastAsia="仿宋_GB2312" w:cs="仿宋_GB2312"/>
          <w:color w:val="auto"/>
          <w:sz w:val="32"/>
          <w:szCs w:val="32"/>
          <w:highlight w:val="none"/>
          <w:lang w:eastAsia="zh-CN"/>
        </w:rPr>
        <w:t>住房保障和人才安居</w:t>
      </w:r>
      <w:r>
        <w:rPr>
          <w:rFonts w:ascii="仿宋_GB2312" w:hAnsi="仿宋_GB2312" w:eastAsia="仿宋_GB2312" w:cs="仿宋_GB2312"/>
          <w:color w:val="auto"/>
          <w:sz w:val="32"/>
          <w:szCs w:val="32"/>
          <w:highlight w:val="none"/>
        </w:rPr>
        <w:t>相关规定而被纳入不良行为记录。</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w:t>
      </w:r>
      <w:r>
        <w:rPr>
          <w:rFonts w:hint="eastAsia" w:ascii="仿宋_GB2312" w:eastAsia="仿宋_GB2312"/>
          <w:color w:val="000000"/>
          <w:sz w:val="32"/>
          <w:szCs w:val="32"/>
          <w:highlight w:val="none"/>
        </w:rPr>
        <w:t>法律、法规、规章及市</w:t>
      </w:r>
      <w:r>
        <w:rPr>
          <w:rFonts w:hint="eastAsia" w:ascii="仿宋_GB2312" w:eastAsia="仿宋_GB2312"/>
          <w:color w:val="000000"/>
          <w:sz w:val="32"/>
          <w:szCs w:val="32"/>
          <w:highlight w:val="none"/>
          <w:lang w:eastAsia="zh-CN"/>
        </w:rPr>
        <w:t>人民</w:t>
      </w:r>
      <w:r>
        <w:rPr>
          <w:rFonts w:hint="eastAsia" w:ascii="仿宋_GB2312" w:eastAsia="仿宋_GB2312"/>
          <w:color w:val="000000"/>
          <w:sz w:val="32"/>
          <w:szCs w:val="32"/>
          <w:highlight w:val="none"/>
        </w:rPr>
        <w:t>政府规定的其他条件</w:t>
      </w:r>
      <w:r>
        <w:rPr>
          <w:rFonts w:hint="eastAsia" w:ascii="仿宋_GB2312" w:hAnsi="仿宋_GB2312" w:eastAsia="仿宋_GB2312" w:cs="仿宋_GB2312"/>
          <w:color w:val="auto"/>
          <w:sz w:val="32"/>
          <w:szCs w:val="32"/>
          <w:highlight w:val="none"/>
        </w:rPr>
        <w:t>。</w:t>
      </w:r>
    </w:p>
    <w:p>
      <w:pPr>
        <w:numPr>
          <w:ilvl w:val="255"/>
          <w:numId w:val="0"/>
        </w:num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申请人父母、申请人配偶父母未离异，单独一方作为共同申请人的，未作为共同申请人的一方应当与申请人及共同申请人一并同时满足本条第一款第（一）、（三）、（四）、（五）、（六）、（七）项规定的条件。</w:t>
      </w:r>
    </w:p>
    <w:p>
      <w:pPr>
        <w:numPr>
          <w:ilvl w:val="255"/>
          <w:numId w:val="0"/>
        </w:num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市主管部门可以根据实际情况适时调整本条规定的申请条件，报市</w:t>
      </w:r>
      <w:r>
        <w:rPr>
          <w:rFonts w:hint="eastAsia" w:ascii="仿宋_GB2312" w:hAnsi="仿宋_GB2312" w:eastAsia="仿宋_GB2312" w:cs="仿宋_GB2312"/>
          <w:color w:val="auto"/>
          <w:sz w:val="32"/>
          <w:szCs w:val="32"/>
          <w:highlight w:val="none"/>
          <w:lang w:eastAsia="zh-CN"/>
        </w:rPr>
        <w:t>人民</w:t>
      </w:r>
      <w:r>
        <w:rPr>
          <w:rFonts w:hint="eastAsia" w:ascii="仿宋_GB2312" w:hAnsi="仿宋_GB2312" w:eastAsia="仿宋_GB2312" w:cs="仿宋_GB2312"/>
          <w:color w:val="auto"/>
          <w:sz w:val="32"/>
          <w:szCs w:val="32"/>
          <w:highlight w:val="none"/>
        </w:rPr>
        <w:t>政府批准后公布执行。</w:t>
      </w:r>
    </w:p>
    <w:p>
      <w:pPr>
        <w:spacing w:line="560" w:lineRule="exact"/>
        <w:ind w:firstLine="640" w:firstLineChars="200"/>
        <w:outlineLvl w:val="2"/>
        <w:rPr>
          <w:rFonts w:ascii="黑体" w:hAnsi="黑体" w:eastAsia="黑体"/>
          <w:bCs/>
          <w:color w:val="auto"/>
          <w:sz w:val="32"/>
          <w:szCs w:val="32"/>
          <w:highlight w:val="none"/>
        </w:rPr>
      </w:pPr>
      <w:bookmarkStart w:id="239" w:name="_Toc19047_WPSOffice_Level2"/>
      <w:bookmarkStart w:id="240" w:name="_Toc22781"/>
      <w:bookmarkStart w:id="241" w:name="_Toc24172_WPSOffice_Level2"/>
      <w:bookmarkStart w:id="242" w:name="_Toc20213"/>
      <w:bookmarkStart w:id="243" w:name="_Toc954"/>
      <w:bookmarkStart w:id="244" w:name="_Toc21546"/>
      <w:bookmarkStart w:id="245" w:name="_Toc17137"/>
      <w:bookmarkStart w:id="246" w:name="_Toc15615"/>
      <w:bookmarkStart w:id="247" w:name="_Toc2273"/>
      <w:bookmarkStart w:id="248" w:name="_Toc29637"/>
      <w:bookmarkStart w:id="249" w:name="_Toc21918_WPSOffice_Level2"/>
      <w:bookmarkStart w:id="250" w:name="_Toc523428825"/>
      <w:r>
        <w:rPr>
          <w:rFonts w:hint="eastAsia" w:ascii="黑体" w:hAnsi="黑体" w:eastAsia="黑体"/>
          <w:bCs/>
          <w:color w:val="auto"/>
          <w:sz w:val="32"/>
          <w:szCs w:val="32"/>
          <w:highlight w:val="none"/>
        </w:rPr>
        <w:t>第三十</w:t>
      </w:r>
      <w:r>
        <w:rPr>
          <w:rFonts w:hint="eastAsia" w:ascii="黑体" w:hAnsi="黑体" w:eastAsia="黑体"/>
          <w:bCs/>
          <w:color w:val="auto"/>
          <w:sz w:val="32"/>
          <w:szCs w:val="32"/>
          <w:highlight w:val="none"/>
          <w:lang w:eastAsia="zh-CN"/>
        </w:rPr>
        <w:t>五</w:t>
      </w:r>
      <w:r>
        <w:rPr>
          <w:rFonts w:hint="eastAsia" w:ascii="黑体" w:hAnsi="黑体" w:eastAsia="黑体"/>
          <w:bCs/>
          <w:color w:val="auto"/>
          <w:sz w:val="32"/>
          <w:szCs w:val="32"/>
          <w:highlight w:val="none"/>
        </w:rPr>
        <w:t>条</w:t>
      </w:r>
      <w:bookmarkEnd w:id="239"/>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安居型商品房</w:t>
      </w:r>
      <w:r>
        <w:rPr>
          <w:rFonts w:ascii="仿宋_GB2312" w:hAnsi="仿宋_GB2312" w:eastAsia="仿宋_GB2312" w:cs="仿宋_GB2312"/>
          <w:color w:val="auto"/>
          <w:sz w:val="32"/>
          <w:szCs w:val="32"/>
          <w:highlight w:val="none"/>
        </w:rPr>
        <w:t>实行按批次</w:t>
      </w:r>
      <w:r>
        <w:rPr>
          <w:rFonts w:hint="eastAsia" w:ascii="仿宋_GB2312" w:hAnsi="仿宋_GB2312" w:eastAsia="仿宋_GB2312" w:cs="仿宋_GB2312"/>
          <w:color w:val="auto"/>
          <w:sz w:val="32"/>
          <w:szCs w:val="32"/>
          <w:highlight w:val="none"/>
        </w:rPr>
        <w:t>租购的方式，具体程序如下：</w:t>
      </w:r>
      <w:bookmarkEnd w:id="240"/>
      <w:bookmarkEnd w:id="241"/>
      <w:bookmarkEnd w:id="242"/>
      <w:bookmarkEnd w:id="243"/>
      <w:bookmarkEnd w:id="244"/>
      <w:bookmarkEnd w:id="245"/>
      <w:bookmarkEnd w:id="246"/>
      <w:bookmarkEnd w:id="247"/>
      <w:bookmarkEnd w:id="248"/>
      <w:bookmarkEnd w:id="249"/>
      <w:bookmarkEnd w:id="250"/>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000000"/>
          <w:sz w:val="32"/>
          <w:szCs w:val="32"/>
          <w:highlight w:val="none"/>
        </w:rPr>
        <w:t>在政府网站或者主管部门网站</w:t>
      </w:r>
      <w:r>
        <w:rPr>
          <w:rFonts w:hint="eastAsia" w:ascii="仿宋_GB2312" w:hAnsi="仿宋_GB2312" w:eastAsia="仿宋_GB2312" w:cs="仿宋_GB2312"/>
          <w:color w:val="auto"/>
          <w:sz w:val="32"/>
          <w:szCs w:val="32"/>
          <w:highlight w:val="none"/>
        </w:rPr>
        <w:t>发布安居型商品房申请受理通告。</w:t>
      </w:r>
    </w:p>
    <w:p>
      <w:pPr>
        <w:numPr>
          <w:ilvl w:val="255"/>
          <w:numId w:val="0"/>
        </w:num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（二）申请</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按照受理通告的要求提出申请，在信息平台注册并填报申请信息。在提交申请材料的同时，</w:t>
      </w:r>
      <w:r>
        <w:rPr>
          <w:rFonts w:hint="eastAsia" w:ascii="仿宋_GB2312" w:hAnsi="仿宋_GB2312" w:eastAsia="仿宋_GB2312" w:cs="仿宋_GB2312"/>
          <w:color w:val="auto"/>
          <w:sz w:val="32"/>
          <w:szCs w:val="32"/>
          <w:highlight w:val="none"/>
          <w:lang w:eastAsia="zh-CN"/>
        </w:rPr>
        <w:t>在线</w:t>
      </w:r>
      <w:r>
        <w:rPr>
          <w:rFonts w:hint="eastAsia" w:ascii="仿宋_GB2312" w:hAnsi="仿宋_GB2312" w:eastAsia="仿宋_GB2312" w:cs="仿宋_GB2312"/>
          <w:color w:val="auto"/>
          <w:sz w:val="32"/>
          <w:szCs w:val="32"/>
          <w:highlight w:val="none"/>
        </w:rPr>
        <w:t>签署诚信申报声明，对申请材料和申报信息的真实性、准确性、合法性负责。</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（三）主管部门可以采取抽签、摇号、</w:t>
      </w:r>
      <w:r>
        <w:rPr>
          <w:rFonts w:hint="eastAsia" w:ascii="仿宋_GB2312" w:hAnsi="仿宋_GB2312" w:eastAsia="仿宋_GB2312" w:cs="仿宋_GB2312"/>
          <w:color w:val="auto"/>
          <w:sz w:val="32"/>
          <w:szCs w:val="32"/>
          <w:highlight w:val="none"/>
          <w:lang w:eastAsia="zh-CN"/>
        </w:rPr>
        <w:t>综合</w:t>
      </w:r>
      <w:r>
        <w:rPr>
          <w:rFonts w:hint="eastAsia" w:ascii="仿宋_GB2312" w:hAnsi="仿宋_GB2312" w:eastAsia="仿宋_GB2312" w:cs="仿宋_GB2312"/>
          <w:color w:val="auto"/>
          <w:sz w:val="32"/>
          <w:szCs w:val="32"/>
          <w:highlight w:val="none"/>
        </w:rPr>
        <w:t>评分等方式，</w:t>
      </w:r>
      <w:r>
        <w:rPr>
          <w:rFonts w:hint="eastAsia" w:ascii="仿宋_GB2312" w:hAnsi="仿宋_GB2312" w:eastAsia="仿宋_GB2312" w:cs="仿宋_GB2312"/>
          <w:color w:val="auto"/>
          <w:sz w:val="32"/>
          <w:szCs w:val="32"/>
          <w:highlight w:val="none"/>
          <w:lang w:eastAsia="zh-CN"/>
        </w:rPr>
        <w:t>确定一定比例的</w:t>
      </w:r>
      <w:r>
        <w:rPr>
          <w:rFonts w:hint="eastAsia" w:ascii="仿宋_GB2312" w:hAnsi="仿宋_GB2312" w:eastAsia="仿宋_GB2312" w:cs="仿宋_GB2312"/>
          <w:color w:val="auto"/>
          <w:sz w:val="32"/>
          <w:szCs w:val="32"/>
          <w:highlight w:val="none"/>
        </w:rPr>
        <w:t>申请</w:t>
      </w:r>
      <w:r>
        <w:rPr>
          <w:rFonts w:hint="eastAsia" w:ascii="仿宋_GB2312" w:hAnsi="仿宋_GB2312" w:eastAsia="仿宋_GB2312" w:cs="仿宋_GB2312"/>
          <w:color w:val="auto"/>
          <w:sz w:val="32"/>
          <w:szCs w:val="32"/>
          <w:highlight w:val="none"/>
          <w:lang w:eastAsia="zh-CN"/>
        </w:rPr>
        <w:t>人收取</w:t>
      </w:r>
      <w:r>
        <w:rPr>
          <w:rFonts w:hint="eastAsia" w:ascii="仿宋_GB2312" w:hAnsi="仿宋_GB2312" w:eastAsia="仿宋_GB2312" w:cs="仿宋_GB2312"/>
          <w:color w:val="auto"/>
          <w:sz w:val="32"/>
          <w:szCs w:val="32"/>
          <w:highlight w:val="none"/>
        </w:rPr>
        <w:t>相应的书面申请资料。</w:t>
      </w:r>
    </w:p>
    <w:p>
      <w:pPr>
        <w:numPr>
          <w:ilvl w:val="255"/>
          <w:numId w:val="0"/>
        </w:num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（四）主管部门在收取书面申请资料后，会同相关部门进行资格审核。经审核符合申请条件的，由市主管部门公示</w:t>
      </w:r>
      <w:r>
        <w:rPr>
          <w:rFonts w:hint="eastAsia" w:ascii="仿宋_GB2312" w:hAnsi="仿宋_GB2312" w:eastAsia="仿宋_GB2312" w:cs="仿宋_GB2312"/>
          <w:color w:val="auto"/>
          <w:sz w:val="32"/>
          <w:szCs w:val="32"/>
          <w:highlight w:val="none"/>
          <w:lang w:val="en-US" w:eastAsia="zh-CN"/>
        </w:rPr>
        <w:t>5个工作日</w:t>
      </w:r>
      <w:r>
        <w:rPr>
          <w:rFonts w:hint="eastAsia" w:ascii="仿宋_GB2312" w:hAnsi="仿宋_GB2312" w:eastAsia="仿宋_GB2312" w:cs="仿宋_GB2312"/>
          <w:color w:val="auto"/>
          <w:sz w:val="32"/>
          <w:szCs w:val="32"/>
          <w:highlight w:val="none"/>
        </w:rPr>
        <w:t>。公示期满无异议或者异议不成立的，纳入合格申请</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名单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合格申请</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按照申请受理通告确定的规则排序</w:t>
      </w:r>
      <w:r>
        <w:rPr>
          <w:rFonts w:hint="eastAsia" w:ascii="仿宋_GB2312" w:hAnsi="仿宋_GB2312" w:eastAsia="仿宋_GB2312" w:cs="仿宋_GB2312"/>
          <w:color w:val="auto"/>
          <w:sz w:val="32"/>
          <w:szCs w:val="32"/>
          <w:highlight w:val="none"/>
          <w:lang w:eastAsia="zh-CN"/>
        </w:rPr>
        <w:t>，分为入围申请人和候补入围申请人</w:t>
      </w:r>
      <w:r>
        <w:rPr>
          <w:rFonts w:hint="eastAsia" w:ascii="仿宋_GB2312" w:hAnsi="仿宋_GB2312" w:eastAsia="仿宋_GB2312" w:cs="仿宋_GB2312"/>
          <w:color w:val="auto"/>
          <w:sz w:val="32"/>
          <w:szCs w:val="32"/>
          <w:highlight w:val="none"/>
        </w:rPr>
        <w:t>。</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w:t>
      </w:r>
      <w:r>
        <w:rPr>
          <w:rFonts w:hint="eastAsia" w:ascii="仿宋_GB2312" w:hAnsi="仿宋_GB2312" w:eastAsia="仿宋_GB2312" w:cs="仿宋_GB2312"/>
          <w:color w:val="auto"/>
          <w:sz w:val="32"/>
          <w:szCs w:val="32"/>
          <w:highlight w:val="none"/>
          <w:lang w:eastAsia="zh-CN"/>
        </w:rPr>
        <w:t>入围申请人</w:t>
      </w:r>
      <w:r>
        <w:rPr>
          <w:rFonts w:hint="eastAsia" w:ascii="仿宋_GB2312" w:hAnsi="仿宋_GB2312" w:eastAsia="仿宋_GB2312" w:cs="仿宋_GB2312"/>
          <w:color w:val="auto"/>
          <w:sz w:val="32"/>
          <w:szCs w:val="32"/>
          <w:highlight w:val="none"/>
        </w:rPr>
        <w:t>按照确定的排序自主选房，放弃选房的，</w:t>
      </w:r>
      <w:r>
        <w:rPr>
          <w:rFonts w:hint="eastAsia" w:ascii="仿宋_GB2312" w:hAnsi="仿宋_GB2312" w:eastAsia="仿宋_GB2312" w:cs="仿宋_GB2312"/>
          <w:color w:val="auto"/>
          <w:sz w:val="32"/>
          <w:szCs w:val="32"/>
          <w:highlight w:val="none"/>
          <w:lang w:eastAsia="zh-CN"/>
        </w:rPr>
        <w:t>排序在后的</w:t>
      </w:r>
      <w:r>
        <w:rPr>
          <w:rFonts w:hint="eastAsia" w:ascii="仿宋_GB2312" w:hAnsi="仿宋_GB2312" w:eastAsia="仿宋_GB2312" w:cs="仿宋_GB2312"/>
          <w:color w:val="auto"/>
          <w:sz w:val="32"/>
          <w:szCs w:val="32"/>
          <w:highlight w:val="none"/>
        </w:rPr>
        <w:t>依次递补。</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（六）选定住房后，应当当场办理认租或者认购手续，</w:t>
      </w:r>
      <w:r>
        <w:rPr>
          <w:rFonts w:hint="eastAsia" w:ascii="仿宋_GB2312" w:hAnsi="仿宋_GB2312" w:eastAsia="仿宋_GB2312" w:cs="仿宋_GB2312"/>
          <w:color w:val="auto"/>
          <w:sz w:val="32"/>
          <w:szCs w:val="32"/>
          <w:highlight w:val="none"/>
          <w:lang w:eastAsia="zh-CN"/>
        </w:rPr>
        <w:t>申请人及共同申请人应当</w:t>
      </w:r>
      <w:r>
        <w:rPr>
          <w:rFonts w:hint="eastAsia" w:ascii="仿宋_GB2312" w:hAnsi="仿宋_GB2312" w:eastAsia="仿宋_GB2312" w:cs="仿宋_GB2312"/>
          <w:color w:val="auto"/>
          <w:sz w:val="32"/>
          <w:szCs w:val="32"/>
          <w:highlight w:val="none"/>
        </w:rPr>
        <w:t>在规定时间内与产权单位签订租赁合同或者买卖合同，</w:t>
      </w:r>
      <w:r>
        <w:rPr>
          <w:rFonts w:hint="eastAsia" w:ascii="仿宋_GB2312" w:hAnsi="仿宋_GB2312" w:eastAsia="仿宋_GB2312" w:cs="仿宋_GB2312"/>
          <w:color w:val="auto"/>
          <w:sz w:val="32"/>
          <w:szCs w:val="32"/>
          <w:highlight w:val="none"/>
          <w:lang w:eastAsia="zh-CN"/>
        </w:rPr>
        <w:t>共同申请人为未满</w:t>
      </w:r>
      <w:r>
        <w:rPr>
          <w:rFonts w:hint="eastAsia" w:ascii="仿宋_GB2312" w:hAnsi="仿宋_GB2312" w:eastAsia="仿宋_GB2312" w:cs="仿宋_GB2312"/>
          <w:color w:val="auto"/>
          <w:sz w:val="32"/>
          <w:szCs w:val="32"/>
          <w:highlight w:val="none"/>
          <w:lang w:val="en-US" w:eastAsia="zh-CN"/>
        </w:rPr>
        <w:t>18周岁的子女的除外。</w:t>
      </w:r>
      <w:r>
        <w:rPr>
          <w:rFonts w:hint="eastAsia" w:ascii="仿宋_GB2312" w:hAnsi="仿宋_GB2312" w:eastAsia="仿宋_GB2312" w:cs="仿宋_GB2312"/>
          <w:color w:val="auto"/>
          <w:sz w:val="32"/>
          <w:szCs w:val="32"/>
          <w:highlight w:val="none"/>
        </w:rPr>
        <w:t>合同签订30日内，由产权单位报送主管部门备案。已选房但未</w:t>
      </w:r>
      <w:r>
        <w:rPr>
          <w:rFonts w:hint="eastAsia" w:ascii="仿宋_GB2312" w:hAnsi="仿宋_GB2312" w:eastAsia="仿宋_GB2312" w:cs="仿宋_GB2312"/>
          <w:color w:val="auto"/>
          <w:sz w:val="32"/>
          <w:szCs w:val="32"/>
          <w:highlight w:val="none"/>
          <w:lang w:eastAsia="zh-CN"/>
        </w:rPr>
        <w:t>在规定时间内</w:t>
      </w:r>
      <w:r>
        <w:rPr>
          <w:rFonts w:hint="eastAsia" w:ascii="仿宋_GB2312" w:hAnsi="仿宋_GB2312" w:eastAsia="仿宋_GB2312" w:cs="仿宋_GB2312"/>
          <w:color w:val="auto"/>
          <w:sz w:val="32"/>
          <w:szCs w:val="32"/>
          <w:highlight w:val="none"/>
        </w:rPr>
        <w:t>签订合同的，本次选房</w:t>
      </w:r>
      <w:r>
        <w:rPr>
          <w:rFonts w:hint="eastAsia" w:ascii="仿宋_GB2312" w:hAnsi="仿宋_GB2312" w:eastAsia="仿宋_GB2312" w:cs="仿宋_GB2312"/>
          <w:color w:val="auto"/>
          <w:sz w:val="32"/>
          <w:szCs w:val="32"/>
          <w:highlight w:val="none"/>
          <w:lang w:eastAsia="zh-CN"/>
        </w:rPr>
        <w:t>行为</w:t>
      </w:r>
      <w:r>
        <w:rPr>
          <w:rFonts w:hint="eastAsia" w:ascii="仿宋_GB2312" w:hAnsi="仿宋_GB2312" w:eastAsia="仿宋_GB2312" w:cs="仿宋_GB2312"/>
          <w:color w:val="auto"/>
          <w:sz w:val="32"/>
          <w:szCs w:val="32"/>
          <w:highlight w:val="none"/>
        </w:rPr>
        <w:t>无效。</w:t>
      </w:r>
    </w:p>
    <w:p>
      <w:pPr>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七</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签订买卖合同的，产权单位</w:t>
      </w:r>
      <w:r>
        <w:rPr>
          <w:rFonts w:ascii="仿宋_GB2312" w:hAnsi="仿宋_GB2312" w:eastAsia="仿宋_GB2312" w:cs="仿宋_GB2312"/>
          <w:color w:val="auto"/>
          <w:sz w:val="32"/>
          <w:szCs w:val="32"/>
          <w:highlight w:val="none"/>
        </w:rPr>
        <w:t>办理安居型商品房初始登记后，协助</w:t>
      </w:r>
      <w:r>
        <w:rPr>
          <w:rFonts w:hint="eastAsia" w:ascii="仿宋_GB2312" w:hAnsi="仿宋_GB2312" w:eastAsia="仿宋_GB2312" w:cs="仿宋_GB2312"/>
          <w:color w:val="auto"/>
          <w:sz w:val="32"/>
          <w:szCs w:val="32"/>
          <w:highlight w:val="none"/>
        </w:rPr>
        <w:t>购房</w:t>
      </w:r>
      <w:r>
        <w:rPr>
          <w:rFonts w:hint="eastAsia" w:ascii="仿宋_GB2312" w:hAnsi="仿宋_GB2312" w:eastAsia="仿宋_GB2312" w:cs="仿宋_GB2312"/>
          <w:color w:val="auto"/>
          <w:sz w:val="32"/>
          <w:szCs w:val="32"/>
          <w:highlight w:val="none"/>
          <w:lang w:eastAsia="zh-CN"/>
        </w:rPr>
        <w:t>人</w:t>
      </w:r>
      <w:r>
        <w:rPr>
          <w:rFonts w:ascii="仿宋_GB2312" w:hAnsi="仿宋_GB2312" w:eastAsia="仿宋_GB2312" w:cs="仿宋_GB2312"/>
          <w:color w:val="auto"/>
          <w:sz w:val="32"/>
          <w:szCs w:val="32"/>
          <w:highlight w:val="none"/>
        </w:rPr>
        <w:t>办理不动产权证书。</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前款所称的合格申请</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本批次未选到住房或者未</w:t>
      </w:r>
      <w:r>
        <w:rPr>
          <w:rFonts w:hint="eastAsia" w:ascii="仿宋_GB2312" w:hAnsi="仿宋_GB2312" w:eastAsia="仿宋_GB2312" w:cs="仿宋_GB2312"/>
          <w:color w:val="auto"/>
          <w:sz w:val="32"/>
          <w:szCs w:val="32"/>
          <w:highlight w:val="none"/>
          <w:lang w:eastAsia="zh-CN"/>
        </w:rPr>
        <w:t>在规定时间内</w:t>
      </w:r>
      <w:r>
        <w:rPr>
          <w:rFonts w:hint="eastAsia" w:ascii="仿宋_GB2312" w:hAnsi="仿宋_GB2312" w:eastAsia="仿宋_GB2312" w:cs="仿宋_GB2312"/>
          <w:color w:val="auto"/>
          <w:sz w:val="32"/>
          <w:szCs w:val="32"/>
          <w:highlight w:val="none"/>
        </w:rPr>
        <w:t>签订合同的，其合格申请</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资格自动失效。</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申请人放弃选房或者未</w:t>
      </w:r>
      <w:r>
        <w:rPr>
          <w:rFonts w:hint="eastAsia" w:ascii="仿宋_GB2312" w:hAnsi="仿宋_GB2312" w:eastAsia="仿宋_GB2312" w:cs="仿宋_GB2312"/>
          <w:color w:val="auto"/>
          <w:sz w:val="32"/>
          <w:szCs w:val="32"/>
          <w:highlight w:val="none"/>
          <w:lang w:eastAsia="zh-CN"/>
        </w:rPr>
        <w:t>在规定时间内</w:t>
      </w:r>
      <w:r>
        <w:rPr>
          <w:rFonts w:hint="eastAsia" w:ascii="仿宋_GB2312" w:hAnsi="仿宋_GB2312" w:eastAsia="仿宋_GB2312" w:cs="仿宋_GB2312"/>
          <w:color w:val="auto"/>
          <w:sz w:val="32"/>
          <w:szCs w:val="32"/>
          <w:highlight w:val="none"/>
        </w:rPr>
        <w:t>签订合同，累计</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次的，5年内不得再次申请安居型商品房。</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黑体" w:hAnsi="黑体" w:eastAsia="黑体"/>
          <w:bCs/>
          <w:color w:val="auto"/>
          <w:sz w:val="32"/>
          <w:szCs w:val="32"/>
          <w:highlight w:val="none"/>
        </w:rPr>
        <w:t>第三十六条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安居型商品房应当采用公开、公平和公正的方式进行选房，并在配租（售）通告中载明。选房方式包括：</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（一）依次自主选房。即入围名单内的申请人按照确定的排序，依次参加选房，按照规定的建筑面积标准，选择其中一套住房；</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（二）依次抽签选房。即入围名单内的申请人按照确定的排序，依次参加抽签，按照规定的建筑面积标准选择一套住房；</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（三）计算机自动编配选房。通过计算机一次性为入围名单内的申请人自动编配一套符合规定建筑面积标准的安居型商品房；</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（四）其他符合公开、公平和公正原则，经市主管部门审查、认可的选房方式。</w:t>
      </w:r>
    </w:p>
    <w:p>
      <w:pPr>
        <w:spacing w:line="560" w:lineRule="exact"/>
        <w:ind w:firstLine="640" w:firstLineChars="200"/>
        <w:outlineLvl w:val="2"/>
        <w:rPr>
          <w:rFonts w:ascii="仿宋_GB2312" w:hAnsi="仿宋_GB2312" w:eastAsia="仿宋_GB2312" w:cs="仿宋_GB2312"/>
          <w:color w:val="auto"/>
          <w:sz w:val="32"/>
          <w:szCs w:val="32"/>
          <w:highlight w:val="none"/>
        </w:rPr>
      </w:pPr>
      <w:bookmarkStart w:id="251" w:name="_Toc17868_WPSOffice_Level2"/>
      <w:bookmarkStart w:id="252" w:name="_Toc493"/>
      <w:bookmarkStart w:id="253" w:name="_Toc22361"/>
      <w:bookmarkStart w:id="254" w:name="_Toc9109"/>
      <w:bookmarkStart w:id="255" w:name="_Toc5313"/>
      <w:bookmarkStart w:id="256" w:name="_Toc13103"/>
      <w:bookmarkStart w:id="257" w:name="_Toc523428826"/>
      <w:bookmarkStart w:id="258" w:name="_Toc14042"/>
      <w:bookmarkStart w:id="259" w:name="_Toc18803"/>
      <w:bookmarkStart w:id="260" w:name="_Toc30674"/>
      <w:r>
        <w:rPr>
          <w:rFonts w:hint="eastAsia" w:ascii="黑体" w:hAnsi="黑体" w:eastAsia="黑体"/>
          <w:bCs/>
          <w:color w:val="auto"/>
          <w:sz w:val="32"/>
          <w:szCs w:val="32"/>
          <w:highlight w:val="none"/>
        </w:rPr>
        <w:t>第三十</w:t>
      </w:r>
      <w:r>
        <w:rPr>
          <w:rFonts w:hint="eastAsia" w:ascii="黑体" w:hAnsi="黑体" w:eastAsia="黑体"/>
          <w:bCs/>
          <w:color w:val="auto"/>
          <w:sz w:val="32"/>
          <w:szCs w:val="32"/>
          <w:highlight w:val="none"/>
          <w:lang w:eastAsia="zh-CN"/>
        </w:rPr>
        <w:t>七</w:t>
      </w:r>
      <w:r>
        <w:rPr>
          <w:rFonts w:hint="eastAsia" w:ascii="黑体" w:hAnsi="黑体" w:eastAsia="黑体"/>
          <w:bCs/>
          <w:color w:val="auto"/>
          <w:sz w:val="32"/>
          <w:szCs w:val="32"/>
          <w:highlight w:val="none"/>
        </w:rPr>
        <w:t>条</w:t>
      </w:r>
      <w:bookmarkEnd w:id="251"/>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bCs w:val="0"/>
          <w:color w:val="auto"/>
          <w:sz w:val="32"/>
          <w:szCs w:val="32"/>
          <w:highlight w:val="none"/>
          <w:lang w:eastAsia="zh-CN"/>
        </w:rPr>
        <w:t>承租人</w:t>
      </w:r>
      <w:r>
        <w:rPr>
          <w:rFonts w:hint="eastAsia" w:ascii="仿宋_GB2312" w:hAnsi="仿宋_GB2312" w:eastAsia="仿宋_GB2312" w:cs="仿宋_GB2312"/>
          <w:color w:val="auto"/>
          <w:sz w:val="32"/>
          <w:szCs w:val="32"/>
          <w:highlight w:val="none"/>
        </w:rPr>
        <w:t>应当与产权单位签订租赁合同，租赁合同的有效期为3年，租金</w:t>
      </w:r>
      <w:bookmarkStart w:id="261" w:name="_Hlk527540760"/>
      <w:r>
        <w:rPr>
          <w:rFonts w:hint="eastAsia" w:ascii="仿宋_GB2312" w:hAnsi="仿宋_GB2312" w:eastAsia="仿宋_GB2312" w:cs="仿宋_GB2312"/>
          <w:color w:val="auto"/>
          <w:sz w:val="32"/>
          <w:szCs w:val="32"/>
          <w:highlight w:val="none"/>
        </w:rPr>
        <w:t>按照本办法第二十</w:t>
      </w:r>
      <w:r>
        <w:rPr>
          <w:rFonts w:hint="eastAsia" w:ascii="仿宋_GB2312" w:hAnsi="仿宋_GB2312" w:eastAsia="仿宋_GB2312" w:cs="仿宋_GB2312"/>
          <w:color w:val="auto"/>
          <w:sz w:val="32"/>
          <w:szCs w:val="32"/>
          <w:highlight w:val="none"/>
          <w:lang w:eastAsia="zh-CN"/>
        </w:rPr>
        <w:t>八</w:t>
      </w:r>
      <w:r>
        <w:rPr>
          <w:rFonts w:hint="eastAsia" w:ascii="仿宋_GB2312" w:hAnsi="仿宋_GB2312" w:eastAsia="仿宋_GB2312" w:cs="仿宋_GB2312"/>
          <w:color w:val="auto"/>
          <w:sz w:val="32"/>
          <w:szCs w:val="32"/>
          <w:highlight w:val="none"/>
        </w:rPr>
        <w:t>条执行</w:t>
      </w:r>
      <w:bookmarkEnd w:id="261"/>
      <w:r>
        <w:rPr>
          <w:rFonts w:hint="eastAsia" w:ascii="仿宋_GB2312" w:hAnsi="仿宋_GB2312" w:eastAsia="仿宋_GB2312" w:cs="仿宋_GB2312"/>
          <w:color w:val="auto"/>
          <w:sz w:val="32"/>
          <w:szCs w:val="32"/>
          <w:highlight w:val="none"/>
        </w:rPr>
        <w:t>。</w:t>
      </w:r>
    </w:p>
    <w:p>
      <w:pPr>
        <w:spacing w:line="560" w:lineRule="exact"/>
        <w:ind w:firstLine="640" w:firstLineChars="200"/>
        <w:outlineLvl w:val="2"/>
        <w:rPr>
          <w:rFonts w:ascii="黑体" w:hAnsi="黑体" w:eastAsia="仿宋_GB2312"/>
          <w:bCs/>
          <w:color w:val="auto"/>
          <w:sz w:val="32"/>
          <w:szCs w:val="32"/>
          <w:highlight w:val="none"/>
        </w:rPr>
      </w:pPr>
      <w:r>
        <w:rPr>
          <w:rFonts w:hint="eastAsia" w:ascii="仿宋_GB2312" w:hAnsi="仿宋_GB2312" w:eastAsia="仿宋_GB2312" w:cs="仿宋_GB2312"/>
          <w:color w:val="auto"/>
          <w:sz w:val="32"/>
          <w:szCs w:val="32"/>
          <w:highlight w:val="none"/>
        </w:rPr>
        <w:t>租赁期限届满后，符合本办法第三十</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条规定的，可以续签合同1次，续签合同期限为3年，但租金标准应</w:t>
      </w:r>
      <w:r>
        <w:rPr>
          <w:rFonts w:hint="eastAsia" w:ascii="仿宋_GB2312" w:hAnsi="仿宋_GB2312" w:eastAsia="仿宋_GB2312" w:cs="仿宋_GB2312"/>
          <w:color w:val="auto"/>
          <w:sz w:val="32"/>
          <w:szCs w:val="32"/>
          <w:highlight w:val="none"/>
          <w:lang w:eastAsia="zh-CN"/>
        </w:rPr>
        <w:t>当</w:t>
      </w:r>
      <w:r>
        <w:rPr>
          <w:rFonts w:hint="eastAsia" w:ascii="仿宋_GB2312" w:hAnsi="仿宋_GB2312" w:eastAsia="仿宋_GB2312" w:cs="仿宋_GB2312"/>
          <w:color w:val="auto"/>
          <w:sz w:val="32"/>
          <w:szCs w:val="32"/>
          <w:highlight w:val="none"/>
        </w:rPr>
        <w:t>按照续签合同时同区域同类型市场商品住房租金执行。</w:t>
      </w:r>
      <w:bookmarkEnd w:id="252"/>
      <w:bookmarkEnd w:id="253"/>
      <w:bookmarkEnd w:id="254"/>
      <w:bookmarkEnd w:id="255"/>
      <w:bookmarkEnd w:id="256"/>
      <w:bookmarkEnd w:id="257"/>
      <w:bookmarkEnd w:id="258"/>
      <w:bookmarkEnd w:id="259"/>
      <w:bookmarkEnd w:id="260"/>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bCs/>
          <w:color w:val="auto"/>
          <w:sz w:val="32"/>
          <w:szCs w:val="32"/>
          <w:highlight w:val="none"/>
        </w:rPr>
        <w:t>第三十</w:t>
      </w:r>
      <w:r>
        <w:rPr>
          <w:rFonts w:hint="eastAsia" w:ascii="黑体" w:hAnsi="黑体" w:eastAsia="黑体"/>
          <w:bCs/>
          <w:color w:val="auto"/>
          <w:sz w:val="32"/>
          <w:szCs w:val="32"/>
          <w:highlight w:val="none"/>
          <w:lang w:eastAsia="zh-CN"/>
        </w:rPr>
        <w:t>八</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租赁期间，承租</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符合本办法第三十</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条规定的，经主管部门同意，可以申请购买所承租的安居型商品房，购</w:t>
      </w:r>
      <w:r>
        <w:rPr>
          <w:rFonts w:hint="eastAsia" w:ascii="仿宋_GB2312" w:hAnsi="仿宋_GB2312" w:eastAsia="仿宋_GB2312" w:cs="仿宋_GB2312"/>
          <w:color w:val="auto"/>
          <w:sz w:val="32"/>
          <w:szCs w:val="32"/>
          <w:highlight w:val="none"/>
          <w:lang w:eastAsia="zh-CN"/>
        </w:rPr>
        <w:t>买</w:t>
      </w:r>
      <w:r>
        <w:rPr>
          <w:rFonts w:hint="eastAsia" w:ascii="仿宋_GB2312" w:hAnsi="仿宋_GB2312" w:eastAsia="仿宋_GB2312" w:cs="仿宋_GB2312"/>
          <w:color w:val="auto"/>
          <w:sz w:val="32"/>
          <w:szCs w:val="32"/>
          <w:highlight w:val="none"/>
        </w:rPr>
        <w:t>价格为</w:t>
      </w:r>
      <w:r>
        <w:rPr>
          <w:rFonts w:hint="eastAsia" w:ascii="仿宋_GB2312" w:hAnsi="仿宋_GB2312" w:eastAsia="仿宋_GB2312" w:cs="仿宋_GB2312"/>
          <w:i w:val="0"/>
          <w:iCs w:val="0"/>
          <w:sz w:val="32"/>
          <w:szCs w:val="32"/>
          <w:highlight w:val="none"/>
          <w:u w:val="none"/>
          <w:lang w:val="en-US" w:eastAsia="zh-CN"/>
        </w:rPr>
        <w:t>实际购房时</w:t>
      </w:r>
      <w:r>
        <w:rPr>
          <w:rFonts w:hint="eastAsia" w:ascii="仿宋_GB2312" w:hAnsi="仿宋_GB2312" w:eastAsia="仿宋_GB2312" w:cs="仿宋_GB2312"/>
          <w:color w:val="auto"/>
          <w:sz w:val="32"/>
          <w:szCs w:val="32"/>
          <w:highlight w:val="none"/>
        </w:rPr>
        <w:t>同区域同类型市场商品住房售价的50%。</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承租</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依照前款规定购买安居型商品房的，产权单位及相关部门应当协助办理不动产权登记手续。</w:t>
      </w:r>
    </w:p>
    <w:p>
      <w:pPr>
        <w:numPr>
          <w:ilvl w:val="255"/>
          <w:numId w:val="0"/>
        </w:numPr>
        <w:spacing w:line="560" w:lineRule="exact"/>
        <w:ind w:firstLine="640" w:firstLineChars="200"/>
        <w:rPr>
          <w:rFonts w:ascii="仿宋_GB2312" w:hAnsi="仿宋_GB2312" w:eastAsia="仿宋_GB2312" w:cs="仿宋_GB2312"/>
          <w:color w:val="auto"/>
          <w:sz w:val="32"/>
          <w:szCs w:val="32"/>
          <w:highlight w:val="none"/>
        </w:rPr>
      </w:pPr>
      <w:r>
        <w:rPr>
          <w:rFonts w:hint="eastAsia" w:ascii="黑体" w:hAnsi="黑体" w:eastAsia="黑体"/>
          <w:bCs/>
          <w:color w:val="auto"/>
          <w:sz w:val="32"/>
          <w:szCs w:val="32"/>
          <w:highlight w:val="none"/>
        </w:rPr>
        <w:t>第三十</w:t>
      </w:r>
      <w:r>
        <w:rPr>
          <w:rFonts w:hint="eastAsia" w:ascii="黑体" w:hAnsi="黑体" w:eastAsia="黑体"/>
          <w:bCs/>
          <w:color w:val="auto"/>
          <w:sz w:val="32"/>
          <w:szCs w:val="32"/>
          <w:highlight w:val="none"/>
          <w:lang w:eastAsia="zh-CN"/>
        </w:rPr>
        <w:t>九</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租赁期限届满，承租</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未提出续签申请或者购房申请的，应当退出所承租的安居型商品房。逾期不退出的，按照租赁合同相关规定执行。</w:t>
      </w:r>
    </w:p>
    <w:p>
      <w:pPr>
        <w:numPr>
          <w:ilvl w:val="255"/>
          <w:numId w:val="0"/>
        </w:numPr>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依照前款规定退出后，需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要</w:t>
      </w:r>
      <w:r>
        <w:rPr>
          <w:rFonts w:hint="eastAsia" w:ascii="仿宋_GB2312" w:hAnsi="仿宋_GB2312" w:eastAsia="仿宋_GB2312" w:cs="仿宋_GB2312"/>
          <w:color w:val="000000" w:themeColor="text1"/>
          <w:sz w:val="32"/>
          <w:szCs w:val="32"/>
          <w:highlight w:val="none"/>
          <w14:textFill>
            <w14:solidFill>
              <w14:schemeClr w14:val="tx1"/>
            </w14:solidFill>
          </w14:textFill>
        </w:rPr>
        <w:t>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买</w:t>
      </w:r>
      <w:r>
        <w:rPr>
          <w:rFonts w:hint="eastAsia" w:ascii="仿宋_GB2312" w:hAnsi="仿宋_GB2312" w:eastAsia="仿宋_GB2312" w:cs="仿宋_GB2312"/>
          <w:color w:val="000000" w:themeColor="text1"/>
          <w:sz w:val="32"/>
          <w:szCs w:val="32"/>
          <w:highlight w:val="none"/>
          <w14:textFill>
            <w14:solidFill>
              <w14:schemeClr w14:val="tx1"/>
            </w14:solidFill>
          </w14:textFill>
        </w:rPr>
        <w:t>安居型商品房的，可以按照本办法第三十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highlight w:val="none"/>
          <w14:textFill>
            <w14:solidFill>
              <w14:schemeClr w14:val="tx1"/>
            </w14:solidFill>
          </w14:textFill>
        </w:rPr>
        <w:t>条规定重新提出申请。2次退出的，5年内不得申请安居型商品房。</w:t>
      </w:r>
    </w:p>
    <w:p>
      <w:pPr>
        <w:spacing w:beforeLines="50" w:afterLines="50" w:line="560" w:lineRule="exact"/>
        <w:jc w:val="center"/>
        <w:outlineLvl w:val="1"/>
        <w:rPr>
          <w:rFonts w:hint="eastAsia" w:ascii="黑体" w:hAnsi="黑体" w:eastAsia="黑体" w:cs="宋体"/>
          <w:bCs/>
          <w:color w:val="auto"/>
          <w:sz w:val="32"/>
          <w:szCs w:val="32"/>
          <w:highlight w:val="none"/>
        </w:rPr>
      </w:pPr>
      <w:bookmarkStart w:id="262" w:name="_Toc523428828"/>
      <w:bookmarkStart w:id="263" w:name="_Toc11599"/>
      <w:bookmarkStart w:id="264" w:name="_Toc2456"/>
      <w:bookmarkStart w:id="265" w:name="_Toc4929"/>
      <w:bookmarkStart w:id="266" w:name="_Toc1575"/>
      <w:bookmarkStart w:id="267" w:name="_Toc28669_WPSOffice_Level2"/>
      <w:bookmarkStart w:id="268" w:name="_Toc5114"/>
      <w:r>
        <w:rPr>
          <w:rFonts w:hint="eastAsia" w:ascii="黑体" w:hAnsi="黑体" w:eastAsia="黑体" w:cs="宋体"/>
          <w:bCs/>
          <w:color w:val="auto"/>
          <w:sz w:val="32"/>
          <w:szCs w:val="32"/>
          <w:highlight w:val="none"/>
        </w:rPr>
        <w:t>第四章 封闭流转</w:t>
      </w:r>
      <w:bookmarkEnd w:id="262"/>
      <w:bookmarkEnd w:id="263"/>
      <w:bookmarkEnd w:id="264"/>
      <w:bookmarkEnd w:id="265"/>
      <w:bookmarkEnd w:id="266"/>
    </w:p>
    <w:p>
      <w:pPr>
        <w:spacing w:line="560" w:lineRule="exact"/>
        <w:ind w:firstLine="640" w:firstLineChars="200"/>
        <w:outlineLvl w:val="2"/>
        <w:rPr>
          <w:rFonts w:ascii="仿宋_GB2312" w:hAnsi="仿宋_GB2312" w:eastAsia="仿宋_GB2312" w:cs="仿宋_GB2312"/>
          <w:color w:val="000000" w:themeColor="text1"/>
          <w:sz w:val="32"/>
          <w:szCs w:val="32"/>
          <w:highlight w:val="none"/>
          <w14:textFill>
            <w14:solidFill>
              <w14:schemeClr w14:val="tx1"/>
            </w14:solidFill>
          </w14:textFill>
        </w:rPr>
      </w:pPr>
      <w:bookmarkStart w:id="269" w:name="_Toc523428829"/>
      <w:r>
        <w:rPr>
          <w:rFonts w:hint="eastAsia" w:ascii="黑体" w:hAnsi="黑体" w:eastAsia="黑体"/>
          <w:color w:val="000000" w:themeColor="text1"/>
          <w:sz w:val="32"/>
          <w:szCs w:val="32"/>
          <w:highlight w:val="none"/>
          <w14:textFill>
            <w14:solidFill>
              <w14:schemeClr w14:val="tx1"/>
            </w14:solidFill>
          </w14:textFill>
        </w:rPr>
        <w:t>第</w:t>
      </w:r>
      <w:r>
        <w:rPr>
          <w:rFonts w:hint="eastAsia" w:ascii="黑体" w:hAnsi="黑体" w:eastAsia="黑体"/>
          <w:color w:val="000000" w:themeColor="text1"/>
          <w:sz w:val="32"/>
          <w:szCs w:val="32"/>
          <w:highlight w:val="none"/>
          <w:lang w:eastAsia="zh-CN"/>
          <w14:textFill>
            <w14:solidFill>
              <w14:schemeClr w14:val="tx1"/>
            </w14:solidFill>
          </w14:textFill>
        </w:rPr>
        <w:t>四十</w:t>
      </w:r>
      <w:r>
        <w:rPr>
          <w:rFonts w:hint="eastAsia" w:ascii="黑体" w:hAnsi="黑体" w:eastAsia="黑体"/>
          <w:color w:val="000000" w:themeColor="text1"/>
          <w:sz w:val="32"/>
          <w:szCs w:val="32"/>
          <w:highlight w:val="none"/>
          <w14:textFill>
            <w14:solidFill>
              <w14:schemeClr w14:val="tx1"/>
            </w14:solidFill>
          </w14:textFill>
        </w:rPr>
        <w:t>条</w:t>
      </w:r>
      <w:r>
        <w:rPr>
          <w:rFonts w:hint="eastAsia" w:ascii="黑体" w:hAnsi="黑体" w:eastAsia="黑体"/>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购房</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人</w:t>
      </w:r>
      <w:r>
        <w:rPr>
          <w:rFonts w:hint="eastAsia" w:ascii="仿宋_GB2312" w:hAnsi="仿宋_GB2312" w:eastAsia="仿宋_GB2312" w:cs="仿宋_GB2312"/>
          <w:color w:val="000000" w:themeColor="text1"/>
          <w:sz w:val="32"/>
          <w:szCs w:val="32"/>
          <w:highlight w:val="none"/>
          <w14:textFill>
            <w14:solidFill>
              <w14:schemeClr w14:val="tx1"/>
            </w14:solidFill>
          </w14:textFill>
        </w:rPr>
        <w:t>自签订买卖合同之日起未满3年，有下列情形之一的，应当自该情形发生之日起60日内向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原</w:t>
      </w:r>
      <w:r>
        <w:rPr>
          <w:rFonts w:hint="eastAsia" w:ascii="仿宋_GB2312" w:hAnsi="仿宋_GB2312" w:eastAsia="仿宋_GB2312" w:cs="仿宋_GB2312"/>
          <w:color w:val="000000" w:themeColor="text1"/>
          <w:sz w:val="32"/>
          <w:szCs w:val="32"/>
          <w:highlight w:val="none"/>
          <w14:textFill>
            <w14:solidFill>
              <w14:schemeClr w14:val="tx1"/>
            </w14:solidFill>
          </w14:textFill>
        </w:rPr>
        <w:t>产权单位或者主管部门申请回购，</w:t>
      </w:r>
      <w:r>
        <w:rPr>
          <w:rFonts w:hint="eastAsia" w:ascii="仿宋_GB2312" w:hAnsi="仿宋_GB2312" w:eastAsia="仿宋_GB2312" w:cs="仿宋_GB2312"/>
          <w:color w:val="auto"/>
          <w:sz w:val="32"/>
          <w:szCs w:val="32"/>
          <w:highlight w:val="none"/>
        </w:rPr>
        <w:t>逾期未申请回购的，由</w:t>
      </w:r>
      <w:r>
        <w:rPr>
          <w:rFonts w:hint="eastAsia" w:ascii="仿宋_GB2312" w:hAnsi="仿宋_GB2312" w:eastAsia="仿宋_GB2312" w:cs="仿宋_GB2312"/>
          <w:color w:val="auto"/>
          <w:sz w:val="32"/>
          <w:szCs w:val="32"/>
          <w:highlight w:val="none"/>
          <w:lang w:eastAsia="zh-CN"/>
        </w:rPr>
        <w:t>原</w:t>
      </w:r>
      <w:r>
        <w:rPr>
          <w:rFonts w:hint="eastAsia" w:ascii="仿宋_GB2312" w:hAnsi="仿宋_GB2312" w:eastAsia="仿宋_GB2312" w:cs="仿宋_GB2312"/>
          <w:color w:val="auto"/>
          <w:sz w:val="32"/>
          <w:szCs w:val="32"/>
          <w:highlight w:val="none"/>
        </w:rPr>
        <w:t>产权单位或者主管部门解除合同，按</w:t>
      </w:r>
      <w:r>
        <w:rPr>
          <w:rFonts w:hint="eastAsia" w:ascii="仿宋_GB2312" w:hAnsi="仿宋_GB2312" w:eastAsia="仿宋_GB2312" w:cs="仿宋_GB2312"/>
          <w:color w:val="auto"/>
          <w:sz w:val="32"/>
          <w:szCs w:val="32"/>
          <w:highlight w:val="none"/>
          <w:lang w:eastAsia="zh-CN"/>
        </w:rPr>
        <w:t>照</w:t>
      </w:r>
      <w:r>
        <w:rPr>
          <w:rFonts w:hint="eastAsia" w:ascii="仿宋_GB2312" w:hAnsi="仿宋_GB2312" w:eastAsia="仿宋_GB2312" w:cs="仿宋_GB2312"/>
          <w:color w:val="auto"/>
          <w:sz w:val="32"/>
          <w:szCs w:val="32"/>
          <w:highlight w:val="none"/>
        </w:rPr>
        <w:t>原购买价格收回住房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同时按照本办法</w:t>
      </w:r>
      <w:r>
        <w:rPr>
          <w:rFonts w:hint="eastAsia" w:ascii="仿宋_GB2312" w:hAnsi="仿宋_GB2312" w:eastAsia="仿宋_GB2312" w:cs="仿宋_GB2312"/>
          <w:bCs w:val="0"/>
          <w:color w:val="auto"/>
          <w:sz w:val="32"/>
          <w:szCs w:val="32"/>
          <w:highlight w:val="none"/>
        </w:rPr>
        <w:t>第四十</w:t>
      </w:r>
      <w:r>
        <w:rPr>
          <w:rFonts w:hint="eastAsia" w:ascii="仿宋_GB2312" w:hAnsi="仿宋_GB2312" w:eastAsia="仿宋_GB2312" w:cs="仿宋_GB2312"/>
          <w:bCs w:val="0"/>
          <w:color w:val="auto"/>
          <w:sz w:val="32"/>
          <w:szCs w:val="32"/>
          <w:highlight w:val="none"/>
          <w:lang w:eastAsia="zh-CN"/>
        </w:rPr>
        <w:t>八</w:t>
      </w:r>
      <w:r>
        <w:rPr>
          <w:rFonts w:hint="eastAsia" w:ascii="仿宋_GB2312" w:hAnsi="仿宋_GB2312" w:eastAsia="仿宋_GB2312" w:cs="仿宋_GB2312"/>
          <w:bCs w:val="0"/>
          <w:color w:val="auto"/>
          <w:sz w:val="32"/>
          <w:szCs w:val="32"/>
          <w:highlight w:val="none"/>
        </w:rPr>
        <w:t>条</w:t>
      </w:r>
      <w:r>
        <w:rPr>
          <w:rFonts w:hint="eastAsia" w:ascii="仿宋_GB2312" w:hAnsi="仿宋_GB2312" w:eastAsia="仿宋_GB2312" w:cs="仿宋_GB2312"/>
          <w:bCs w:val="0"/>
          <w:color w:val="auto"/>
          <w:sz w:val="32"/>
          <w:szCs w:val="32"/>
          <w:highlight w:val="none"/>
          <w:lang w:eastAsia="zh-CN"/>
        </w:rPr>
        <w:t>规定</w:t>
      </w:r>
      <w:r>
        <w:rPr>
          <w:rFonts w:hint="eastAsia" w:ascii="仿宋_GB2312" w:hAnsi="仿宋_GB2312" w:eastAsia="仿宋_GB2312" w:cs="仿宋_GB2312"/>
          <w:bCs w:val="0"/>
          <w:color w:val="auto"/>
          <w:sz w:val="32"/>
          <w:szCs w:val="32"/>
          <w:highlight w:val="none"/>
          <w:lang w:val="en-US" w:eastAsia="zh-CN"/>
        </w:rPr>
        <w:t>收取租金</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（一）因购买、接受赠与、继承等方式在本市拥有自有住房的，但继承的自有住房建筑面积不超过90平方米的除外；</w:t>
      </w:r>
    </w:p>
    <w:p>
      <w:pPr>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（二）因婚姻状况变化等原因而拥有两套及以上安居型商品房、保障性住房等政策优惠性质住房，或者在本市拥有其他自有住房的；</w:t>
      </w:r>
    </w:p>
    <w:p>
      <w:pPr>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（三）全部家庭成员户籍均迁出本市的；</w:t>
      </w:r>
    </w:p>
    <w:p>
      <w:pPr>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（四）其他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需要回购</w:t>
      </w:r>
      <w:r>
        <w:rPr>
          <w:rFonts w:hint="eastAsia" w:ascii="仿宋_GB2312" w:hAnsi="仿宋_GB2312" w:eastAsia="仿宋_GB2312" w:cs="仿宋_GB2312"/>
          <w:color w:val="000000" w:themeColor="text1"/>
          <w:sz w:val="32"/>
          <w:szCs w:val="32"/>
          <w:highlight w:val="none"/>
          <w14:textFill>
            <w14:solidFill>
              <w14:schemeClr w14:val="tx1"/>
            </w14:solidFill>
          </w14:textFill>
        </w:rPr>
        <w:t>的情形。</w:t>
      </w:r>
    </w:p>
    <w:p>
      <w:pPr>
        <w:spacing w:line="560" w:lineRule="exact"/>
        <w:ind w:firstLine="640" w:firstLineChars="200"/>
        <w:outlineLvl w:val="2"/>
        <w:rPr>
          <w:rFonts w:ascii="黑体" w:hAnsi="黑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购房</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人</w:t>
      </w:r>
      <w:r>
        <w:rPr>
          <w:rFonts w:hint="eastAsia" w:ascii="仿宋_GB2312" w:hAnsi="仿宋_GB2312" w:eastAsia="仿宋_GB2312" w:cs="仿宋_GB2312"/>
          <w:color w:val="000000" w:themeColor="text1"/>
          <w:sz w:val="32"/>
          <w:szCs w:val="32"/>
          <w:highlight w:val="none"/>
          <w14:textFill>
            <w14:solidFill>
              <w14:schemeClr w14:val="tx1"/>
            </w14:solidFill>
          </w14:textFill>
        </w:rPr>
        <w:t>自签订买卖合同之日起满3年至取得完全产权前，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需要转让或者</w:t>
      </w:r>
      <w:r>
        <w:rPr>
          <w:rFonts w:hint="eastAsia" w:ascii="仿宋_GB2312" w:hAnsi="仿宋_GB2312" w:eastAsia="仿宋_GB2312" w:cs="仿宋_GB2312"/>
          <w:color w:val="000000" w:themeColor="text1"/>
          <w:sz w:val="32"/>
          <w:szCs w:val="32"/>
          <w:highlight w:val="none"/>
          <w14:textFill>
            <w14:solidFill>
              <w14:schemeClr w14:val="tx1"/>
            </w14:solidFill>
          </w14:textFill>
        </w:rPr>
        <w:t>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本条</w:t>
      </w:r>
      <w:r>
        <w:rPr>
          <w:rFonts w:hint="eastAsia" w:ascii="仿宋_GB2312" w:hAnsi="仿宋_GB2312" w:eastAsia="仿宋_GB2312" w:cs="仿宋_GB2312"/>
          <w:color w:val="000000" w:themeColor="text1"/>
          <w:sz w:val="32"/>
          <w:szCs w:val="32"/>
          <w:highlight w:val="none"/>
          <w14:textFill>
            <w14:solidFill>
              <w14:schemeClr w14:val="tx1"/>
            </w14:solidFill>
          </w14:textFill>
        </w:rPr>
        <w:t>第一款规定情形</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之一</w:t>
      </w:r>
      <w:r>
        <w:rPr>
          <w:rFonts w:hint="eastAsia" w:ascii="仿宋_GB2312" w:hAnsi="仿宋_GB2312" w:eastAsia="仿宋_GB2312" w:cs="仿宋_GB2312"/>
          <w:color w:val="000000" w:themeColor="text1"/>
          <w:sz w:val="32"/>
          <w:szCs w:val="32"/>
          <w:highlight w:val="none"/>
          <w14:textFill>
            <w14:solidFill>
              <w14:schemeClr w14:val="tx1"/>
            </w14:solidFill>
          </w14:textFill>
        </w:rPr>
        <w:t>的，应当按照规定将所购安居型商品房面向在册轮候人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或者</w:t>
      </w:r>
      <w:r>
        <w:rPr>
          <w:rFonts w:hint="eastAsia" w:ascii="仿宋_GB2312" w:hAnsi="仿宋_GB2312" w:eastAsia="仿宋_GB2312" w:cs="仿宋_GB2312"/>
          <w:color w:val="000000" w:themeColor="text1"/>
          <w:sz w:val="32"/>
          <w:szCs w:val="32"/>
          <w:highlight w:val="none"/>
          <w14:textFill>
            <w14:solidFill>
              <w14:schemeClr w14:val="tx1"/>
            </w14:solidFill>
          </w14:textFill>
        </w:rPr>
        <w:t>符合本办法第三十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highlight w:val="none"/>
          <w14:textFill>
            <w14:solidFill>
              <w14:schemeClr w14:val="tx1"/>
            </w14:solidFill>
          </w14:textFill>
        </w:rPr>
        <w:t>条申请条件的对象转让，或者向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原</w:t>
      </w:r>
      <w:r>
        <w:rPr>
          <w:rFonts w:hint="eastAsia" w:ascii="仿宋_GB2312" w:eastAsia="仿宋_GB2312"/>
          <w:bCs/>
          <w:color w:val="auto"/>
          <w:sz w:val="32"/>
          <w:szCs w:val="32"/>
          <w:highlight w:val="none"/>
        </w:rPr>
        <w:t>产权单位</w:t>
      </w:r>
      <w:r>
        <w:rPr>
          <w:rFonts w:hint="eastAsia" w:ascii="仿宋_GB2312" w:hAnsi="仿宋_GB2312" w:eastAsia="仿宋_GB2312" w:cs="仿宋_GB2312"/>
          <w:color w:val="000000" w:themeColor="text1"/>
          <w:sz w:val="32"/>
          <w:szCs w:val="32"/>
          <w:highlight w:val="none"/>
          <w14:textFill>
            <w14:solidFill>
              <w14:schemeClr w14:val="tx1"/>
            </w14:solidFill>
          </w14:textFill>
        </w:rPr>
        <w:t>或者主管部门申请回购。</w:t>
      </w:r>
      <w:bookmarkEnd w:id="269"/>
    </w:p>
    <w:p>
      <w:pPr>
        <w:spacing w:line="56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购房</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人</w:t>
      </w:r>
      <w:r>
        <w:rPr>
          <w:rFonts w:hint="eastAsia" w:ascii="仿宋_GB2312" w:hAnsi="仿宋_GB2312" w:eastAsia="仿宋_GB2312" w:cs="仿宋_GB2312"/>
          <w:color w:val="000000" w:themeColor="text1"/>
          <w:sz w:val="32"/>
          <w:szCs w:val="32"/>
          <w:highlight w:val="none"/>
          <w14:textFill>
            <w14:solidFill>
              <w14:schemeClr w14:val="tx1"/>
            </w14:solidFill>
          </w14:textFill>
        </w:rPr>
        <w:t>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本条</w:t>
      </w:r>
      <w:r>
        <w:rPr>
          <w:rFonts w:hint="eastAsia" w:ascii="仿宋_GB2312" w:hAnsi="仿宋_GB2312" w:eastAsia="仿宋_GB2312" w:cs="仿宋_GB2312"/>
          <w:color w:val="000000" w:themeColor="text1"/>
          <w:sz w:val="32"/>
          <w:szCs w:val="32"/>
          <w:highlight w:val="none"/>
          <w14:textFill>
            <w14:solidFill>
              <w14:schemeClr w14:val="tx1"/>
            </w14:solidFill>
          </w14:textFill>
        </w:rPr>
        <w:t>第一款第</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（二）项情形的，不动产登记机构在受理其自有住房产权登记申请后，应当及时告知主管部门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予以</w:t>
      </w:r>
      <w:r>
        <w:rPr>
          <w:rFonts w:hint="eastAsia" w:ascii="仿宋_GB2312" w:hAnsi="仿宋_GB2312" w:eastAsia="仿宋_GB2312" w:cs="仿宋_GB2312"/>
          <w:color w:val="000000" w:themeColor="text1"/>
          <w:sz w:val="32"/>
          <w:szCs w:val="32"/>
          <w:highlight w:val="none"/>
          <w14:textFill>
            <w14:solidFill>
              <w14:schemeClr w14:val="tx1"/>
            </w14:solidFill>
          </w14:textFill>
        </w:rPr>
        <w:t>处理。</w:t>
      </w:r>
    </w:p>
    <w:p>
      <w:pPr>
        <w:spacing w:line="560" w:lineRule="exact"/>
        <w:ind w:firstLine="640" w:firstLineChars="200"/>
        <w:outlineLvl w:val="2"/>
        <w:rPr>
          <w:rFonts w:ascii="仿宋_GB2312" w:hAnsi="仿宋_GB2312" w:eastAsia="仿宋_GB2312" w:cs="仿宋_GB2312"/>
          <w:bCs/>
          <w:color w:val="auto"/>
          <w:sz w:val="32"/>
          <w:szCs w:val="32"/>
          <w:highlight w:val="none"/>
        </w:rPr>
      </w:pPr>
      <w:bookmarkStart w:id="270" w:name="_Toc8015"/>
      <w:bookmarkStart w:id="271" w:name="_Toc15452"/>
      <w:bookmarkStart w:id="272" w:name="_Toc523428830"/>
      <w:bookmarkStart w:id="273" w:name="_Toc23187"/>
      <w:bookmarkStart w:id="274" w:name="_Toc1939"/>
      <w:r>
        <w:rPr>
          <w:rFonts w:hint="eastAsia" w:ascii="黑体" w:hAnsi="黑体" w:eastAsia="黑体"/>
          <w:bCs/>
          <w:color w:val="auto"/>
          <w:sz w:val="32"/>
          <w:szCs w:val="32"/>
          <w:highlight w:val="none"/>
        </w:rPr>
        <w:t>第</w:t>
      </w:r>
      <w:r>
        <w:rPr>
          <w:rFonts w:hint="eastAsia" w:ascii="黑体" w:hAnsi="黑体" w:eastAsia="黑体"/>
          <w:bCs/>
          <w:color w:val="auto"/>
          <w:sz w:val="32"/>
          <w:szCs w:val="32"/>
          <w:highlight w:val="none"/>
          <w:lang w:eastAsia="zh-CN"/>
        </w:rPr>
        <w:t>四十一</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bCs/>
          <w:color w:val="auto"/>
          <w:sz w:val="32"/>
          <w:szCs w:val="32"/>
          <w:highlight w:val="none"/>
        </w:rPr>
        <w:t>安居型商品房在取得完全产权前，因银行实现抵押权、人民法院强制执行等原因而处置安居型商品房的，司法机关或者购房</w:t>
      </w:r>
      <w:r>
        <w:rPr>
          <w:rFonts w:hint="eastAsia" w:ascii="仿宋_GB2312" w:hAnsi="仿宋_GB2312" w:eastAsia="仿宋_GB2312" w:cs="仿宋_GB2312"/>
          <w:bCs/>
          <w:color w:val="auto"/>
          <w:sz w:val="32"/>
          <w:szCs w:val="32"/>
          <w:highlight w:val="none"/>
          <w:lang w:eastAsia="zh-CN"/>
        </w:rPr>
        <w:t>人</w:t>
      </w:r>
      <w:r>
        <w:rPr>
          <w:rFonts w:hint="eastAsia" w:ascii="仿宋_GB2312" w:hAnsi="仿宋_GB2312" w:eastAsia="仿宋_GB2312" w:cs="仿宋_GB2312"/>
          <w:bCs/>
          <w:color w:val="auto"/>
          <w:sz w:val="32"/>
          <w:szCs w:val="32"/>
          <w:highlight w:val="none"/>
        </w:rPr>
        <w:t>应当转让给在册轮候人</w:t>
      </w:r>
      <w:r>
        <w:rPr>
          <w:rFonts w:hint="eastAsia" w:ascii="仿宋_GB2312" w:hAnsi="仿宋_GB2312" w:eastAsia="仿宋_GB2312" w:cs="仿宋_GB2312"/>
          <w:bCs/>
          <w:color w:val="auto"/>
          <w:sz w:val="32"/>
          <w:szCs w:val="32"/>
          <w:highlight w:val="none"/>
          <w:lang w:eastAsia="zh-CN"/>
        </w:rPr>
        <w:t>或者</w:t>
      </w:r>
      <w:r>
        <w:rPr>
          <w:rFonts w:hint="eastAsia" w:ascii="仿宋_GB2312" w:hAnsi="仿宋_GB2312" w:eastAsia="仿宋_GB2312" w:cs="仿宋_GB2312"/>
          <w:bCs/>
          <w:color w:val="auto"/>
          <w:sz w:val="32"/>
          <w:szCs w:val="32"/>
          <w:highlight w:val="none"/>
        </w:rPr>
        <w:t>其他符合本办法第</w:t>
      </w:r>
      <w:r>
        <w:rPr>
          <w:rFonts w:hint="eastAsia" w:ascii="仿宋_GB2312" w:hAnsi="仿宋_GB2312" w:eastAsia="仿宋_GB2312" w:cs="仿宋_GB2312"/>
          <w:color w:val="auto"/>
          <w:sz w:val="32"/>
          <w:szCs w:val="32"/>
          <w:highlight w:val="none"/>
        </w:rPr>
        <w:t>三十</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bCs/>
          <w:color w:val="auto"/>
          <w:sz w:val="32"/>
          <w:szCs w:val="32"/>
          <w:highlight w:val="none"/>
        </w:rPr>
        <w:t>条申请条件的对象，或者向</w:t>
      </w:r>
      <w:r>
        <w:rPr>
          <w:rFonts w:hint="eastAsia" w:ascii="仿宋_GB2312" w:hAnsi="仿宋_GB2312" w:eastAsia="仿宋_GB2312" w:cs="仿宋_GB2312"/>
          <w:bCs/>
          <w:color w:val="auto"/>
          <w:sz w:val="32"/>
          <w:szCs w:val="32"/>
          <w:highlight w:val="none"/>
          <w:lang w:eastAsia="zh-CN"/>
        </w:rPr>
        <w:t>原</w:t>
      </w:r>
      <w:r>
        <w:rPr>
          <w:rFonts w:hint="eastAsia" w:ascii="仿宋_GB2312" w:hAnsi="仿宋_GB2312" w:eastAsia="仿宋_GB2312" w:cs="仿宋_GB2312"/>
          <w:bCs/>
          <w:color w:val="auto"/>
          <w:sz w:val="32"/>
          <w:szCs w:val="32"/>
          <w:highlight w:val="none"/>
        </w:rPr>
        <w:t>产权单位或者主管部门申请回购，回购价格为原购买价格。</w:t>
      </w:r>
      <w:bookmarkEnd w:id="270"/>
      <w:bookmarkEnd w:id="271"/>
      <w:bookmarkEnd w:id="272"/>
      <w:bookmarkEnd w:id="273"/>
      <w:bookmarkEnd w:id="274"/>
    </w:p>
    <w:p>
      <w:pPr>
        <w:spacing w:line="560" w:lineRule="exact"/>
        <w:ind w:firstLine="640" w:firstLineChars="200"/>
        <w:outlineLvl w:val="2"/>
        <w:rPr>
          <w:rFonts w:ascii="仿宋_GB2312" w:hAnsi="仿宋_GB2312" w:eastAsia="仿宋_GB2312" w:cs="仿宋_GB2312"/>
          <w:bCs/>
          <w:color w:val="auto"/>
          <w:sz w:val="32"/>
          <w:szCs w:val="32"/>
          <w:highlight w:val="none"/>
        </w:rPr>
      </w:pPr>
      <w:bookmarkStart w:id="275" w:name="_Toc523428831"/>
      <w:bookmarkStart w:id="276" w:name="_Toc24659"/>
      <w:bookmarkStart w:id="277" w:name="_Toc9525"/>
      <w:bookmarkStart w:id="278" w:name="_Toc5325"/>
      <w:bookmarkStart w:id="279" w:name="_Toc31922"/>
      <w:r>
        <w:rPr>
          <w:rFonts w:hint="eastAsia" w:ascii="黑体" w:hAnsi="黑体" w:eastAsia="黑体"/>
          <w:bCs/>
          <w:color w:val="auto"/>
          <w:sz w:val="32"/>
          <w:szCs w:val="32"/>
          <w:highlight w:val="none"/>
        </w:rPr>
        <w:t>第四十</w:t>
      </w:r>
      <w:r>
        <w:rPr>
          <w:rFonts w:hint="eastAsia" w:ascii="黑体" w:hAnsi="黑体" w:eastAsia="黑体"/>
          <w:bCs/>
          <w:color w:val="auto"/>
          <w:sz w:val="32"/>
          <w:szCs w:val="32"/>
          <w:highlight w:val="none"/>
          <w:lang w:eastAsia="zh-CN"/>
        </w:rPr>
        <w:t>二</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bCs/>
          <w:color w:val="auto"/>
          <w:sz w:val="32"/>
          <w:szCs w:val="32"/>
          <w:highlight w:val="none"/>
        </w:rPr>
        <w:t>自签订买卖合同之日起，与产权单位签订买卖合同购买安居型商品房的申请人累计在本市缴纳社会保险满15年，或者年满60周岁且购房满10年，经批准</w:t>
      </w:r>
      <w:r>
        <w:rPr>
          <w:rFonts w:hint="eastAsia" w:ascii="仿宋_GB2312" w:hAnsi="仿宋_GB2312" w:eastAsia="仿宋_GB2312" w:cs="仿宋_GB2312"/>
          <w:bCs/>
          <w:color w:val="auto"/>
          <w:sz w:val="32"/>
          <w:szCs w:val="32"/>
          <w:highlight w:val="none"/>
          <w:lang w:eastAsia="zh-CN"/>
        </w:rPr>
        <w:t>并</w:t>
      </w:r>
      <w:r>
        <w:rPr>
          <w:rFonts w:hint="eastAsia" w:ascii="仿宋_GB2312" w:hAnsi="仿宋_GB2312" w:eastAsia="仿宋_GB2312" w:cs="仿宋_GB2312"/>
          <w:bCs/>
          <w:color w:val="auto"/>
          <w:sz w:val="32"/>
          <w:szCs w:val="32"/>
          <w:highlight w:val="none"/>
        </w:rPr>
        <w:t>在向政府缴纳增值收益后，可以取得所购安居型商品房的完全产权。</w:t>
      </w:r>
      <w:bookmarkEnd w:id="275"/>
      <w:bookmarkEnd w:id="276"/>
      <w:bookmarkEnd w:id="277"/>
      <w:bookmarkEnd w:id="278"/>
      <w:bookmarkEnd w:id="279"/>
    </w:p>
    <w:p>
      <w:pPr>
        <w:spacing w:line="560" w:lineRule="exact"/>
        <w:ind w:firstLine="640" w:firstLineChars="200"/>
        <w:outlineLvl w:val="2"/>
        <w:rPr>
          <w:rFonts w:ascii="仿宋_GB2312" w:hAnsi="仿宋_GB2312" w:eastAsia="仿宋_GB2312" w:cs="仿宋_GB2312"/>
          <w:color w:val="000000"/>
          <w:sz w:val="32"/>
          <w:szCs w:val="32"/>
          <w:highlight w:val="none"/>
        </w:rPr>
      </w:pPr>
      <w:r>
        <w:rPr>
          <w:rFonts w:hint="eastAsia" w:ascii="黑体" w:hAnsi="黑体" w:eastAsia="黑体"/>
          <w:bCs/>
          <w:color w:val="auto"/>
          <w:sz w:val="32"/>
          <w:szCs w:val="32"/>
          <w:highlight w:val="none"/>
        </w:rPr>
        <w:t>第四十</w:t>
      </w:r>
      <w:r>
        <w:rPr>
          <w:rFonts w:hint="eastAsia" w:ascii="黑体" w:hAnsi="黑体" w:eastAsia="黑体"/>
          <w:bCs/>
          <w:color w:val="auto"/>
          <w:sz w:val="32"/>
          <w:szCs w:val="32"/>
          <w:highlight w:val="none"/>
          <w:lang w:eastAsia="zh-CN"/>
        </w:rPr>
        <w:t>三</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购房</w:t>
      </w:r>
      <w:r>
        <w:rPr>
          <w:rFonts w:hint="eastAsia" w:ascii="仿宋_GB2312" w:hAnsi="仿宋_GB2312" w:eastAsia="仿宋_GB2312" w:cs="仿宋_GB2312"/>
          <w:color w:val="000000"/>
          <w:sz w:val="32"/>
          <w:szCs w:val="32"/>
          <w:highlight w:val="none"/>
          <w:lang w:eastAsia="zh-CN"/>
        </w:rPr>
        <w:t>人</w:t>
      </w:r>
      <w:r>
        <w:rPr>
          <w:rFonts w:hint="eastAsia" w:ascii="仿宋_GB2312" w:hAnsi="仿宋_GB2312" w:eastAsia="仿宋_GB2312" w:cs="仿宋_GB2312"/>
          <w:color w:val="000000"/>
          <w:sz w:val="32"/>
          <w:szCs w:val="32"/>
          <w:highlight w:val="none"/>
        </w:rPr>
        <w:t>根据本办法第四十</w:t>
      </w:r>
      <w:r>
        <w:rPr>
          <w:rFonts w:hint="eastAsia" w:ascii="仿宋_GB2312" w:hAnsi="仿宋_GB2312" w:eastAsia="仿宋_GB2312" w:cs="仿宋_GB2312"/>
          <w:color w:val="000000"/>
          <w:sz w:val="32"/>
          <w:szCs w:val="32"/>
          <w:highlight w:val="none"/>
          <w:lang w:eastAsia="zh-CN"/>
        </w:rPr>
        <w:t>二</w:t>
      </w:r>
      <w:r>
        <w:rPr>
          <w:rFonts w:hint="eastAsia" w:ascii="仿宋_GB2312" w:hAnsi="仿宋_GB2312" w:eastAsia="仿宋_GB2312" w:cs="仿宋_GB2312"/>
          <w:color w:val="000000"/>
          <w:sz w:val="32"/>
          <w:szCs w:val="32"/>
          <w:highlight w:val="none"/>
        </w:rPr>
        <w:t>条规定，申请取得安居型商品房完全产权的，应当按照下列方式</w:t>
      </w:r>
      <w:r>
        <w:rPr>
          <w:rFonts w:hint="eastAsia" w:ascii="仿宋_GB2312" w:hAnsi="仿宋_GB2312" w:eastAsia="仿宋_GB2312" w:cs="仿宋_GB2312"/>
          <w:color w:val="000000"/>
          <w:sz w:val="32"/>
          <w:szCs w:val="32"/>
          <w:highlight w:val="none"/>
          <w:lang w:eastAsia="zh-CN"/>
        </w:rPr>
        <w:t>缴纳</w:t>
      </w:r>
      <w:r>
        <w:rPr>
          <w:rFonts w:hint="eastAsia" w:ascii="仿宋_GB2312" w:hAnsi="仿宋_GB2312" w:eastAsia="仿宋_GB2312" w:cs="仿宋_GB2312"/>
          <w:color w:val="000000"/>
          <w:sz w:val="32"/>
          <w:szCs w:val="32"/>
          <w:highlight w:val="none"/>
        </w:rPr>
        <w:t>增值收益：应缴增值收益=取得完全产权时该套住房市场评估价格×（1-原购房时基准销售价格/原购房时市场价格-1%×折扣系数×与产权单位签订买卖合同购买安居型商品房的申请人在深累计纳税</w:t>
      </w:r>
      <w:r>
        <w:rPr>
          <w:rFonts w:hint="eastAsia" w:ascii="仿宋_GB2312" w:hAnsi="仿宋_GB2312" w:eastAsia="仿宋_GB2312" w:cs="仿宋_GB2312"/>
          <w:color w:val="auto"/>
          <w:sz w:val="32"/>
          <w:szCs w:val="32"/>
          <w:highlight w:val="none"/>
          <w:lang w:eastAsia="zh-CN"/>
        </w:rPr>
        <w:t>申报</w:t>
      </w:r>
      <w:r>
        <w:rPr>
          <w:rFonts w:hint="eastAsia" w:ascii="仿宋_GB2312" w:hAnsi="仿宋_GB2312" w:eastAsia="仿宋_GB2312" w:cs="仿宋_GB2312"/>
          <w:color w:val="000000"/>
          <w:sz w:val="32"/>
          <w:szCs w:val="32"/>
          <w:highlight w:val="none"/>
        </w:rPr>
        <w:t>年限）-相关费用。</w:t>
      </w:r>
    </w:p>
    <w:p>
      <w:pPr>
        <w:spacing w:line="560" w:lineRule="exact"/>
        <w:ind w:firstLine="640" w:firstLineChars="200"/>
        <w:outlineLvl w:val="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具体折扣系数由市主管部门另行制定，报市</w:t>
      </w:r>
      <w:r>
        <w:rPr>
          <w:rFonts w:hint="eastAsia" w:ascii="仿宋_GB2312" w:hAnsi="仿宋_GB2312" w:eastAsia="仿宋_GB2312" w:cs="仿宋_GB2312"/>
          <w:color w:val="000000"/>
          <w:sz w:val="32"/>
          <w:szCs w:val="32"/>
          <w:highlight w:val="none"/>
          <w:lang w:eastAsia="zh-CN"/>
        </w:rPr>
        <w:t>人民</w:t>
      </w:r>
      <w:r>
        <w:rPr>
          <w:rFonts w:hint="eastAsia" w:ascii="仿宋_GB2312" w:hAnsi="仿宋_GB2312" w:eastAsia="仿宋_GB2312" w:cs="仿宋_GB2312"/>
          <w:color w:val="000000"/>
          <w:sz w:val="32"/>
          <w:szCs w:val="32"/>
          <w:highlight w:val="none"/>
        </w:rPr>
        <w:t>政府批准后执行。</w:t>
      </w:r>
    </w:p>
    <w:p>
      <w:pPr>
        <w:spacing w:line="560" w:lineRule="exact"/>
        <w:ind w:firstLine="640" w:firstLineChars="200"/>
        <w:outlineLvl w:val="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取得完全产权时，按照上述公式计算应缴增值收益为0或者负数时，购房</w:t>
      </w:r>
      <w:r>
        <w:rPr>
          <w:rFonts w:hint="eastAsia" w:ascii="仿宋_GB2312" w:hAnsi="仿宋_GB2312" w:eastAsia="仿宋_GB2312" w:cs="仿宋_GB2312"/>
          <w:color w:val="000000"/>
          <w:sz w:val="32"/>
          <w:szCs w:val="32"/>
          <w:highlight w:val="none"/>
          <w:lang w:eastAsia="zh-CN"/>
        </w:rPr>
        <w:t>人</w:t>
      </w:r>
      <w:r>
        <w:rPr>
          <w:rFonts w:hint="eastAsia" w:ascii="仿宋_GB2312" w:hAnsi="仿宋_GB2312" w:eastAsia="仿宋_GB2312" w:cs="仿宋_GB2312"/>
          <w:color w:val="000000"/>
          <w:sz w:val="32"/>
          <w:szCs w:val="32"/>
          <w:highlight w:val="none"/>
        </w:rPr>
        <w:t>无需向政府缴纳增值收益。</w:t>
      </w:r>
    </w:p>
    <w:p>
      <w:pPr>
        <w:spacing w:line="560" w:lineRule="exact"/>
        <w:ind w:firstLine="640" w:firstLineChars="200"/>
        <w:outlineLvl w:val="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退役</w:t>
      </w:r>
      <w:r>
        <w:rPr>
          <w:rFonts w:hint="eastAsia" w:ascii="仿宋_GB2312" w:hAnsi="仿宋_GB2312" w:eastAsia="仿宋_GB2312" w:cs="仿宋_GB2312"/>
          <w:color w:val="000000"/>
          <w:sz w:val="32"/>
          <w:szCs w:val="32"/>
          <w:highlight w:val="none"/>
        </w:rPr>
        <w:t>军人的服役年限计入在深累计纳税</w:t>
      </w:r>
      <w:r>
        <w:rPr>
          <w:rFonts w:hint="eastAsia" w:ascii="仿宋_GB2312" w:hAnsi="仿宋_GB2312" w:eastAsia="仿宋_GB2312" w:cs="仿宋_GB2312"/>
          <w:color w:val="000000"/>
          <w:sz w:val="32"/>
          <w:szCs w:val="32"/>
          <w:highlight w:val="none"/>
          <w:lang w:eastAsia="zh-CN"/>
        </w:rPr>
        <w:t>申报</w:t>
      </w:r>
      <w:r>
        <w:rPr>
          <w:rFonts w:hint="eastAsia" w:ascii="仿宋_GB2312" w:hAnsi="仿宋_GB2312" w:eastAsia="仿宋_GB2312" w:cs="仿宋_GB2312"/>
          <w:color w:val="000000"/>
          <w:sz w:val="32"/>
          <w:szCs w:val="32"/>
          <w:highlight w:val="none"/>
        </w:rPr>
        <w:t>年限。</w:t>
      </w:r>
    </w:p>
    <w:p>
      <w:pPr>
        <w:spacing w:line="560" w:lineRule="exact"/>
        <w:ind w:firstLine="640" w:firstLineChars="200"/>
        <w:outlineLvl w:val="2"/>
        <w:rPr>
          <w:rFonts w:ascii="黑体" w:hAnsi="黑体" w:eastAsia="黑体"/>
          <w:bCs/>
          <w:color w:val="auto"/>
          <w:sz w:val="32"/>
          <w:szCs w:val="32"/>
          <w:highlight w:val="none"/>
        </w:rPr>
      </w:pPr>
      <w:bookmarkStart w:id="280" w:name="_Toc8416"/>
      <w:bookmarkStart w:id="281" w:name="_Toc4076"/>
      <w:bookmarkStart w:id="282" w:name="_Toc13104"/>
      <w:bookmarkStart w:id="283" w:name="_Toc523428832"/>
      <w:bookmarkStart w:id="284" w:name="_Toc30233"/>
      <w:r>
        <w:rPr>
          <w:rFonts w:hint="eastAsia" w:ascii="黑体" w:hAnsi="黑体" w:eastAsia="黑体"/>
          <w:bCs/>
          <w:color w:val="auto"/>
          <w:sz w:val="32"/>
          <w:szCs w:val="32"/>
          <w:highlight w:val="none"/>
        </w:rPr>
        <w:t>第四十</w:t>
      </w:r>
      <w:r>
        <w:rPr>
          <w:rFonts w:hint="eastAsia" w:ascii="黑体" w:hAnsi="黑体" w:eastAsia="黑体"/>
          <w:bCs/>
          <w:color w:val="auto"/>
          <w:sz w:val="32"/>
          <w:szCs w:val="32"/>
          <w:highlight w:val="none"/>
          <w:lang w:eastAsia="zh-CN"/>
        </w:rPr>
        <w:t>四</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bCs/>
          <w:color w:val="auto"/>
          <w:sz w:val="32"/>
          <w:szCs w:val="32"/>
          <w:highlight w:val="none"/>
        </w:rPr>
        <w:t>安居型商品房在</w:t>
      </w:r>
      <w:r>
        <w:rPr>
          <w:rFonts w:hint="eastAsia" w:ascii="仿宋_GB2312" w:hAnsi="仿宋_GB2312" w:eastAsia="仿宋_GB2312" w:cs="仿宋_GB2312"/>
          <w:color w:val="auto"/>
          <w:sz w:val="32"/>
          <w:szCs w:val="32"/>
          <w:highlight w:val="none"/>
        </w:rPr>
        <w:t>取得完全产权前</w:t>
      </w:r>
      <w:r>
        <w:rPr>
          <w:rFonts w:hint="eastAsia" w:ascii="仿宋_GB2312" w:hAnsi="仿宋_GB2312" w:eastAsia="仿宋_GB2312" w:cs="仿宋_GB2312"/>
          <w:bCs/>
          <w:color w:val="auto"/>
          <w:sz w:val="32"/>
          <w:szCs w:val="32"/>
          <w:highlight w:val="none"/>
        </w:rPr>
        <w:t>发生继承的，继承人可以选择以下方式处理，法律另有规定的除外：</w:t>
      </w:r>
      <w:bookmarkEnd w:id="280"/>
      <w:bookmarkEnd w:id="281"/>
      <w:bookmarkEnd w:id="282"/>
      <w:bookmarkEnd w:id="283"/>
      <w:bookmarkEnd w:id="284"/>
    </w:p>
    <w:p>
      <w:pPr>
        <w:spacing w:line="560" w:lineRule="exact"/>
        <w:ind w:firstLine="640" w:firstLineChars="200"/>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（一）继承人符合购买安居型商品房条件的，可以申请将继承的该套住房的产权份额转移登记至其名下</w:t>
      </w:r>
      <w:r>
        <w:rPr>
          <w:rFonts w:hint="eastAsia" w:ascii="仿宋_GB2312" w:hAnsi="仿宋_GB2312" w:eastAsia="仿宋_GB2312" w:cs="仿宋_GB2312"/>
          <w:bCs/>
          <w:color w:val="auto"/>
          <w:sz w:val="32"/>
          <w:szCs w:val="32"/>
          <w:highlight w:val="none"/>
          <w:lang w:eastAsia="zh-CN"/>
        </w:rPr>
        <w:t>；</w:t>
      </w:r>
    </w:p>
    <w:p>
      <w:pPr>
        <w:spacing w:line="560" w:lineRule="exact"/>
        <w:ind w:firstLine="640" w:firstLineChars="200"/>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（二）继承的安居型商品房符合取得完全产权条件的，可以按照本办法规定缴纳增值收益后，取得该套住房的完全产权</w:t>
      </w:r>
      <w:r>
        <w:rPr>
          <w:rFonts w:hint="eastAsia" w:ascii="仿宋_GB2312" w:hAnsi="仿宋_GB2312" w:eastAsia="仿宋_GB2312" w:cs="仿宋_GB2312"/>
          <w:bCs/>
          <w:color w:val="auto"/>
          <w:sz w:val="32"/>
          <w:szCs w:val="32"/>
          <w:highlight w:val="none"/>
          <w:lang w:eastAsia="zh-CN"/>
        </w:rPr>
        <w:t>；</w:t>
      </w:r>
    </w:p>
    <w:p>
      <w:pPr>
        <w:spacing w:line="560" w:lineRule="exact"/>
        <w:ind w:firstLine="640" w:firstLineChars="200"/>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（三）向</w:t>
      </w:r>
      <w:r>
        <w:rPr>
          <w:rFonts w:hint="eastAsia" w:ascii="仿宋_GB2312" w:hAnsi="仿宋_GB2312" w:eastAsia="仿宋_GB2312" w:cs="仿宋_GB2312"/>
          <w:bCs/>
          <w:color w:val="auto"/>
          <w:sz w:val="32"/>
          <w:szCs w:val="32"/>
          <w:highlight w:val="none"/>
          <w:lang w:eastAsia="zh-CN"/>
        </w:rPr>
        <w:t>原</w:t>
      </w:r>
      <w:r>
        <w:rPr>
          <w:rFonts w:hint="eastAsia" w:ascii="仿宋_GB2312" w:hAnsi="仿宋_GB2312" w:eastAsia="仿宋_GB2312" w:cs="仿宋_GB2312"/>
          <w:bCs/>
          <w:color w:val="auto"/>
          <w:sz w:val="32"/>
          <w:szCs w:val="32"/>
          <w:highlight w:val="none"/>
        </w:rPr>
        <w:t>产权单位或者主管部门申请回购该套住房，并就回购款进行继承</w:t>
      </w:r>
      <w:r>
        <w:rPr>
          <w:rFonts w:hint="eastAsia" w:ascii="仿宋_GB2312" w:hAnsi="仿宋_GB2312" w:eastAsia="仿宋_GB2312" w:cs="仿宋_GB2312"/>
          <w:bCs/>
          <w:color w:val="auto"/>
          <w:sz w:val="32"/>
          <w:szCs w:val="32"/>
          <w:highlight w:val="none"/>
          <w:lang w:eastAsia="zh-CN"/>
        </w:rPr>
        <w:t>；</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（四）按照本办法及相关规定继续占有、使用该套住房。</w:t>
      </w:r>
    </w:p>
    <w:p>
      <w:pPr>
        <w:spacing w:line="560" w:lineRule="exact"/>
        <w:ind w:firstLine="640" w:firstLineChars="200"/>
        <w:outlineLvl w:val="2"/>
        <w:rPr>
          <w:rFonts w:hint="eastAsia" w:ascii="仿宋_GB2312" w:hAnsi="仿宋_GB2312" w:eastAsia="仿宋_GB2312" w:cs="仿宋_GB2312"/>
          <w:bCs w:val="0"/>
          <w:color w:val="auto"/>
          <w:sz w:val="32"/>
          <w:szCs w:val="32"/>
          <w:highlight w:val="none"/>
        </w:rPr>
      </w:pPr>
      <w:bookmarkStart w:id="285" w:name="_Toc523428833"/>
      <w:r>
        <w:rPr>
          <w:rFonts w:hint="eastAsia" w:ascii="黑体" w:hAnsi="黑体" w:eastAsia="黑体"/>
          <w:bCs/>
          <w:color w:val="auto"/>
          <w:sz w:val="32"/>
          <w:szCs w:val="32"/>
          <w:highlight w:val="none"/>
        </w:rPr>
        <w:t>第四十</w:t>
      </w:r>
      <w:r>
        <w:rPr>
          <w:rFonts w:hint="eastAsia" w:ascii="黑体" w:hAnsi="黑体" w:eastAsia="黑体"/>
          <w:bCs/>
          <w:color w:val="auto"/>
          <w:sz w:val="32"/>
          <w:szCs w:val="32"/>
          <w:highlight w:val="none"/>
          <w:lang w:val="en-US" w:eastAsia="zh-CN"/>
        </w:rPr>
        <w:t>五</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bCs w:val="0"/>
          <w:color w:val="auto"/>
          <w:sz w:val="32"/>
          <w:szCs w:val="32"/>
          <w:highlight w:val="none"/>
        </w:rPr>
        <w:t>封闭流转期间，签订买卖合同未满3年的购房</w:t>
      </w:r>
      <w:r>
        <w:rPr>
          <w:rFonts w:hint="eastAsia" w:ascii="仿宋_GB2312" w:hAnsi="仿宋_GB2312" w:eastAsia="仿宋_GB2312" w:cs="仿宋_GB2312"/>
          <w:bCs w:val="0"/>
          <w:color w:val="auto"/>
          <w:sz w:val="32"/>
          <w:szCs w:val="32"/>
          <w:highlight w:val="none"/>
          <w:lang w:val="en-US" w:eastAsia="zh-CN"/>
        </w:rPr>
        <w:t>人</w:t>
      </w:r>
      <w:r>
        <w:rPr>
          <w:rFonts w:hint="eastAsia" w:ascii="仿宋_GB2312" w:hAnsi="仿宋_GB2312" w:eastAsia="仿宋_GB2312" w:cs="仿宋_GB2312"/>
          <w:bCs w:val="0"/>
          <w:color w:val="auto"/>
          <w:sz w:val="32"/>
          <w:szCs w:val="32"/>
          <w:highlight w:val="none"/>
        </w:rPr>
        <w:t>，向原产权单位或者主管部门申请回购的，回购价格为原购买价格。签订买卖合同3年及以上的购房</w:t>
      </w:r>
      <w:r>
        <w:rPr>
          <w:rFonts w:hint="eastAsia" w:ascii="仿宋_GB2312" w:hAnsi="仿宋_GB2312" w:eastAsia="仿宋_GB2312" w:cs="仿宋_GB2312"/>
          <w:bCs w:val="0"/>
          <w:color w:val="auto"/>
          <w:sz w:val="32"/>
          <w:szCs w:val="32"/>
          <w:highlight w:val="none"/>
          <w:lang w:val="en-US" w:eastAsia="zh-CN"/>
        </w:rPr>
        <w:t>人</w:t>
      </w:r>
      <w:r>
        <w:rPr>
          <w:rFonts w:hint="eastAsia" w:ascii="仿宋_GB2312" w:hAnsi="仿宋_GB2312" w:eastAsia="仿宋_GB2312" w:cs="仿宋_GB2312"/>
          <w:bCs w:val="0"/>
          <w:color w:val="auto"/>
          <w:sz w:val="32"/>
          <w:szCs w:val="32"/>
          <w:highlight w:val="none"/>
        </w:rPr>
        <w:t>，向原产权单位或者主管部门申请回购的，回购价格为原购买价格加上按照中国人民银行同期存款基准利率计算的利息。</w:t>
      </w:r>
    </w:p>
    <w:p>
      <w:pPr>
        <w:spacing w:line="560" w:lineRule="exact"/>
        <w:ind w:firstLine="640" w:firstLineChars="200"/>
        <w:outlineLvl w:val="2"/>
        <w:rPr>
          <w:rFonts w:ascii="仿宋_GB2312" w:hAnsi="仿宋_GB2312" w:eastAsia="仿宋_GB2312" w:cs="仿宋_GB2312"/>
          <w:color w:val="000000"/>
          <w:sz w:val="32"/>
          <w:szCs w:val="32"/>
          <w:highlight w:val="none"/>
        </w:rPr>
      </w:pPr>
      <w:r>
        <w:rPr>
          <w:rFonts w:hint="eastAsia" w:ascii="黑体" w:hAnsi="黑体" w:eastAsia="黑体"/>
          <w:bCs/>
          <w:color w:val="auto"/>
          <w:sz w:val="32"/>
          <w:szCs w:val="32"/>
          <w:highlight w:val="none"/>
        </w:rPr>
        <w:t>第四十</w:t>
      </w:r>
      <w:r>
        <w:rPr>
          <w:rFonts w:hint="eastAsia" w:ascii="黑体" w:hAnsi="黑体" w:eastAsia="黑体"/>
          <w:bCs/>
          <w:color w:val="auto"/>
          <w:sz w:val="32"/>
          <w:szCs w:val="32"/>
          <w:highlight w:val="none"/>
          <w:lang w:eastAsia="zh-CN"/>
        </w:rPr>
        <w:t>六</w:t>
      </w:r>
      <w:r>
        <w:rPr>
          <w:rFonts w:hint="eastAsia" w:ascii="黑体" w:hAnsi="黑体" w:eastAsia="黑体"/>
          <w:bCs/>
          <w:color w:val="auto"/>
          <w:sz w:val="32"/>
          <w:szCs w:val="32"/>
          <w:highlight w:val="none"/>
        </w:rPr>
        <w:t>条</w:t>
      </w:r>
      <w:bookmarkEnd w:id="285"/>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 xml:space="preserve">封闭流转期间，安居型商品房的转让价格由买卖双方协商确定。市主管部门可以委托专业机构测算指导价格并予以发布，同时根据实际情况动态调整。在同等价格条件下，主管部门享有优先购买权。 </w:t>
      </w:r>
    </w:p>
    <w:p>
      <w:pPr>
        <w:spacing w:line="560" w:lineRule="exact"/>
        <w:ind w:firstLine="640" w:firstLineChars="200"/>
        <w:outlineLvl w:val="2"/>
        <w:rPr>
          <w:rFonts w:ascii="仿宋_GB2312" w:hAnsi="仿宋_GB2312" w:eastAsia="仿宋_GB2312" w:cs="仿宋_GB2312"/>
          <w:bCs/>
          <w:color w:val="auto"/>
          <w:sz w:val="32"/>
          <w:szCs w:val="32"/>
          <w:highlight w:val="none"/>
        </w:rPr>
      </w:pPr>
      <w:bookmarkStart w:id="286" w:name="_Toc30526"/>
      <w:bookmarkStart w:id="287" w:name="_Toc12790"/>
      <w:bookmarkStart w:id="288" w:name="_Toc28726"/>
      <w:bookmarkStart w:id="289" w:name="_Toc7190"/>
      <w:bookmarkStart w:id="290" w:name="_Toc11398"/>
      <w:bookmarkStart w:id="291" w:name="_Toc22431"/>
      <w:bookmarkStart w:id="292" w:name="_Toc2250"/>
      <w:bookmarkStart w:id="293" w:name="_Toc523428834"/>
      <w:r>
        <w:rPr>
          <w:rFonts w:hint="eastAsia" w:ascii="黑体" w:hAnsi="黑体" w:eastAsia="黑体"/>
          <w:bCs/>
          <w:color w:val="auto"/>
          <w:sz w:val="32"/>
          <w:szCs w:val="32"/>
          <w:highlight w:val="none"/>
        </w:rPr>
        <w:t>第四十</w:t>
      </w:r>
      <w:r>
        <w:rPr>
          <w:rFonts w:hint="eastAsia" w:ascii="黑体" w:hAnsi="黑体" w:eastAsia="黑体"/>
          <w:bCs/>
          <w:color w:val="auto"/>
          <w:sz w:val="32"/>
          <w:szCs w:val="32"/>
          <w:highlight w:val="none"/>
          <w:lang w:eastAsia="zh-CN"/>
        </w:rPr>
        <w:t>七</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bCs/>
          <w:color w:val="auto"/>
          <w:sz w:val="32"/>
          <w:szCs w:val="32"/>
          <w:highlight w:val="none"/>
        </w:rPr>
        <w:t>安居型商品房买卖双方应当共同向市主管部门提出封闭流转交易申请，经审核合格后，取得安居型商品房封闭流转交易批复，并向不动产登记机构申请办理不动产转移登记。登记过程中产生的相关费用由买卖双方依法承担。</w:t>
      </w:r>
      <w:bookmarkEnd w:id="286"/>
      <w:bookmarkEnd w:id="287"/>
      <w:bookmarkEnd w:id="288"/>
      <w:bookmarkEnd w:id="289"/>
      <w:bookmarkEnd w:id="290"/>
      <w:bookmarkEnd w:id="291"/>
      <w:bookmarkEnd w:id="292"/>
      <w:bookmarkEnd w:id="293"/>
    </w:p>
    <w:p>
      <w:pPr>
        <w:spacing w:line="560" w:lineRule="exact"/>
        <w:ind w:firstLine="640" w:firstLineChars="200"/>
        <w:outlineLvl w:val="2"/>
        <w:rPr>
          <w:rFonts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购房人申请取得完全产权的，应当自取得市主管部门审批核发的批复以及缴</w:t>
      </w:r>
      <w:r>
        <w:rPr>
          <w:rFonts w:hint="eastAsia" w:ascii="仿宋_GB2312" w:hAnsi="仿宋_GB2312" w:eastAsia="仿宋_GB2312" w:cs="仿宋_GB2312"/>
          <w:bCs/>
          <w:color w:val="auto"/>
          <w:sz w:val="32"/>
          <w:szCs w:val="32"/>
          <w:highlight w:val="none"/>
          <w:lang w:eastAsia="zh-CN"/>
        </w:rPr>
        <w:t>纳</w:t>
      </w:r>
      <w:r>
        <w:rPr>
          <w:rFonts w:hint="eastAsia" w:ascii="仿宋_GB2312" w:hAnsi="仿宋_GB2312" w:eastAsia="仿宋_GB2312" w:cs="仿宋_GB2312"/>
          <w:bCs/>
          <w:color w:val="auto"/>
          <w:sz w:val="32"/>
          <w:szCs w:val="32"/>
          <w:highlight w:val="none"/>
        </w:rPr>
        <w:t>增值收益后，向不动产登记机构申请办理不动产权登记</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登记过程</w:t>
      </w:r>
      <w:r>
        <w:rPr>
          <w:rFonts w:hint="eastAsia" w:ascii="仿宋_GB2312" w:hAnsi="仿宋_GB2312" w:eastAsia="仿宋_GB2312" w:cs="仿宋_GB2312"/>
          <w:bCs/>
          <w:color w:val="auto"/>
          <w:sz w:val="32"/>
          <w:szCs w:val="32"/>
          <w:highlight w:val="none"/>
          <w:lang w:eastAsia="zh-CN"/>
        </w:rPr>
        <w:t>中</w:t>
      </w:r>
      <w:r>
        <w:rPr>
          <w:rFonts w:hint="eastAsia" w:ascii="仿宋_GB2312" w:hAnsi="仿宋_GB2312" w:eastAsia="仿宋_GB2312" w:cs="仿宋_GB2312"/>
          <w:bCs/>
          <w:color w:val="auto"/>
          <w:sz w:val="32"/>
          <w:szCs w:val="32"/>
          <w:highlight w:val="none"/>
        </w:rPr>
        <w:t>产生的相关费用由购房</w:t>
      </w:r>
      <w:r>
        <w:rPr>
          <w:rFonts w:hint="eastAsia" w:ascii="仿宋_GB2312" w:hAnsi="仿宋_GB2312" w:eastAsia="仿宋_GB2312" w:cs="仿宋_GB2312"/>
          <w:bCs/>
          <w:color w:val="auto"/>
          <w:sz w:val="32"/>
          <w:szCs w:val="32"/>
          <w:highlight w:val="none"/>
          <w:lang w:eastAsia="zh-CN"/>
        </w:rPr>
        <w:t>人</w:t>
      </w:r>
      <w:r>
        <w:rPr>
          <w:rFonts w:hint="eastAsia" w:ascii="仿宋_GB2312" w:hAnsi="仿宋_GB2312" w:eastAsia="仿宋_GB2312" w:cs="仿宋_GB2312"/>
          <w:bCs/>
          <w:color w:val="auto"/>
          <w:sz w:val="32"/>
          <w:szCs w:val="32"/>
          <w:highlight w:val="none"/>
        </w:rPr>
        <w:t>依法承担。</w:t>
      </w:r>
    </w:p>
    <w:p>
      <w:pPr>
        <w:spacing w:beforeLines="50" w:afterLines="50" w:line="560" w:lineRule="exact"/>
        <w:jc w:val="center"/>
        <w:outlineLvl w:val="1"/>
        <w:rPr>
          <w:rFonts w:ascii="黑体" w:hAnsi="黑体" w:eastAsia="黑体"/>
          <w:bCs/>
          <w:color w:val="auto"/>
          <w:sz w:val="32"/>
          <w:szCs w:val="32"/>
          <w:highlight w:val="none"/>
        </w:rPr>
      </w:pPr>
      <w:r>
        <w:rPr>
          <w:rFonts w:hint="eastAsia" w:ascii="黑体" w:hAnsi="黑体" w:eastAsia="黑体"/>
          <w:bCs/>
          <w:color w:val="auto"/>
          <w:sz w:val="32"/>
          <w:szCs w:val="32"/>
          <w:highlight w:val="none"/>
        </w:rPr>
        <w:t xml:space="preserve">第五章 </w:t>
      </w:r>
      <w:r>
        <w:rPr>
          <w:rFonts w:ascii="黑体" w:hAnsi="黑体" w:eastAsia="黑体"/>
          <w:bCs/>
          <w:color w:val="auto"/>
          <w:sz w:val="32"/>
          <w:szCs w:val="32"/>
          <w:highlight w:val="none"/>
        </w:rPr>
        <w:t>监督管理</w:t>
      </w:r>
    </w:p>
    <w:p>
      <w:pPr>
        <w:spacing w:line="560" w:lineRule="exact"/>
        <w:ind w:firstLine="640" w:firstLineChars="200"/>
        <w:rPr>
          <w:rFonts w:hint="eastAsia" w:ascii="仿宋_GB2312" w:hAnsi="仿宋_GB2312" w:eastAsia="仿宋_GB2312" w:cs="仿宋_GB2312"/>
          <w:bCs/>
          <w:color w:val="auto"/>
          <w:sz w:val="32"/>
          <w:szCs w:val="32"/>
          <w:highlight w:val="none"/>
          <w:lang w:eastAsia="zh-CN"/>
        </w:rPr>
      </w:pPr>
      <w:r>
        <w:rPr>
          <w:rFonts w:hint="eastAsia" w:ascii="黑体" w:hAnsi="黑体" w:eastAsia="黑体"/>
          <w:bCs/>
          <w:color w:val="auto"/>
          <w:sz w:val="32"/>
          <w:szCs w:val="32"/>
          <w:highlight w:val="none"/>
        </w:rPr>
        <w:t>第四十</w:t>
      </w:r>
      <w:r>
        <w:rPr>
          <w:rFonts w:hint="eastAsia" w:ascii="黑体" w:hAnsi="黑体" w:eastAsia="黑体"/>
          <w:bCs/>
          <w:color w:val="auto"/>
          <w:sz w:val="32"/>
          <w:szCs w:val="32"/>
          <w:highlight w:val="none"/>
          <w:lang w:eastAsia="zh-CN"/>
        </w:rPr>
        <w:t>八</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bCs/>
          <w:color w:val="auto"/>
          <w:sz w:val="32"/>
          <w:szCs w:val="32"/>
          <w:highlight w:val="none"/>
        </w:rPr>
        <w:t>承租</w:t>
      </w:r>
      <w:r>
        <w:rPr>
          <w:rFonts w:hint="eastAsia" w:ascii="仿宋_GB2312" w:hAnsi="仿宋_GB2312" w:eastAsia="仿宋_GB2312" w:cs="仿宋_GB2312"/>
          <w:bCs/>
          <w:color w:val="auto"/>
          <w:sz w:val="32"/>
          <w:szCs w:val="32"/>
          <w:highlight w:val="none"/>
          <w:lang w:eastAsia="zh-CN"/>
        </w:rPr>
        <w:t>人</w:t>
      </w:r>
      <w:r>
        <w:rPr>
          <w:rFonts w:hint="eastAsia" w:ascii="仿宋_GB2312" w:hAnsi="仿宋_GB2312" w:eastAsia="仿宋_GB2312" w:cs="仿宋_GB2312"/>
          <w:bCs/>
          <w:color w:val="auto"/>
          <w:sz w:val="32"/>
          <w:szCs w:val="32"/>
          <w:highlight w:val="none"/>
        </w:rPr>
        <w:t>在租赁安居型商品房期间有本办法第</w:t>
      </w:r>
      <w:r>
        <w:rPr>
          <w:rFonts w:hint="eastAsia" w:ascii="仿宋_GB2312" w:hAnsi="仿宋_GB2312" w:eastAsia="仿宋_GB2312" w:cs="仿宋_GB2312"/>
          <w:bCs/>
          <w:color w:val="auto"/>
          <w:sz w:val="32"/>
          <w:szCs w:val="32"/>
          <w:highlight w:val="none"/>
          <w:lang w:eastAsia="zh-CN"/>
        </w:rPr>
        <w:t>四十</w:t>
      </w:r>
      <w:r>
        <w:rPr>
          <w:rFonts w:hint="eastAsia" w:ascii="仿宋_GB2312" w:hAnsi="仿宋_GB2312" w:eastAsia="仿宋_GB2312" w:cs="仿宋_GB2312"/>
          <w:bCs/>
          <w:color w:val="auto"/>
          <w:sz w:val="32"/>
          <w:szCs w:val="32"/>
          <w:highlight w:val="none"/>
        </w:rPr>
        <w:t>条第一款规定</w:t>
      </w:r>
      <w:r>
        <w:rPr>
          <w:rFonts w:ascii="仿宋_GB2312" w:hAnsi="仿宋_GB2312" w:eastAsia="仿宋_GB2312" w:cs="仿宋_GB2312"/>
          <w:bCs/>
          <w:color w:val="auto"/>
          <w:sz w:val="32"/>
          <w:szCs w:val="32"/>
          <w:highlight w:val="none"/>
        </w:rPr>
        <w:t>情</w:t>
      </w:r>
      <w:r>
        <w:rPr>
          <w:rFonts w:hint="eastAsia" w:ascii="仿宋_GB2312" w:hAnsi="仿宋_GB2312" w:eastAsia="仿宋_GB2312" w:cs="仿宋_GB2312"/>
          <w:bCs/>
          <w:color w:val="auto"/>
          <w:sz w:val="32"/>
          <w:szCs w:val="32"/>
          <w:highlight w:val="none"/>
        </w:rPr>
        <w:t>形之一的，应当自情形发生之日起30日内主动退出</w:t>
      </w:r>
      <w:r>
        <w:rPr>
          <w:rFonts w:hint="eastAsia" w:ascii="仿宋_GB2312" w:hAnsi="仿宋_GB2312" w:eastAsia="仿宋_GB2312" w:cs="仿宋_GB2312"/>
          <w:bCs/>
          <w:color w:val="auto"/>
          <w:sz w:val="32"/>
          <w:szCs w:val="32"/>
          <w:highlight w:val="none"/>
          <w:lang w:eastAsia="zh-CN"/>
        </w:rPr>
        <w:t>。</w:t>
      </w:r>
    </w:p>
    <w:p>
      <w:pPr>
        <w:spacing w:line="56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逾期未退出或者拒不退出的，应当按</w:t>
      </w:r>
      <w:r>
        <w:rPr>
          <w:rFonts w:hint="eastAsia" w:ascii="仿宋_GB2312" w:hAnsi="仿宋_GB2312" w:eastAsia="仿宋_GB2312" w:cs="仿宋_GB2312"/>
          <w:bCs/>
          <w:color w:val="auto"/>
          <w:sz w:val="32"/>
          <w:szCs w:val="32"/>
          <w:highlight w:val="none"/>
          <w:lang w:eastAsia="zh-CN"/>
        </w:rPr>
        <w:t>照同期同区域同类型市场商品住房</w:t>
      </w:r>
      <w:r>
        <w:rPr>
          <w:rFonts w:hint="eastAsia" w:ascii="仿宋_GB2312" w:hAnsi="仿宋_GB2312" w:eastAsia="仿宋_GB2312" w:cs="仿宋_GB2312"/>
          <w:bCs/>
          <w:color w:val="auto"/>
          <w:sz w:val="32"/>
          <w:szCs w:val="32"/>
          <w:highlight w:val="none"/>
        </w:rPr>
        <w:t>租金的2倍计收逾期退出住房期间的租金。安居型商品房的产权单位</w:t>
      </w:r>
      <w:r>
        <w:rPr>
          <w:rFonts w:hint="eastAsia" w:ascii="仿宋_GB2312" w:hAnsi="仿宋_GB2312" w:eastAsia="仿宋_GB2312" w:cs="仿宋_GB2312"/>
          <w:bCs/>
          <w:color w:val="auto"/>
          <w:sz w:val="32"/>
          <w:szCs w:val="32"/>
          <w:highlight w:val="none"/>
          <w:lang w:eastAsia="zh-CN"/>
        </w:rPr>
        <w:t>或者主管部门</w:t>
      </w:r>
      <w:r>
        <w:rPr>
          <w:rFonts w:hint="eastAsia" w:ascii="仿宋_GB2312" w:hAnsi="仿宋_GB2312" w:eastAsia="仿宋_GB2312" w:cs="仿宋_GB2312"/>
          <w:bCs/>
          <w:color w:val="auto"/>
          <w:sz w:val="32"/>
          <w:szCs w:val="32"/>
          <w:highlight w:val="none"/>
        </w:rPr>
        <w:t>可以依法提出诉讼或</w:t>
      </w:r>
      <w:r>
        <w:rPr>
          <w:rFonts w:hint="eastAsia" w:ascii="仿宋_GB2312" w:hAnsi="仿宋_GB2312" w:eastAsia="仿宋_GB2312" w:cs="仿宋_GB2312"/>
          <w:bCs/>
          <w:color w:val="auto"/>
          <w:sz w:val="32"/>
          <w:szCs w:val="32"/>
          <w:highlight w:val="none"/>
          <w:lang w:eastAsia="zh-CN"/>
        </w:rPr>
        <w:t>者</w:t>
      </w:r>
      <w:r>
        <w:rPr>
          <w:rFonts w:hint="eastAsia" w:ascii="仿宋_GB2312" w:hAnsi="仿宋_GB2312" w:eastAsia="仿宋_GB2312" w:cs="仿宋_GB2312"/>
          <w:bCs/>
          <w:color w:val="auto"/>
          <w:sz w:val="32"/>
          <w:szCs w:val="32"/>
          <w:highlight w:val="none"/>
        </w:rPr>
        <w:t>依法申请仲裁，收回</w:t>
      </w:r>
      <w:r>
        <w:rPr>
          <w:rFonts w:hint="eastAsia" w:ascii="仿宋_GB2312" w:hAnsi="仿宋_GB2312" w:eastAsia="仿宋_GB2312" w:cs="仿宋_GB2312"/>
          <w:bCs/>
          <w:color w:val="auto"/>
          <w:sz w:val="32"/>
          <w:szCs w:val="32"/>
          <w:highlight w:val="none"/>
          <w:lang w:eastAsia="zh-CN"/>
        </w:rPr>
        <w:t>出租的</w:t>
      </w:r>
      <w:r>
        <w:rPr>
          <w:rFonts w:hint="eastAsia" w:ascii="仿宋_GB2312" w:hAnsi="仿宋_GB2312" w:eastAsia="仿宋_GB2312" w:cs="仿宋_GB2312"/>
          <w:bCs/>
          <w:color w:val="auto"/>
          <w:sz w:val="32"/>
          <w:szCs w:val="32"/>
          <w:highlight w:val="none"/>
        </w:rPr>
        <w:t>住房。</w:t>
      </w:r>
    </w:p>
    <w:p>
      <w:pPr>
        <w:spacing w:line="560" w:lineRule="exact"/>
        <w:ind w:firstLine="640" w:firstLineChars="200"/>
        <w:outlineLvl w:val="2"/>
        <w:rPr>
          <w:rFonts w:ascii="黑体" w:hAnsi="黑体" w:eastAsia="黑体"/>
          <w:bCs/>
          <w:color w:val="auto"/>
          <w:sz w:val="32"/>
          <w:szCs w:val="32"/>
          <w:highlight w:val="none"/>
        </w:rPr>
      </w:pPr>
      <w:r>
        <w:rPr>
          <w:rFonts w:hint="eastAsia" w:ascii="黑体" w:hAnsi="黑体" w:eastAsia="黑体"/>
          <w:bCs/>
          <w:color w:val="auto"/>
          <w:sz w:val="32"/>
          <w:szCs w:val="32"/>
          <w:highlight w:val="none"/>
        </w:rPr>
        <w:t>第四十</w:t>
      </w:r>
      <w:r>
        <w:rPr>
          <w:rFonts w:hint="eastAsia" w:ascii="黑体" w:hAnsi="黑体" w:eastAsia="黑体"/>
          <w:bCs/>
          <w:color w:val="auto"/>
          <w:sz w:val="32"/>
          <w:szCs w:val="32"/>
          <w:highlight w:val="none"/>
          <w:lang w:eastAsia="zh-CN"/>
        </w:rPr>
        <w:t>九</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在租赁期间或者取得完全产权前，承租</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或者购房</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不得有下列行为：</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（一）无正当理由连续6个月以上未在安居型商品房内居住；</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无正当理由</w:t>
      </w:r>
      <w:r>
        <w:rPr>
          <w:rFonts w:hint="eastAsia" w:ascii="仿宋_GB2312" w:hAnsi="仿宋_GB2312" w:eastAsia="仿宋_GB2312" w:cs="仿宋_GB2312"/>
          <w:color w:val="auto"/>
          <w:sz w:val="32"/>
          <w:szCs w:val="32"/>
          <w:highlight w:val="none"/>
        </w:rPr>
        <w:t>连续</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个月或者累计6个月以上未缴纳租金；</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（三）擅自转租安居型商品房；</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（四）擅自互换、出借安居型商品房；</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（五）擅自转让、</w:t>
      </w:r>
      <w:r>
        <w:rPr>
          <w:rFonts w:hint="eastAsia" w:ascii="仿宋_GB2312" w:hAnsi="仿宋_GB2312" w:eastAsia="仿宋_GB2312" w:cs="仿宋_GB2312"/>
          <w:color w:val="auto"/>
          <w:sz w:val="32"/>
          <w:szCs w:val="32"/>
          <w:highlight w:val="none"/>
          <w:lang w:eastAsia="zh-CN"/>
        </w:rPr>
        <w:t>赠予、</w:t>
      </w:r>
      <w:r>
        <w:rPr>
          <w:rFonts w:hint="eastAsia" w:ascii="仿宋_GB2312" w:hAnsi="仿宋_GB2312" w:eastAsia="仿宋_GB2312" w:cs="仿宋_GB2312"/>
          <w:color w:val="auto"/>
          <w:sz w:val="32"/>
          <w:szCs w:val="32"/>
          <w:highlight w:val="none"/>
        </w:rPr>
        <w:t>抵押、出租安居型商品房，为购买本套安居型商品房而向银行设定的抵押除外；</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（六）将安居型商品房用于经营性用途；</w:t>
      </w:r>
    </w:p>
    <w:p>
      <w:pPr>
        <w:numPr>
          <w:ilvl w:val="255"/>
          <w:numId w:val="0"/>
        </w:num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（七）擅自改变安居型商品房使用功能（包含违规改</w:t>
      </w:r>
      <w:r>
        <w:rPr>
          <w:rFonts w:hint="eastAsia" w:ascii="仿宋_GB2312" w:hAnsi="仿宋_GB2312" w:eastAsia="仿宋_GB2312" w:cs="仿宋_GB2312"/>
          <w:color w:val="auto"/>
          <w:sz w:val="32"/>
          <w:szCs w:val="32"/>
          <w:highlight w:val="none"/>
          <w:lang w:eastAsia="zh-CN"/>
        </w:rPr>
        <w:t>建、</w:t>
      </w:r>
      <w:r>
        <w:rPr>
          <w:rFonts w:hint="eastAsia" w:ascii="仿宋_GB2312" w:hAnsi="仿宋_GB2312" w:eastAsia="仿宋_GB2312" w:cs="仿宋_GB2312"/>
          <w:color w:val="auto"/>
          <w:sz w:val="32"/>
          <w:szCs w:val="32"/>
          <w:highlight w:val="none"/>
        </w:rPr>
        <w:t>扩建）；</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（八）因故意或者重大过失，造成租赁的安居型商品房严重毁损；</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（九）其他违法或者违约情形。</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在租赁期间，承租</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具有</w:t>
      </w:r>
      <w:r>
        <w:rPr>
          <w:rFonts w:hint="eastAsia" w:ascii="仿宋_GB2312" w:hAnsi="仿宋_GB2312" w:eastAsia="仿宋_GB2312" w:cs="仿宋_GB2312"/>
          <w:color w:val="auto"/>
          <w:sz w:val="32"/>
          <w:szCs w:val="32"/>
          <w:highlight w:val="none"/>
          <w:lang w:eastAsia="zh-CN"/>
        </w:rPr>
        <w:t>本条</w:t>
      </w:r>
      <w:r>
        <w:rPr>
          <w:rFonts w:hint="eastAsia" w:ascii="仿宋_GB2312" w:hAnsi="仿宋_GB2312" w:eastAsia="仿宋_GB2312" w:cs="仿宋_GB2312"/>
          <w:color w:val="auto"/>
          <w:sz w:val="32"/>
          <w:szCs w:val="32"/>
          <w:highlight w:val="none"/>
        </w:rPr>
        <w:t>第一款第（一）、（二）、（三）、（四）、（六）、（七）、（八）、（九）项情形之一的，产权单位应当</w:t>
      </w:r>
      <w:r>
        <w:rPr>
          <w:rFonts w:hint="eastAsia" w:ascii="仿宋_GB2312" w:hAnsi="仿宋_GB2312" w:eastAsia="仿宋_GB2312" w:cs="仿宋_GB2312"/>
          <w:color w:val="auto"/>
          <w:sz w:val="32"/>
          <w:szCs w:val="32"/>
          <w:highlight w:val="none"/>
          <w:lang w:eastAsia="zh-CN"/>
        </w:rPr>
        <w:t>按照合同约定</w:t>
      </w:r>
      <w:r>
        <w:rPr>
          <w:rFonts w:hint="eastAsia" w:ascii="仿宋_GB2312" w:hAnsi="仿宋_GB2312" w:eastAsia="仿宋_GB2312" w:cs="仿宋_GB2312"/>
          <w:color w:val="auto"/>
          <w:sz w:val="32"/>
          <w:szCs w:val="32"/>
          <w:highlight w:val="none"/>
        </w:rPr>
        <w:t>要求其支付违约金，并可以</w:t>
      </w:r>
      <w:r>
        <w:rPr>
          <w:rFonts w:hint="eastAsia" w:ascii="仿宋_GB2312" w:hAnsi="仿宋_GB2312" w:eastAsia="仿宋_GB2312" w:cs="仿宋_GB2312"/>
          <w:color w:val="auto"/>
          <w:sz w:val="32"/>
          <w:szCs w:val="32"/>
          <w:highlight w:val="none"/>
          <w:lang w:eastAsia="zh-CN"/>
        </w:rPr>
        <w:t>根据约定或者法定情形</w:t>
      </w:r>
      <w:r>
        <w:rPr>
          <w:rFonts w:hint="eastAsia" w:ascii="仿宋_GB2312" w:hAnsi="仿宋_GB2312" w:eastAsia="仿宋_GB2312" w:cs="仿宋_GB2312"/>
          <w:color w:val="auto"/>
          <w:sz w:val="32"/>
          <w:szCs w:val="32"/>
          <w:highlight w:val="none"/>
        </w:rPr>
        <w:t>解除合同，收回出租住房。</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在取得完全产权前，购房</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具有</w:t>
      </w:r>
      <w:r>
        <w:rPr>
          <w:rFonts w:hint="eastAsia" w:ascii="仿宋_GB2312" w:hAnsi="仿宋_GB2312" w:eastAsia="仿宋_GB2312" w:cs="仿宋_GB2312"/>
          <w:color w:val="auto"/>
          <w:sz w:val="32"/>
          <w:szCs w:val="32"/>
          <w:highlight w:val="none"/>
          <w:lang w:eastAsia="zh-CN"/>
        </w:rPr>
        <w:t>本条</w:t>
      </w:r>
      <w:r>
        <w:rPr>
          <w:rFonts w:hint="eastAsia" w:ascii="仿宋_GB2312" w:hAnsi="仿宋_GB2312" w:eastAsia="仿宋_GB2312" w:cs="仿宋_GB2312"/>
          <w:color w:val="auto"/>
          <w:sz w:val="32"/>
          <w:szCs w:val="32"/>
          <w:highlight w:val="none"/>
        </w:rPr>
        <w:t>第一款第（一）、（四）、（五）、（六）、（七）、（九）项情形之一的，原产权单位或者主管部门应当</w:t>
      </w:r>
      <w:r>
        <w:rPr>
          <w:rFonts w:hint="eastAsia" w:ascii="仿宋_GB2312" w:hAnsi="仿宋_GB2312" w:eastAsia="仿宋_GB2312" w:cs="仿宋_GB2312"/>
          <w:color w:val="auto"/>
          <w:sz w:val="32"/>
          <w:szCs w:val="32"/>
          <w:highlight w:val="none"/>
          <w:lang w:eastAsia="zh-CN"/>
        </w:rPr>
        <w:t>按照合同约定</w:t>
      </w:r>
      <w:r>
        <w:rPr>
          <w:rFonts w:hint="eastAsia" w:ascii="仿宋_GB2312" w:hAnsi="仿宋_GB2312" w:eastAsia="仿宋_GB2312" w:cs="仿宋_GB2312"/>
          <w:color w:val="auto"/>
          <w:sz w:val="32"/>
          <w:szCs w:val="32"/>
          <w:highlight w:val="none"/>
        </w:rPr>
        <w:t>要求其支付违约金，并可以</w:t>
      </w:r>
      <w:r>
        <w:rPr>
          <w:rFonts w:hint="eastAsia" w:ascii="仿宋_GB2312" w:hAnsi="仿宋_GB2312" w:eastAsia="仿宋_GB2312" w:cs="仿宋_GB2312"/>
          <w:color w:val="auto"/>
          <w:sz w:val="32"/>
          <w:szCs w:val="32"/>
          <w:highlight w:val="none"/>
          <w:lang w:eastAsia="zh-CN"/>
        </w:rPr>
        <w:t>根据约定或者法定情形</w:t>
      </w:r>
      <w:r>
        <w:rPr>
          <w:rFonts w:hint="eastAsia" w:ascii="仿宋_GB2312" w:hAnsi="仿宋_GB2312" w:eastAsia="仿宋_GB2312" w:cs="仿宋_GB2312"/>
          <w:color w:val="auto"/>
          <w:sz w:val="32"/>
          <w:szCs w:val="32"/>
          <w:highlight w:val="none"/>
        </w:rPr>
        <w:t>解除合同，按照原购买价格收回出售住房。</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购房</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具有</w:t>
      </w:r>
      <w:r>
        <w:rPr>
          <w:rFonts w:hint="eastAsia" w:ascii="仿宋_GB2312" w:hAnsi="仿宋_GB2312" w:eastAsia="仿宋_GB2312" w:cs="仿宋_GB2312"/>
          <w:color w:val="auto"/>
          <w:sz w:val="32"/>
          <w:szCs w:val="32"/>
          <w:highlight w:val="none"/>
          <w:lang w:eastAsia="zh-CN"/>
        </w:rPr>
        <w:t>本条</w:t>
      </w:r>
      <w:r>
        <w:rPr>
          <w:rFonts w:hint="eastAsia" w:ascii="仿宋_GB2312" w:hAnsi="仿宋_GB2312" w:eastAsia="仿宋_GB2312" w:cs="仿宋_GB2312"/>
          <w:color w:val="auto"/>
          <w:sz w:val="32"/>
          <w:szCs w:val="32"/>
          <w:highlight w:val="none"/>
        </w:rPr>
        <w:t>第一款第（四）、（五）、（六）、（七）项规定情形之一的，不动产登记机构不得受理产权登记的申请。</w:t>
      </w:r>
    </w:p>
    <w:p>
      <w:pPr>
        <w:keepNext w:val="0"/>
        <w:keepLines w:val="0"/>
        <w:pageBreakBefore w:val="0"/>
        <w:kinsoku/>
        <w:overflowPunct/>
        <w:topLinePunct w:val="0"/>
        <w:bidi w:val="0"/>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黑体" w:hAnsi="黑体" w:eastAsia="黑体" w:cs="宋体"/>
          <w:bCs/>
          <w:color w:val="000000"/>
          <w:sz w:val="32"/>
          <w:szCs w:val="32"/>
          <w:highlight w:val="none"/>
        </w:rPr>
        <w:t>第</w:t>
      </w:r>
      <w:r>
        <w:rPr>
          <w:rFonts w:hint="eastAsia" w:ascii="黑体" w:hAnsi="黑体" w:eastAsia="黑体"/>
          <w:bCs/>
          <w:color w:val="auto"/>
          <w:sz w:val="32"/>
          <w:szCs w:val="32"/>
          <w:highlight w:val="none"/>
          <w:lang w:eastAsia="zh-CN"/>
        </w:rPr>
        <w:t>五十</w:t>
      </w:r>
      <w:r>
        <w:rPr>
          <w:rFonts w:hint="eastAsia" w:ascii="黑体" w:hAnsi="黑体" w:eastAsia="黑体" w:cs="宋体"/>
          <w:bCs/>
          <w:color w:val="000000"/>
          <w:sz w:val="32"/>
          <w:szCs w:val="32"/>
          <w:highlight w:val="none"/>
        </w:rPr>
        <w:t>条</w:t>
      </w:r>
      <w:r>
        <w:rPr>
          <w:rFonts w:hint="eastAsia" w:ascii="黑体" w:hAnsi="黑体" w:eastAsia="黑体"/>
          <w:bCs/>
          <w:color w:val="000000"/>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禁止房地产经纪机构及其经纪人员提供安居型商品房</w:t>
      </w:r>
      <w:r>
        <w:rPr>
          <w:rFonts w:hint="eastAsia" w:ascii="仿宋_GB2312" w:hAnsi="仿宋_GB2312" w:eastAsia="仿宋_GB2312" w:cs="仿宋_GB2312"/>
          <w:color w:val="auto"/>
          <w:sz w:val="32"/>
          <w:szCs w:val="32"/>
          <w:highlight w:val="none"/>
          <w:lang w:val="en-US" w:eastAsia="zh-CN"/>
        </w:rPr>
        <w:t>租赁经纪</w:t>
      </w:r>
      <w:r>
        <w:rPr>
          <w:rFonts w:hint="eastAsia" w:ascii="仿宋_GB2312" w:hAnsi="仿宋_GB2312" w:eastAsia="仿宋_GB2312" w:cs="仿宋_GB2312"/>
          <w:color w:val="auto"/>
          <w:sz w:val="32"/>
          <w:szCs w:val="32"/>
          <w:highlight w:val="none"/>
        </w:rPr>
        <w:t>业务。</w:t>
      </w:r>
    </w:p>
    <w:p>
      <w:pPr>
        <w:spacing w:line="560" w:lineRule="exact"/>
        <w:ind w:firstLine="640" w:firstLineChars="200"/>
        <w:rPr>
          <w:rFonts w:hint="eastAsia" w:ascii="仿宋_GB2312" w:hAnsi="仿宋_GB2312" w:eastAsia="仿宋_GB2312" w:cs="仿宋_GB2312"/>
          <w:bCs w:val="0"/>
          <w:color w:val="auto"/>
          <w:sz w:val="32"/>
          <w:szCs w:val="32"/>
          <w:highlight w:val="none"/>
        </w:rPr>
      </w:pPr>
      <w:r>
        <w:rPr>
          <w:rFonts w:hint="eastAsia" w:ascii="仿宋_GB2312" w:hAnsi="仿宋_GB2312" w:eastAsia="仿宋_GB2312" w:cs="仿宋_GB2312"/>
          <w:color w:val="auto"/>
          <w:sz w:val="32"/>
          <w:szCs w:val="32"/>
          <w:highlight w:val="none"/>
        </w:rPr>
        <w:t>房地产经纪机构及其经纪人员应当按照有关规定开展安居型商品房的封闭流转经纪业务，有关规定由市主管部门另行制定。</w:t>
      </w:r>
    </w:p>
    <w:p>
      <w:pPr>
        <w:spacing w:line="560" w:lineRule="exact"/>
        <w:ind w:firstLine="640" w:firstLineChars="200"/>
        <w:outlineLvl w:val="2"/>
        <w:rPr>
          <w:rFonts w:ascii="黑体" w:hAnsi="黑体" w:eastAsia="黑体"/>
          <w:bCs/>
          <w:color w:val="auto"/>
          <w:sz w:val="32"/>
          <w:szCs w:val="32"/>
          <w:highlight w:val="none"/>
        </w:rPr>
      </w:pPr>
      <w:r>
        <w:rPr>
          <w:rFonts w:hint="eastAsia" w:ascii="黑体" w:hAnsi="黑体" w:eastAsia="黑体"/>
          <w:bCs/>
          <w:color w:val="auto"/>
          <w:sz w:val="32"/>
          <w:szCs w:val="32"/>
          <w:highlight w:val="none"/>
        </w:rPr>
        <w:t>第</w:t>
      </w:r>
      <w:r>
        <w:rPr>
          <w:rFonts w:hint="eastAsia" w:ascii="黑体" w:hAnsi="黑体" w:eastAsia="黑体"/>
          <w:bCs/>
          <w:color w:val="auto"/>
          <w:sz w:val="32"/>
          <w:szCs w:val="32"/>
          <w:highlight w:val="none"/>
          <w:lang w:eastAsia="zh-CN"/>
        </w:rPr>
        <w:t>五十一</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bCs/>
          <w:color w:val="auto"/>
          <w:sz w:val="32"/>
          <w:szCs w:val="32"/>
          <w:highlight w:val="none"/>
        </w:rPr>
        <w:t>主管部门可以通过以下方式进行监督检查：</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（一）询问与核查事项有关的单位和个人，要求其对相关情况作出说明、提供材料；</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（二）采用信息化等科技手段检查住房使用情况；</w:t>
      </w:r>
    </w:p>
    <w:p>
      <w:p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（三）法律、法规规定的其他方式。</w:t>
      </w:r>
    </w:p>
    <w:p>
      <w:pPr>
        <w:numPr>
          <w:ilvl w:val="255"/>
          <w:numId w:val="0"/>
        </w:numPr>
        <w:spacing w:line="56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有关单位和个人应当配合监督检查，按照要求如实提供相关材料和信息。</w:t>
      </w:r>
    </w:p>
    <w:p>
      <w:pPr>
        <w:numPr>
          <w:ilvl w:val="-1"/>
          <w:numId w:val="0"/>
        </w:num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bCs/>
          <w:color w:val="auto"/>
          <w:sz w:val="32"/>
          <w:szCs w:val="32"/>
          <w:highlight w:val="none"/>
        </w:rPr>
        <w:t>第</w:t>
      </w:r>
      <w:r>
        <w:rPr>
          <w:rFonts w:hint="eastAsia" w:ascii="黑体" w:hAnsi="黑体" w:eastAsia="黑体"/>
          <w:bCs/>
          <w:color w:val="auto"/>
          <w:sz w:val="32"/>
          <w:szCs w:val="32"/>
          <w:highlight w:val="none"/>
          <w:lang w:eastAsia="zh-CN"/>
        </w:rPr>
        <w:t>五十二</w:t>
      </w:r>
      <w:r>
        <w:rPr>
          <w:rFonts w:hint="eastAsia" w:ascii="黑体" w:hAnsi="黑体" w:eastAsia="黑体"/>
          <w:bCs/>
          <w:color w:val="auto"/>
          <w:sz w:val="32"/>
          <w:szCs w:val="32"/>
          <w:highlight w:val="none"/>
        </w:rPr>
        <w:t>条</w:t>
      </w:r>
      <w:r>
        <w:rPr>
          <w:rStyle w:val="16"/>
          <w:rFonts w:hint="eastAsia" w:ascii="黑体" w:eastAsia="黑体"/>
          <w:color w:val="auto"/>
          <w:szCs w:val="32"/>
          <w:highlight w:val="none"/>
          <w:lang w:val="en-US" w:eastAsia="zh-CN"/>
        </w:rPr>
        <w:t xml:space="preserve"> </w:t>
      </w:r>
      <w:r>
        <w:rPr>
          <w:rFonts w:hint="eastAsia" w:ascii="仿宋_GB2312" w:hAnsi="仿宋_GB2312" w:eastAsia="仿宋_GB2312" w:cs="仿宋_GB2312"/>
          <w:color w:val="auto"/>
          <w:sz w:val="32"/>
          <w:szCs w:val="32"/>
          <w:highlight w:val="none"/>
        </w:rPr>
        <w:t>因违反本办法规定，受行政主管部门处罚的，应当同时纳入不良行为记录。主管部门应当在政府网站公示不良行为记录，同时将公示内容抄送深圳市公共信用信息平台、征信机构以及当事人所属单位。</w:t>
      </w:r>
    </w:p>
    <w:p>
      <w:pPr>
        <w:numPr>
          <w:ilvl w:val="-1"/>
          <w:numId w:val="0"/>
        </w:num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主管部门可以根据工作需要，会同市发展改革、</w:t>
      </w:r>
      <w:r>
        <w:rPr>
          <w:rFonts w:hint="eastAsia" w:ascii="仿宋_GB2312" w:hAnsi="仿宋_GB2312" w:eastAsia="仿宋_GB2312" w:cs="仿宋_GB2312"/>
          <w:color w:val="auto"/>
          <w:sz w:val="32"/>
          <w:szCs w:val="32"/>
          <w:highlight w:val="none"/>
          <w:lang w:eastAsia="zh-CN"/>
        </w:rPr>
        <w:t>民政、</w:t>
      </w:r>
      <w:r>
        <w:rPr>
          <w:rFonts w:hint="eastAsia" w:ascii="仿宋_GB2312" w:hAnsi="仿宋_GB2312" w:eastAsia="仿宋_GB2312" w:cs="仿宋_GB2312"/>
          <w:color w:val="auto"/>
          <w:sz w:val="32"/>
          <w:szCs w:val="32"/>
          <w:highlight w:val="none"/>
        </w:rPr>
        <w:t>人力资源保障、交通运输、银保监等部门建立健全失信联合惩戒工作机制。</w:t>
      </w:r>
    </w:p>
    <w:p>
      <w:pPr>
        <w:spacing w:line="560" w:lineRule="exact"/>
        <w:ind w:firstLine="640" w:firstLineChars="200"/>
        <w:outlineLvl w:val="2"/>
        <w:rPr>
          <w:rFonts w:ascii="黑体" w:hAnsi="黑体" w:eastAsia="黑体"/>
          <w:bCs/>
          <w:color w:val="auto"/>
          <w:sz w:val="32"/>
          <w:szCs w:val="32"/>
          <w:highlight w:val="none"/>
        </w:rPr>
      </w:pPr>
      <w:r>
        <w:rPr>
          <w:rFonts w:hint="eastAsia" w:ascii="黑体" w:hAnsi="黑体" w:eastAsia="黑体"/>
          <w:bCs/>
          <w:color w:val="auto"/>
          <w:sz w:val="32"/>
          <w:szCs w:val="32"/>
          <w:highlight w:val="none"/>
        </w:rPr>
        <w:t>第</w:t>
      </w:r>
      <w:r>
        <w:rPr>
          <w:rFonts w:hint="eastAsia" w:ascii="黑体" w:hAnsi="黑体" w:eastAsia="黑体"/>
          <w:bCs/>
          <w:color w:val="auto"/>
          <w:sz w:val="32"/>
          <w:szCs w:val="32"/>
          <w:highlight w:val="none"/>
          <w:lang w:eastAsia="zh-CN"/>
        </w:rPr>
        <w:t>五十三</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安居型商品房的建设筹集、分配、流转及相关管理活动</w:t>
      </w:r>
      <w:r>
        <w:rPr>
          <w:rFonts w:hint="eastAsia" w:ascii="仿宋_GB2312" w:hAnsi="仿宋_GB2312" w:eastAsia="仿宋_GB2312" w:cs="仿宋_GB2312"/>
          <w:bCs/>
          <w:color w:val="auto"/>
          <w:sz w:val="32"/>
          <w:szCs w:val="32"/>
          <w:highlight w:val="none"/>
        </w:rPr>
        <w:t>应当接受社会监督。</w:t>
      </w:r>
    </w:p>
    <w:p>
      <w:pPr>
        <w:numPr>
          <w:ilvl w:val="255"/>
          <w:numId w:val="0"/>
        </w:numPr>
        <w:spacing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单位和个人可以对违反本办法的行为进行投诉、举报，有关责任部门应当及时予以处理，并公开处理结果。</w:t>
      </w:r>
    </w:p>
    <w:bookmarkEnd w:id="267"/>
    <w:bookmarkEnd w:id="268"/>
    <w:p>
      <w:pPr>
        <w:spacing w:beforeLines="50" w:afterLines="50" w:line="560" w:lineRule="exact"/>
        <w:jc w:val="center"/>
        <w:outlineLvl w:val="1"/>
        <w:rPr>
          <w:rFonts w:ascii="黑体" w:hAnsi="黑体" w:eastAsia="黑体"/>
          <w:bCs/>
          <w:color w:val="auto"/>
          <w:sz w:val="32"/>
          <w:szCs w:val="32"/>
          <w:highlight w:val="none"/>
        </w:rPr>
      </w:pPr>
      <w:bookmarkStart w:id="294" w:name="_Toc523428839"/>
      <w:bookmarkStart w:id="295" w:name="_Toc10510"/>
      <w:bookmarkStart w:id="296" w:name="_Toc8046"/>
      <w:bookmarkStart w:id="297" w:name="_Toc3340_WPSOffice_Level1"/>
      <w:bookmarkStart w:id="298" w:name="_Toc13432_WPSOffice_Level1"/>
      <w:bookmarkStart w:id="299" w:name="_Toc23761_WPSOffice_Level1"/>
      <w:bookmarkStart w:id="300" w:name="_Toc22322"/>
      <w:bookmarkStart w:id="301" w:name="_Toc12447"/>
      <w:bookmarkStart w:id="302" w:name="_Toc14423_WPSOffice_Level1"/>
      <w:bookmarkStart w:id="303" w:name="_Toc5447"/>
      <w:bookmarkStart w:id="304" w:name="_Toc6358"/>
      <w:bookmarkStart w:id="305" w:name="_Toc19068"/>
      <w:bookmarkStart w:id="306" w:name="_Toc26609"/>
      <w:bookmarkStart w:id="307" w:name="_Toc21150_WPSOffice_Level1"/>
      <w:bookmarkStart w:id="308" w:name="_Toc25556_WPSOffice_Level2"/>
      <w:bookmarkStart w:id="309" w:name="_Toc18656"/>
      <w:r>
        <w:rPr>
          <w:rFonts w:hint="eastAsia" w:ascii="黑体" w:hAnsi="黑体" w:eastAsia="黑体"/>
          <w:bCs/>
          <w:color w:val="auto"/>
          <w:sz w:val="32"/>
          <w:szCs w:val="32"/>
          <w:highlight w:val="none"/>
        </w:rPr>
        <w:t>第六章 法律责任</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spacing w:line="560" w:lineRule="exact"/>
        <w:ind w:firstLine="640" w:firstLineChars="200"/>
        <w:outlineLvl w:val="2"/>
        <w:rPr>
          <w:rFonts w:ascii="仿宋_GB2312" w:hAnsi="仿宋_GB2312" w:eastAsia="仿宋_GB2312" w:cs="仿宋_GB2312"/>
          <w:color w:val="auto"/>
          <w:sz w:val="32"/>
          <w:szCs w:val="32"/>
          <w:highlight w:val="none"/>
        </w:rPr>
      </w:pPr>
      <w:r>
        <w:rPr>
          <w:rFonts w:hint="eastAsia" w:ascii="黑体" w:hAnsi="黑体" w:eastAsia="黑体"/>
          <w:bCs/>
          <w:color w:val="auto"/>
          <w:sz w:val="32"/>
          <w:szCs w:val="32"/>
          <w:highlight w:val="none"/>
        </w:rPr>
        <w:t>第五十</w:t>
      </w:r>
      <w:r>
        <w:rPr>
          <w:rFonts w:hint="eastAsia" w:ascii="黑体" w:hAnsi="黑体" w:eastAsia="黑体"/>
          <w:bCs/>
          <w:color w:val="auto"/>
          <w:sz w:val="32"/>
          <w:szCs w:val="32"/>
          <w:highlight w:val="none"/>
          <w:lang w:eastAsia="zh-CN"/>
        </w:rPr>
        <w:t>四</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不符合条件的申请人、共同申请人以隐瞒或者虚报人口、户籍、年龄、婚姻、收入、财产和住房等状况的方式弄虚作假，或者采取贿赂等不正当手段，申请租赁安居型商品房的，由主管部门驳回申请，处</w:t>
      </w:r>
      <w:r>
        <w:rPr>
          <w:rFonts w:hint="eastAsia" w:ascii="仿宋_GB2312" w:hAnsi="仿宋_GB2312" w:eastAsia="仿宋_GB2312" w:cs="仿宋_GB2312"/>
          <w:color w:val="auto"/>
          <w:sz w:val="32"/>
          <w:szCs w:val="32"/>
          <w:highlight w:val="none"/>
          <w:lang w:eastAsia="zh-CN"/>
        </w:rPr>
        <w:t>3</w:t>
      </w:r>
      <w:r>
        <w:rPr>
          <w:rFonts w:hint="eastAsia" w:ascii="仿宋_GB2312" w:hAnsi="仿宋_GB2312" w:eastAsia="仿宋_GB2312" w:cs="仿宋_GB2312"/>
          <w:color w:val="auto"/>
          <w:sz w:val="32"/>
          <w:szCs w:val="32"/>
          <w:highlight w:val="none"/>
        </w:rPr>
        <w:t>万元罚款，</w:t>
      </w:r>
      <w:r>
        <w:rPr>
          <w:rFonts w:hint="eastAsia" w:ascii="仿宋_GB2312" w:hAnsi="仿宋_GB2312" w:eastAsia="仿宋_GB2312" w:cs="仿宋_GB2312"/>
          <w:color w:val="auto"/>
          <w:sz w:val="32"/>
          <w:szCs w:val="32"/>
          <w:highlight w:val="none"/>
          <w:lang w:eastAsia="zh-CN"/>
        </w:rPr>
        <w:t>并</w:t>
      </w:r>
      <w:r>
        <w:rPr>
          <w:rFonts w:hint="eastAsia" w:ascii="仿宋_GB2312" w:hAnsi="仿宋_GB2312" w:eastAsia="仿宋_GB2312" w:cs="仿宋_GB2312"/>
          <w:color w:val="auto"/>
          <w:sz w:val="32"/>
          <w:szCs w:val="32"/>
          <w:highlight w:val="none"/>
        </w:rPr>
        <w:t>自驳回申请之日起10年内不予受理其住房保障和人才安居申请。</w:t>
      </w:r>
    </w:p>
    <w:p>
      <w:pPr>
        <w:spacing w:line="560" w:lineRule="exact"/>
        <w:ind w:firstLine="640" w:firstLineChars="200"/>
        <w:outlineLvl w:val="2"/>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符合条件的申请人、共同申请人有上述违法行为的，由主管部门驳回申请，</w:t>
      </w:r>
      <w:r>
        <w:rPr>
          <w:rFonts w:hint="eastAsia" w:ascii="仿宋_GB2312" w:hAnsi="仿宋_GB2312" w:eastAsia="仿宋_GB2312" w:cs="仿宋_GB2312"/>
          <w:b w:val="0"/>
          <w:i w:val="0"/>
          <w:caps w:val="0"/>
          <w:color w:val="auto"/>
          <w:spacing w:val="0"/>
          <w:sz w:val="32"/>
          <w:szCs w:val="32"/>
          <w:highlight w:val="none"/>
          <w:shd w:val="clear" w:color="auto" w:fill="auto"/>
        </w:rPr>
        <w:t>处</w:t>
      </w:r>
      <w:r>
        <w:rPr>
          <w:rFonts w:hint="eastAsia" w:ascii="仿宋_GB2312" w:hAnsi="仿宋_GB2312" w:eastAsia="仿宋_GB2312" w:cs="仿宋_GB2312"/>
          <w:b w:val="0"/>
          <w:i w:val="0"/>
          <w:caps w:val="0"/>
          <w:color w:val="auto"/>
          <w:spacing w:val="0"/>
          <w:sz w:val="32"/>
          <w:szCs w:val="32"/>
          <w:highlight w:val="none"/>
          <w:shd w:val="clear"/>
          <w:lang w:eastAsia="zh-CN"/>
        </w:rPr>
        <w:t>1</w:t>
      </w:r>
      <w:r>
        <w:rPr>
          <w:rFonts w:hint="eastAsia" w:ascii="仿宋_GB2312" w:hAnsi="仿宋_GB2312" w:eastAsia="仿宋_GB2312" w:cs="仿宋_GB2312"/>
          <w:b w:val="0"/>
          <w:i w:val="0"/>
          <w:caps w:val="0"/>
          <w:color w:val="auto"/>
          <w:spacing w:val="0"/>
          <w:sz w:val="32"/>
          <w:szCs w:val="32"/>
          <w:highlight w:val="none"/>
          <w:shd w:val="clear" w:color="auto" w:fill="auto"/>
        </w:rPr>
        <w:t>万元罚款，</w:t>
      </w:r>
      <w:r>
        <w:rPr>
          <w:rFonts w:hint="eastAsia" w:ascii="仿宋_GB2312" w:hAnsi="仿宋_GB2312" w:eastAsia="仿宋_GB2312" w:cs="仿宋_GB2312"/>
          <w:b w:val="0"/>
          <w:i w:val="0"/>
          <w:caps w:val="0"/>
          <w:color w:val="auto"/>
          <w:spacing w:val="0"/>
          <w:sz w:val="32"/>
          <w:szCs w:val="32"/>
          <w:highlight w:val="none"/>
          <w:shd w:val="clear"/>
          <w:lang w:eastAsia="zh-CN"/>
        </w:rPr>
        <w:t>并</w:t>
      </w:r>
      <w:r>
        <w:rPr>
          <w:rFonts w:hint="eastAsia" w:ascii="仿宋_GB2312" w:hAnsi="仿宋_GB2312" w:eastAsia="仿宋_GB2312" w:cs="仿宋_GB2312"/>
          <w:color w:val="auto"/>
          <w:sz w:val="32"/>
          <w:szCs w:val="32"/>
          <w:highlight w:val="none"/>
        </w:rPr>
        <w:t>自驳回申请之日起3年内不予受理其住房保障和人才安居申请。</w:t>
      </w:r>
    </w:p>
    <w:p>
      <w:pPr>
        <w:spacing w:line="560" w:lineRule="exact"/>
        <w:ind w:firstLine="640" w:firstLineChars="200"/>
        <w:outlineLvl w:val="2"/>
        <w:rPr>
          <w:rFonts w:ascii="仿宋_GB2312" w:hAnsi="仿宋_GB2312" w:eastAsia="仿宋_GB2312" w:cs="仿宋_GB2312"/>
          <w:color w:val="auto"/>
          <w:sz w:val="32"/>
          <w:szCs w:val="32"/>
          <w:highlight w:val="none"/>
        </w:rPr>
      </w:pPr>
      <w:r>
        <w:rPr>
          <w:rFonts w:hint="eastAsia" w:ascii="黑体" w:hAnsi="黑体" w:eastAsia="黑体"/>
          <w:bCs/>
          <w:color w:val="auto"/>
          <w:sz w:val="32"/>
          <w:szCs w:val="32"/>
          <w:highlight w:val="none"/>
        </w:rPr>
        <w:t>第五十</w:t>
      </w:r>
      <w:r>
        <w:rPr>
          <w:rFonts w:hint="eastAsia" w:ascii="黑体" w:hAnsi="黑体" w:eastAsia="黑体"/>
          <w:bCs/>
          <w:color w:val="auto"/>
          <w:sz w:val="32"/>
          <w:szCs w:val="32"/>
          <w:highlight w:val="none"/>
          <w:lang w:eastAsia="zh-CN"/>
        </w:rPr>
        <w:t>五</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不符合条件的申请人、共同申请人以隐瞒或者虚报人口、户籍、年龄、婚姻、收入、财产和住房等状况的方式弄虚作假，或者采取贿赂等不正当手段，申请购买安居型商品房的，由主管部门驳回申请，</w:t>
      </w:r>
      <w:r>
        <w:rPr>
          <w:rFonts w:hint="eastAsia" w:ascii="仿宋_GB2312" w:hAnsi="仿宋_GB2312" w:eastAsia="仿宋_GB2312" w:cs="仿宋_GB2312"/>
          <w:b w:val="0"/>
          <w:i w:val="0"/>
          <w:caps w:val="0"/>
          <w:color w:val="auto"/>
          <w:spacing w:val="0"/>
          <w:sz w:val="32"/>
          <w:szCs w:val="32"/>
          <w:highlight w:val="none"/>
          <w:shd w:val="clear" w:color="auto" w:fill="auto"/>
        </w:rPr>
        <w:t>处</w:t>
      </w:r>
      <w:r>
        <w:rPr>
          <w:rFonts w:hint="eastAsia" w:ascii="仿宋_GB2312" w:hAnsi="仿宋_GB2312" w:eastAsia="仿宋_GB2312" w:cs="仿宋_GB2312"/>
          <w:b w:val="0"/>
          <w:i w:val="0"/>
          <w:caps w:val="0"/>
          <w:color w:val="auto"/>
          <w:spacing w:val="0"/>
          <w:sz w:val="32"/>
          <w:szCs w:val="32"/>
          <w:highlight w:val="none"/>
          <w:shd w:val="clear"/>
          <w:lang w:eastAsia="zh-CN"/>
        </w:rPr>
        <w:t>1</w:t>
      </w:r>
      <w:r>
        <w:rPr>
          <w:rFonts w:hint="eastAsia" w:ascii="仿宋_GB2312" w:hAnsi="仿宋_GB2312" w:eastAsia="仿宋_GB2312" w:cs="仿宋_GB2312"/>
          <w:b w:val="0"/>
          <w:i w:val="0"/>
          <w:caps w:val="0"/>
          <w:color w:val="auto"/>
          <w:spacing w:val="0"/>
          <w:sz w:val="32"/>
          <w:szCs w:val="32"/>
          <w:highlight w:val="none"/>
          <w:shd w:val="clear"/>
          <w:lang w:val="en-US" w:eastAsia="zh-CN"/>
        </w:rPr>
        <w:t>0</w:t>
      </w:r>
      <w:r>
        <w:rPr>
          <w:rFonts w:hint="eastAsia" w:ascii="仿宋_GB2312" w:hAnsi="仿宋_GB2312" w:eastAsia="仿宋_GB2312" w:cs="仿宋_GB2312"/>
          <w:b w:val="0"/>
          <w:i w:val="0"/>
          <w:caps w:val="0"/>
          <w:color w:val="auto"/>
          <w:spacing w:val="0"/>
          <w:sz w:val="32"/>
          <w:szCs w:val="32"/>
          <w:highlight w:val="none"/>
          <w:shd w:val="clear" w:color="auto" w:fill="auto"/>
        </w:rPr>
        <w:t>万元罚款，</w:t>
      </w:r>
      <w:r>
        <w:rPr>
          <w:rFonts w:hint="eastAsia" w:ascii="仿宋_GB2312" w:hAnsi="仿宋_GB2312" w:eastAsia="仿宋_GB2312" w:cs="仿宋_GB2312"/>
          <w:color w:val="auto"/>
          <w:sz w:val="32"/>
          <w:szCs w:val="32"/>
          <w:highlight w:val="none"/>
        </w:rPr>
        <w:t>并终身不再受理其购买</w:t>
      </w:r>
      <w:r>
        <w:rPr>
          <w:rFonts w:hint="eastAsia" w:ascii="仿宋_GB2312" w:hAnsi="仿宋_GB2312" w:eastAsia="仿宋_GB2312" w:cs="仿宋_GB2312"/>
          <w:color w:val="auto"/>
          <w:sz w:val="32"/>
          <w:szCs w:val="32"/>
          <w:highlight w:val="none"/>
          <w:lang w:eastAsia="zh-CN"/>
        </w:rPr>
        <w:t>人才住房、安居型商品房以及与购房相关的其他优惠政策</w:t>
      </w:r>
      <w:r>
        <w:rPr>
          <w:rFonts w:hint="eastAsia" w:ascii="仿宋_GB2312" w:hAnsi="仿宋_GB2312" w:eastAsia="仿宋_GB2312" w:cs="仿宋_GB2312"/>
          <w:color w:val="auto"/>
          <w:sz w:val="32"/>
          <w:szCs w:val="32"/>
          <w:highlight w:val="none"/>
        </w:rPr>
        <w:t>申请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自驳回申请之日起10年内不予受理其其他住房保障和人才安居申请。</w:t>
      </w:r>
    </w:p>
    <w:p>
      <w:pPr>
        <w:spacing w:line="560" w:lineRule="exact"/>
        <w:ind w:firstLine="640" w:firstLineChars="200"/>
        <w:outlineLvl w:val="2"/>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符合条件的申请人、共同申请人有上述违法行为的，由主管部门</w:t>
      </w:r>
      <w:r>
        <w:rPr>
          <w:rFonts w:hint="eastAsia" w:ascii="仿宋_GB2312" w:hAnsi="仿宋_GB2312" w:eastAsia="仿宋_GB2312" w:cs="仿宋_GB2312"/>
          <w:color w:val="auto"/>
          <w:sz w:val="32"/>
          <w:szCs w:val="32"/>
          <w:highlight w:val="none"/>
          <w:u w:val="none"/>
        </w:rPr>
        <w:t>驳回申请</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val="0"/>
          <w:i w:val="0"/>
          <w:caps w:val="0"/>
          <w:color w:val="auto"/>
          <w:spacing w:val="0"/>
          <w:sz w:val="32"/>
          <w:szCs w:val="32"/>
          <w:highlight w:val="none"/>
          <w:shd w:val="clear" w:color="auto" w:fill="auto"/>
        </w:rPr>
        <w:t>处</w:t>
      </w:r>
      <w:r>
        <w:rPr>
          <w:rFonts w:hint="eastAsia" w:ascii="仿宋_GB2312" w:hAnsi="仿宋_GB2312" w:eastAsia="仿宋_GB2312" w:cs="仿宋_GB2312"/>
          <w:b w:val="0"/>
          <w:i w:val="0"/>
          <w:caps w:val="0"/>
          <w:color w:val="auto"/>
          <w:spacing w:val="0"/>
          <w:sz w:val="32"/>
          <w:szCs w:val="32"/>
          <w:highlight w:val="none"/>
          <w:shd w:val="clear"/>
          <w:lang w:eastAsia="zh-CN"/>
        </w:rPr>
        <w:t>3</w:t>
      </w:r>
      <w:r>
        <w:rPr>
          <w:rFonts w:hint="eastAsia" w:ascii="仿宋_GB2312" w:hAnsi="仿宋_GB2312" w:eastAsia="仿宋_GB2312" w:cs="仿宋_GB2312"/>
          <w:b w:val="0"/>
          <w:i w:val="0"/>
          <w:caps w:val="0"/>
          <w:color w:val="auto"/>
          <w:spacing w:val="0"/>
          <w:sz w:val="32"/>
          <w:szCs w:val="32"/>
          <w:highlight w:val="none"/>
          <w:shd w:val="clear" w:color="auto" w:fill="auto"/>
        </w:rPr>
        <w:t>万元罚款，</w:t>
      </w:r>
      <w:r>
        <w:rPr>
          <w:rFonts w:hint="eastAsia" w:ascii="仿宋_GB2312" w:hAnsi="仿宋_GB2312" w:eastAsia="仿宋_GB2312" w:cs="仿宋_GB2312"/>
          <w:b w:val="0"/>
          <w:i w:val="0"/>
          <w:caps w:val="0"/>
          <w:color w:val="auto"/>
          <w:spacing w:val="0"/>
          <w:sz w:val="32"/>
          <w:szCs w:val="32"/>
          <w:highlight w:val="none"/>
          <w:shd w:val="clear"/>
          <w:lang w:eastAsia="zh-CN"/>
        </w:rPr>
        <w:t>并</w:t>
      </w:r>
      <w:r>
        <w:rPr>
          <w:rFonts w:hint="eastAsia" w:ascii="仿宋_GB2312" w:hAnsi="仿宋_GB2312" w:eastAsia="仿宋_GB2312" w:cs="仿宋_GB2312"/>
          <w:color w:val="auto"/>
          <w:sz w:val="32"/>
          <w:szCs w:val="32"/>
          <w:highlight w:val="none"/>
        </w:rPr>
        <w:t>自驳回申请之日起5年内不予受理其住房保障和人才安居申请。</w:t>
      </w:r>
    </w:p>
    <w:p>
      <w:pPr>
        <w:keepNext w:val="0"/>
        <w:keepLines w:val="0"/>
        <w:pageBreakBefore w:val="0"/>
        <w:numPr>
          <w:ilvl w:val="255"/>
          <w:numId w:val="0"/>
        </w:numPr>
        <w:kinsoku/>
        <w:overflowPunct/>
        <w:topLinePunct w:val="0"/>
        <w:bidi w:val="0"/>
        <w:spacing w:line="560" w:lineRule="exact"/>
        <w:ind w:firstLine="640" w:firstLineChars="200"/>
        <w:textAlignment w:val="auto"/>
        <w:outlineLvl w:val="2"/>
        <w:rPr>
          <w:rFonts w:hint="eastAsia" w:ascii="仿宋_GB2312" w:hAnsi="仿宋_GB2312" w:eastAsia="仿宋_GB2312" w:cs="仿宋_GB2312"/>
          <w:color w:val="auto"/>
          <w:sz w:val="32"/>
          <w:szCs w:val="32"/>
          <w:highlight w:val="none"/>
        </w:rPr>
      </w:pPr>
      <w:bookmarkStart w:id="310" w:name="_Toc3134_WPSOffice_Level2"/>
      <w:bookmarkStart w:id="311" w:name="_Toc31319"/>
      <w:bookmarkStart w:id="312" w:name="_Toc4008"/>
      <w:bookmarkStart w:id="313" w:name="_Toc21339"/>
      <w:bookmarkStart w:id="314" w:name="_Toc8530"/>
      <w:bookmarkStart w:id="315" w:name="_Toc21001"/>
      <w:bookmarkStart w:id="316" w:name="_Toc523428844"/>
      <w:bookmarkStart w:id="317" w:name="_Toc4471"/>
      <w:bookmarkStart w:id="318" w:name="_Toc28088"/>
      <w:bookmarkStart w:id="319" w:name="_Toc5682"/>
      <w:r>
        <w:rPr>
          <w:rFonts w:hint="eastAsia" w:ascii="黑体" w:hAnsi="黑体" w:eastAsia="黑体"/>
          <w:bCs/>
          <w:color w:val="auto"/>
          <w:sz w:val="32"/>
          <w:szCs w:val="32"/>
          <w:highlight w:val="none"/>
        </w:rPr>
        <w:t>第五十</w:t>
      </w:r>
      <w:r>
        <w:rPr>
          <w:rFonts w:hint="eastAsia" w:ascii="黑体" w:hAnsi="黑体" w:eastAsia="黑体"/>
          <w:bCs/>
          <w:color w:val="auto"/>
          <w:sz w:val="32"/>
          <w:szCs w:val="32"/>
          <w:highlight w:val="none"/>
          <w:lang w:val="en-US" w:eastAsia="zh-CN"/>
        </w:rPr>
        <w:t>六</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主管部门查明有关当事人以弄虚作假、贿赂等不正当手段获取</w:t>
      </w:r>
      <w:r>
        <w:rPr>
          <w:rFonts w:hint="eastAsia" w:ascii="仿宋_GB2312" w:hAnsi="仿宋_GB2312" w:eastAsia="仿宋_GB2312" w:cs="仿宋_GB2312"/>
          <w:color w:val="auto"/>
          <w:sz w:val="32"/>
          <w:szCs w:val="32"/>
          <w:highlight w:val="none"/>
          <w:lang w:eastAsia="zh-CN"/>
        </w:rPr>
        <w:t>安居型商品房</w:t>
      </w:r>
      <w:r>
        <w:rPr>
          <w:rFonts w:hint="eastAsia" w:ascii="仿宋_GB2312" w:hAnsi="仿宋_GB2312" w:eastAsia="仿宋_GB2312" w:cs="仿宋_GB2312"/>
          <w:color w:val="auto"/>
          <w:sz w:val="32"/>
          <w:szCs w:val="32"/>
          <w:highlight w:val="none"/>
        </w:rPr>
        <w:t>的，应当解除</w:t>
      </w:r>
      <w:r>
        <w:rPr>
          <w:rFonts w:hint="eastAsia" w:ascii="仿宋_GB2312" w:hAnsi="仿宋_GB2312" w:eastAsia="仿宋_GB2312" w:cs="仿宋_GB2312"/>
          <w:color w:val="auto"/>
          <w:sz w:val="32"/>
          <w:szCs w:val="32"/>
          <w:highlight w:val="none"/>
          <w:lang w:eastAsia="zh-CN"/>
        </w:rPr>
        <w:t>安居型商品房</w:t>
      </w:r>
      <w:r>
        <w:rPr>
          <w:rFonts w:hint="eastAsia" w:ascii="仿宋_GB2312" w:hAnsi="仿宋_GB2312" w:eastAsia="仿宋_GB2312" w:cs="仿宋_GB2312"/>
          <w:color w:val="auto"/>
          <w:sz w:val="32"/>
          <w:szCs w:val="32"/>
          <w:highlight w:val="none"/>
        </w:rPr>
        <w:t>租赁合同、买卖合同或者责令安居型商品房</w:t>
      </w:r>
      <w:r>
        <w:rPr>
          <w:rFonts w:hint="eastAsia" w:ascii="仿宋_GB2312" w:hAnsi="仿宋_GB2312" w:eastAsia="仿宋_GB2312" w:cs="仿宋_GB2312"/>
          <w:color w:val="auto"/>
          <w:sz w:val="32"/>
          <w:szCs w:val="32"/>
          <w:highlight w:val="none"/>
          <w:lang w:eastAsia="zh-CN"/>
        </w:rPr>
        <w:t>产权</w:t>
      </w:r>
      <w:r>
        <w:rPr>
          <w:rFonts w:hint="eastAsia" w:ascii="仿宋_GB2312" w:hAnsi="仿宋_GB2312" w:eastAsia="仿宋_GB2312" w:cs="仿宋_GB2312"/>
          <w:color w:val="auto"/>
          <w:sz w:val="32"/>
          <w:szCs w:val="32"/>
          <w:highlight w:val="none"/>
        </w:rPr>
        <w:t>单位解除</w:t>
      </w:r>
      <w:r>
        <w:rPr>
          <w:rFonts w:hint="eastAsia" w:ascii="仿宋_GB2312" w:hAnsi="仿宋_GB2312" w:eastAsia="仿宋_GB2312" w:cs="仿宋_GB2312"/>
          <w:color w:val="auto"/>
          <w:sz w:val="32"/>
          <w:szCs w:val="32"/>
          <w:highlight w:val="none"/>
          <w:lang w:eastAsia="zh-CN"/>
        </w:rPr>
        <w:t>租赁合同、</w:t>
      </w:r>
      <w:r>
        <w:rPr>
          <w:rFonts w:hint="eastAsia" w:ascii="仿宋_GB2312" w:hAnsi="仿宋_GB2312" w:eastAsia="仿宋_GB2312" w:cs="仿宋_GB2312"/>
          <w:color w:val="auto"/>
          <w:sz w:val="32"/>
          <w:szCs w:val="32"/>
          <w:highlight w:val="none"/>
        </w:rPr>
        <w:t>买卖合同，收回</w:t>
      </w:r>
      <w:r>
        <w:rPr>
          <w:rFonts w:hint="eastAsia" w:ascii="仿宋_GB2312" w:hAnsi="仿宋_GB2312" w:eastAsia="仿宋_GB2312" w:cs="仿宋_GB2312"/>
          <w:color w:val="auto"/>
          <w:sz w:val="32"/>
          <w:szCs w:val="32"/>
          <w:highlight w:val="none"/>
          <w:lang w:eastAsia="zh-CN"/>
        </w:rPr>
        <w:t>安居型商品房</w:t>
      </w:r>
      <w:r>
        <w:rPr>
          <w:rFonts w:hint="eastAsia" w:ascii="仿宋_GB2312" w:hAnsi="仿宋_GB2312" w:eastAsia="仿宋_GB2312" w:cs="仿宋_GB2312"/>
          <w:color w:val="auto"/>
          <w:sz w:val="32"/>
          <w:szCs w:val="32"/>
          <w:highlight w:val="none"/>
        </w:rPr>
        <w:t>，并按照下列情形分别予以处罚：</w:t>
      </w:r>
    </w:p>
    <w:p>
      <w:pPr>
        <w:keepNext w:val="0"/>
        <w:keepLines w:val="0"/>
        <w:pageBreakBefore w:val="0"/>
        <w:numPr>
          <w:ilvl w:val="255"/>
          <w:numId w:val="0"/>
        </w:numPr>
        <w:kinsoku/>
        <w:overflowPunct/>
        <w:topLinePunct w:val="0"/>
        <w:bidi w:val="0"/>
        <w:spacing w:line="560" w:lineRule="exact"/>
        <w:ind w:firstLine="640" w:firstLineChars="200"/>
        <w:textAlignment w:val="auto"/>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（一）租赁安居型商品房的，除按照本办法</w:t>
      </w:r>
      <w:r>
        <w:rPr>
          <w:rFonts w:hint="eastAsia" w:ascii="仿宋_GB2312" w:hAnsi="仿宋_GB2312" w:eastAsia="仿宋_GB2312" w:cs="仿宋_GB2312"/>
          <w:color w:val="auto"/>
          <w:sz w:val="32"/>
          <w:szCs w:val="32"/>
          <w:highlight w:val="none"/>
          <w:lang w:eastAsia="zh-CN"/>
        </w:rPr>
        <w:t>第五十四</w:t>
      </w:r>
      <w:r>
        <w:rPr>
          <w:rFonts w:hint="eastAsia" w:ascii="仿宋_GB2312" w:hAnsi="仿宋_GB2312" w:eastAsia="仿宋_GB2312" w:cs="仿宋_GB2312"/>
          <w:color w:val="auto"/>
          <w:sz w:val="32"/>
          <w:szCs w:val="32"/>
          <w:highlight w:val="none"/>
        </w:rPr>
        <w:t>条的有关规定追究责任外，加处一倍罚款，同时按照</w:t>
      </w:r>
      <w:r>
        <w:rPr>
          <w:rFonts w:hint="eastAsia" w:ascii="仿宋_GB2312" w:hAnsi="仿宋_GB2312" w:eastAsia="仿宋_GB2312" w:cs="仿宋_GB2312"/>
          <w:bCs/>
          <w:color w:val="auto"/>
          <w:sz w:val="32"/>
          <w:szCs w:val="32"/>
          <w:highlight w:val="none"/>
          <w:lang w:eastAsia="zh-CN"/>
        </w:rPr>
        <w:t>同期同区域同类型市场商品住房</w:t>
      </w:r>
      <w:r>
        <w:rPr>
          <w:rFonts w:hint="eastAsia" w:ascii="仿宋_GB2312" w:hAnsi="仿宋_GB2312" w:eastAsia="仿宋_GB2312" w:cs="仿宋_GB2312"/>
          <w:bCs/>
          <w:color w:val="auto"/>
          <w:sz w:val="32"/>
          <w:szCs w:val="32"/>
          <w:highlight w:val="none"/>
        </w:rPr>
        <w:t>租金</w:t>
      </w:r>
      <w:r>
        <w:rPr>
          <w:rFonts w:hint="eastAsia" w:ascii="仿宋_GB2312" w:hAnsi="仿宋_GB2312" w:eastAsia="仿宋_GB2312" w:cs="仿宋_GB2312"/>
          <w:color w:val="auto"/>
          <w:sz w:val="32"/>
          <w:szCs w:val="32"/>
          <w:highlight w:val="none"/>
        </w:rPr>
        <w:t>补收入住期间的租金；</w:t>
      </w:r>
    </w:p>
    <w:p>
      <w:pPr>
        <w:numPr>
          <w:ilvl w:val="255"/>
          <w:numId w:val="0"/>
        </w:numPr>
        <w:spacing w:line="560" w:lineRule="exact"/>
        <w:ind w:firstLine="640" w:firstLineChars="200"/>
        <w:outlineLvl w:val="2"/>
        <w:rPr>
          <w:rFonts w:hint="eastAsia" w:ascii="仿宋_GB2312" w:hAnsi="仿宋_GB2312" w:eastAsia="仿宋_GB2312" w:cs="仿宋_GB2312"/>
          <w:bCs w:val="0"/>
          <w:color w:val="auto"/>
          <w:sz w:val="32"/>
          <w:szCs w:val="32"/>
          <w:highlight w:val="none"/>
        </w:rPr>
      </w:pPr>
      <w:r>
        <w:rPr>
          <w:rFonts w:hint="eastAsia" w:ascii="仿宋_GB2312" w:hAnsi="仿宋_GB2312" w:eastAsia="仿宋_GB2312" w:cs="仿宋_GB2312"/>
          <w:color w:val="auto"/>
          <w:sz w:val="32"/>
          <w:szCs w:val="32"/>
          <w:highlight w:val="none"/>
        </w:rPr>
        <w:t>（二）购买安居型商品房的，除按照本办法第</w:t>
      </w:r>
      <w:r>
        <w:rPr>
          <w:rFonts w:hint="eastAsia" w:ascii="仿宋_GB2312" w:hAnsi="仿宋_GB2312" w:eastAsia="仿宋_GB2312" w:cs="仿宋_GB2312"/>
          <w:color w:val="auto"/>
          <w:sz w:val="32"/>
          <w:szCs w:val="32"/>
          <w:highlight w:val="none"/>
          <w:lang w:eastAsia="zh-CN"/>
        </w:rPr>
        <w:t>五十五</w:t>
      </w:r>
      <w:r>
        <w:rPr>
          <w:rFonts w:hint="eastAsia" w:ascii="仿宋_GB2312" w:hAnsi="仿宋_GB2312" w:eastAsia="仿宋_GB2312" w:cs="仿宋_GB2312"/>
          <w:color w:val="auto"/>
          <w:sz w:val="32"/>
          <w:szCs w:val="32"/>
          <w:highlight w:val="none"/>
        </w:rPr>
        <w:t>条的有关规定追究责任外，加处一倍罚款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由主管部门退回原购房款，</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按照</w:t>
      </w:r>
      <w:r>
        <w:rPr>
          <w:rFonts w:hint="eastAsia" w:ascii="仿宋_GB2312" w:hAnsi="仿宋_GB2312" w:eastAsia="仿宋_GB2312" w:cs="仿宋_GB2312"/>
          <w:bCs/>
          <w:color w:val="auto"/>
          <w:sz w:val="32"/>
          <w:szCs w:val="32"/>
          <w:highlight w:val="none"/>
          <w:lang w:eastAsia="zh-CN"/>
        </w:rPr>
        <w:t>同期同区域同类型市场商品住房</w:t>
      </w:r>
      <w:r>
        <w:rPr>
          <w:rFonts w:hint="eastAsia" w:ascii="仿宋_GB2312" w:hAnsi="仿宋_GB2312" w:eastAsia="仿宋_GB2312" w:cs="仿宋_GB2312"/>
          <w:bCs/>
          <w:color w:val="auto"/>
          <w:sz w:val="32"/>
          <w:szCs w:val="32"/>
          <w:highlight w:val="none"/>
        </w:rPr>
        <w:t>租金</w:t>
      </w:r>
      <w:r>
        <w:rPr>
          <w:rFonts w:hint="eastAsia" w:ascii="仿宋_GB2312" w:hAnsi="仿宋_GB2312" w:eastAsia="仿宋_GB2312" w:cs="仿宋_GB2312"/>
          <w:color w:val="auto"/>
          <w:sz w:val="32"/>
          <w:szCs w:val="32"/>
          <w:highlight w:val="none"/>
          <w:lang w:eastAsia="zh-CN"/>
        </w:rPr>
        <w:t>收取</w:t>
      </w:r>
      <w:r>
        <w:rPr>
          <w:rFonts w:hint="eastAsia" w:ascii="仿宋_GB2312" w:hAnsi="仿宋_GB2312" w:eastAsia="仿宋_GB2312" w:cs="仿宋_GB2312"/>
          <w:color w:val="auto"/>
          <w:sz w:val="32"/>
          <w:szCs w:val="32"/>
          <w:highlight w:val="none"/>
        </w:rPr>
        <w:t>入住期间的租金。</w:t>
      </w:r>
    </w:p>
    <w:p>
      <w:pPr>
        <w:keepNext w:val="0"/>
        <w:keepLines w:val="0"/>
        <w:pageBreakBefore w:val="0"/>
        <w:numPr>
          <w:ilvl w:val="255"/>
          <w:numId w:val="0"/>
        </w:numPr>
        <w:kinsoku/>
        <w:wordWrap/>
        <w:overflowPunct/>
        <w:topLinePunct w:val="0"/>
        <w:bidi w:val="0"/>
        <w:spacing w:line="560" w:lineRule="exact"/>
        <w:ind w:firstLine="640" w:firstLineChars="200"/>
        <w:textAlignment w:val="auto"/>
        <w:outlineLvl w:val="2"/>
        <w:rPr>
          <w:rFonts w:hint="eastAsia" w:ascii="仿宋_GB2312" w:hAnsi="仿宋_GB2312" w:eastAsia="仿宋_GB2312" w:cs="仿宋_GB2312"/>
          <w:color w:val="000000"/>
          <w:sz w:val="32"/>
          <w:szCs w:val="32"/>
          <w:highlight w:val="none"/>
        </w:rPr>
      </w:pPr>
      <w:r>
        <w:rPr>
          <w:rStyle w:val="12"/>
          <w:rFonts w:hint="eastAsia" w:ascii="黑体" w:hAnsi="黑体" w:eastAsia="黑体"/>
          <w:bCs/>
          <w:color w:val="auto"/>
          <w:sz w:val="32"/>
          <w:szCs w:val="32"/>
          <w:highlight w:val="none"/>
        </w:rPr>
        <w:t>第五十</w:t>
      </w:r>
      <w:r>
        <w:rPr>
          <w:rStyle w:val="12"/>
          <w:rFonts w:hint="eastAsia" w:ascii="黑体" w:hAnsi="黑体" w:eastAsia="黑体"/>
          <w:bCs/>
          <w:color w:val="000000"/>
          <w:sz w:val="32"/>
          <w:szCs w:val="32"/>
          <w:highlight w:val="none"/>
          <w:lang w:val="en-US" w:eastAsia="zh-CN"/>
        </w:rPr>
        <w:t>七</w:t>
      </w:r>
      <w:r>
        <w:rPr>
          <w:rStyle w:val="12"/>
          <w:rFonts w:hint="eastAsia" w:ascii="黑体" w:hAnsi="黑体" w:eastAsia="黑体"/>
          <w:bCs/>
          <w:color w:val="auto"/>
          <w:sz w:val="32"/>
          <w:szCs w:val="32"/>
          <w:highlight w:val="none"/>
        </w:rPr>
        <w:t>条</w:t>
      </w:r>
      <w:r>
        <w:rPr>
          <w:rStyle w:val="12"/>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有关单位和个人为申请人、共同申请人出具虚假证明材料的，由主管部门对直接责任人员处1000元罚款，对责任单位处10万元罚款；属于国家工作人员的，依法追究行政责任。</w:t>
      </w:r>
    </w:p>
    <w:p>
      <w:pPr>
        <w:keepNext w:val="0"/>
        <w:keepLines w:val="0"/>
        <w:pageBreakBefore w:val="0"/>
        <w:numPr>
          <w:ilvl w:val="255"/>
          <w:numId w:val="0"/>
        </w:numPr>
        <w:kinsoku/>
        <w:overflowPunct/>
        <w:topLinePunct w:val="0"/>
        <w:bidi w:val="0"/>
        <w:spacing w:line="560" w:lineRule="exact"/>
        <w:ind w:firstLine="640" w:firstLineChars="200"/>
        <w:textAlignment w:val="auto"/>
        <w:outlineLvl w:val="2"/>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有关当事人涉嫌伪造、变造或者使用伪造、变造的国家机关、人民团体、企事业单位或者其他组织的公文、证件、证明文件的，应当移送公安机关依法处理。</w:t>
      </w:r>
    </w:p>
    <w:p>
      <w:pPr>
        <w:numPr>
          <w:ilvl w:val="255"/>
          <w:numId w:val="0"/>
        </w:numPr>
        <w:spacing w:line="560" w:lineRule="exact"/>
        <w:ind w:firstLine="640" w:firstLineChars="200"/>
        <w:outlineLvl w:val="2"/>
        <w:rPr>
          <w:rFonts w:hint="eastAsia" w:ascii="黑体" w:hAnsi="黑体" w:eastAsia="黑体"/>
          <w:bCs/>
          <w:color w:val="auto"/>
          <w:sz w:val="32"/>
          <w:szCs w:val="32"/>
          <w:highlight w:val="none"/>
        </w:rPr>
      </w:pPr>
      <w:r>
        <w:rPr>
          <w:rFonts w:hint="eastAsia" w:ascii="仿宋_GB2312" w:hAnsi="仿宋_GB2312" w:eastAsia="仿宋_GB2312" w:cs="仿宋_GB2312"/>
          <w:color w:val="000000"/>
          <w:sz w:val="32"/>
          <w:szCs w:val="32"/>
          <w:highlight w:val="none"/>
        </w:rPr>
        <w:t>有关当事人涉嫌诈骗、伪造公文印章、贿赂等犯罪的，移送司法机关依法处理。</w:t>
      </w:r>
    </w:p>
    <w:p>
      <w:pPr>
        <w:numPr>
          <w:ilvl w:val="255"/>
          <w:numId w:val="0"/>
        </w:numPr>
        <w:spacing w:line="560" w:lineRule="exact"/>
        <w:ind w:firstLine="640" w:firstLineChars="200"/>
        <w:outlineLvl w:val="2"/>
        <w:rPr>
          <w:rFonts w:ascii="仿宋_GB2312" w:hAnsi="仿宋_GB2312" w:eastAsia="仿宋_GB2312" w:cs="仿宋_GB2312"/>
          <w:color w:val="auto"/>
          <w:sz w:val="32"/>
          <w:szCs w:val="32"/>
          <w:highlight w:val="none"/>
        </w:rPr>
      </w:pPr>
      <w:r>
        <w:rPr>
          <w:rFonts w:hint="eastAsia" w:ascii="黑体" w:hAnsi="黑体" w:eastAsia="黑体"/>
          <w:bCs/>
          <w:color w:val="auto"/>
          <w:sz w:val="32"/>
          <w:szCs w:val="32"/>
          <w:highlight w:val="none"/>
        </w:rPr>
        <w:t>第五十</w:t>
      </w:r>
      <w:r>
        <w:rPr>
          <w:rFonts w:hint="eastAsia" w:ascii="黑体" w:hAnsi="黑体" w:eastAsia="黑体"/>
          <w:bCs/>
          <w:color w:val="auto"/>
          <w:sz w:val="32"/>
          <w:szCs w:val="32"/>
          <w:highlight w:val="none"/>
          <w:lang w:eastAsia="zh-CN"/>
        </w:rPr>
        <w:t>八</w:t>
      </w:r>
      <w:r>
        <w:rPr>
          <w:rFonts w:hint="eastAsia" w:ascii="黑体" w:hAnsi="黑体" w:eastAsia="黑体"/>
          <w:bCs/>
          <w:color w:val="auto"/>
          <w:sz w:val="32"/>
          <w:szCs w:val="32"/>
          <w:highlight w:val="none"/>
        </w:rPr>
        <w:t>条</w:t>
      </w:r>
      <w:bookmarkEnd w:id="310"/>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具有第四十</w:t>
      </w:r>
      <w:r>
        <w:rPr>
          <w:rFonts w:hint="eastAsia" w:ascii="仿宋_GB2312" w:hAnsi="仿宋_GB2312" w:eastAsia="仿宋_GB2312" w:cs="仿宋_GB2312"/>
          <w:color w:val="auto"/>
          <w:sz w:val="32"/>
          <w:szCs w:val="32"/>
          <w:highlight w:val="none"/>
          <w:lang w:eastAsia="zh-CN"/>
        </w:rPr>
        <w:t>九</w:t>
      </w:r>
      <w:r>
        <w:rPr>
          <w:rFonts w:hint="eastAsia" w:ascii="仿宋_GB2312" w:hAnsi="仿宋_GB2312" w:eastAsia="仿宋_GB2312" w:cs="仿宋_GB2312"/>
          <w:color w:val="auto"/>
          <w:sz w:val="32"/>
          <w:szCs w:val="32"/>
          <w:highlight w:val="none"/>
        </w:rPr>
        <w:t>条第一款第（三）、（四）、（五）、（六）、（七）、（八）项情形之一的，由主管部门责令改正，依法没收违法所得</w:t>
      </w:r>
      <w:r>
        <w:rPr>
          <w:rFonts w:hint="eastAsia" w:ascii="仿宋_GB2312" w:hAnsi="仿宋_GB2312" w:eastAsia="仿宋_GB2312" w:cs="仿宋_GB2312"/>
          <w:color w:val="auto"/>
          <w:sz w:val="32"/>
          <w:szCs w:val="32"/>
          <w:highlight w:val="none"/>
          <w:lang w:eastAsia="zh-CN"/>
        </w:rPr>
        <w:t>，并处</w:t>
      </w:r>
      <w:r>
        <w:rPr>
          <w:rFonts w:hint="eastAsia" w:ascii="仿宋_GB2312" w:hAnsi="仿宋_GB2312" w:eastAsia="仿宋_GB2312" w:cs="仿宋_GB2312"/>
          <w:color w:val="auto"/>
          <w:sz w:val="32"/>
          <w:szCs w:val="32"/>
          <w:highlight w:val="none"/>
          <w:lang w:val="en-US" w:eastAsia="zh-CN"/>
        </w:rPr>
        <w:t>5万元罚款</w:t>
      </w:r>
      <w:r>
        <w:rPr>
          <w:rFonts w:hint="eastAsia" w:ascii="仿宋_GB2312" w:hAnsi="仿宋_GB2312" w:eastAsia="仿宋_GB2312" w:cs="仿宋_GB2312"/>
          <w:color w:val="auto"/>
          <w:sz w:val="32"/>
          <w:szCs w:val="32"/>
          <w:highlight w:val="none"/>
        </w:rPr>
        <w:t>。</w:t>
      </w:r>
      <w:bookmarkEnd w:id="311"/>
      <w:bookmarkEnd w:id="312"/>
      <w:bookmarkEnd w:id="313"/>
      <w:bookmarkEnd w:id="314"/>
      <w:bookmarkStart w:id="320" w:name="_Toc12569"/>
      <w:bookmarkStart w:id="321" w:name="_Toc9822"/>
      <w:bookmarkStart w:id="322" w:name="_Toc961"/>
      <w:bookmarkStart w:id="323" w:name="_Toc30926"/>
    </w:p>
    <w:p>
      <w:pPr>
        <w:numPr>
          <w:ilvl w:val="255"/>
          <w:numId w:val="0"/>
        </w:numPr>
        <w:spacing w:line="560" w:lineRule="exact"/>
        <w:ind w:firstLine="640" w:firstLineChars="200"/>
        <w:outlineLvl w:val="2"/>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具有第四十</w:t>
      </w:r>
      <w:r>
        <w:rPr>
          <w:rFonts w:hint="eastAsia" w:ascii="仿宋_GB2312" w:hAnsi="仿宋_GB2312" w:eastAsia="仿宋_GB2312" w:cs="仿宋_GB2312"/>
          <w:color w:val="auto"/>
          <w:sz w:val="32"/>
          <w:szCs w:val="32"/>
          <w:highlight w:val="none"/>
          <w:lang w:eastAsia="zh-CN"/>
        </w:rPr>
        <w:t>九</w:t>
      </w:r>
      <w:r>
        <w:rPr>
          <w:rFonts w:hint="eastAsia" w:ascii="仿宋_GB2312" w:hAnsi="仿宋_GB2312" w:eastAsia="仿宋_GB2312" w:cs="仿宋_GB2312"/>
          <w:color w:val="auto"/>
          <w:sz w:val="32"/>
          <w:szCs w:val="32"/>
          <w:highlight w:val="none"/>
        </w:rPr>
        <w:t>条第一款第（二）、（三）、（四）、（五）、（六）、（七）、（八）项情形之一被解除合同的，主管部门自该合同解除之日起5年内不予受理其住房保障</w:t>
      </w:r>
      <w:r>
        <w:rPr>
          <w:rFonts w:hint="eastAsia" w:ascii="仿宋_GB2312" w:hAnsi="仿宋_GB2312" w:eastAsia="仿宋_GB2312" w:cs="仿宋_GB2312"/>
          <w:color w:val="auto"/>
          <w:sz w:val="32"/>
          <w:szCs w:val="32"/>
          <w:highlight w:val="none"/>
          <w:lang w:eastAsia="zh-CN"/>
        </w:rPr>
        <w:t>和人才安居</w:t>
      </w:r>
      <w:r>
        <w:rPr>
          <w:rFonts w:hint="eastAsia" w:ascii="仿宋_GB2312" w:hAnsi="仿宋_GB2312" w:eastAsia="仿宋_GB2312" w:cs="仿宋_GB2312"/>
          <w:color w:val="auto"/>
          <w:sz w:val="32"/>
          <w:szCs w:val="32"/>
          <w:highlight w:val="none"/>
        </w:rPr>
        <w:t>申请。</w:t>
      </w:r>
      <w:bookmarkEnd w:id="315"/>
      <w:bookmarkEnd w:id="316"/>
      <w:bookmarkEnd w:id="317"/>
      <w:bookmarkEnd w:id="318"/>
      <w:bookmarkEnd w:id="319"/>
      <w:bookmarkEnd w:id="320"/>
      <w:bookmarkEnd w:id="321"/>
      <w:bookmarkEnd w:id="322"/>
      <w:bookmarkEnd w:id="323"/>
    </w:p>
    <w:p>
      <w:pPr>
        <w:numPr>
          <w:ilvl w:val="255"/>
          <w:numId w:val="0"/>
        </w:numPr>
        <w:spacing w:line="560" w:lineRule="exact"/>
        <w:ind w:firstLine="640" w:firstLineChars="200"/>
        <w:outlineLvl w:val="2"/>
        <w:rPr>
          <w:rFonts w:ascii="仿宋_GB2312" w:hAnsi="仿宋_GB2312" w:eastAsia="仿宋_GB2312" w:cs="仿宋_GB2312"/>
          <w:color w:val="auto"/>
          <w:sz w:val="32"/>
          <w:szCs w:val="32"/>
          <w:highlight w:val="none"/>
        </w:rPr>
      </w:pPr>
      <w:bookmarkStart w:id="324" w:name="_Toc21501_WPSOffice_Level2"/>
      <w:bookmarkStart w:id="325" w:name="_Toc28099"/>
      <w:bookmarkStart w:id="326" w:name="_Toc523428845"/>
      <w:bookmarkStart w:id="327" w:name="_Toc20052"/>
      <w:bookmarkStart w:id="328" w:name="_Toc7139"/>
      <w:bookmarkStart w:id="329" w:name="_Toc24495"/>
      <w:bookmarkStart w:id="330" w:name="_Toc12247"/>
      <w:bookmarkStart w:id="331" w:name="_Toc6272"/>
      <w:bookmarkStart w:id="332" w:name="_Toc23379"/>
      <w:bookmarkStart w:id="333" w:name="_Toc5884"/>
      <w:bookmarkStart w:id="334" w:name="_Toc8754"/>
      <w:r>
        <w:rPr>
          <w:rFonts w:hint="eastAsia" w:ascii="黑体" w:hAnsi="黑体" w:eastAsia="黑体"/>
          <w:bCs/>
          <w:color w:val="auto"/>
          <w:sz w:val="32"/>
          <w:szCs w:val="32"/>
          <w:highlight w:val="none"/>
        </w:rPr>
        <w:t>第五十</w:t>
      </w:r>
      <w:r>
        <w:rPr>
          <w:rFonts w:hint="eastAsia" w:ascii="黑体" w:hAnsi="黑体" w:eastAsia="黑体"/>
          <w:bCs/>
          <w:color w:val="auto"/>
          <w:sz w:val="32"/>
          <w:szCs w:val="32"/>
          <w:highlight w:val="none"/>
          <w:lang w:eastAsia="zh-CN"/>
        </w:rPr>
        <w:t>九</w:t>
      </w:r>
      <w:r>
        <w:rPr>
          <w:rFonts w:hint="eastAsia" w:ascii="黑体" w:hAnsi="黑体" w:eastAsia="黑体"/>
          <w:bCs/>
          <w:color w:val="auto"/>
          <w:sz w:val="32"/>
          <w:szCs w:val="32"/>
          <w:highlight w:val="none"/>
        </w:rPr>
        <w:t>条</w:t>
      </w:r>
      <w:bookmarkEnd w:id="324"/>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产权单位违反本办法规定，擅自对外出</w:t>
      </w:r>
      <w:r>
        <w:rPr>
          <w:rFonts w:hint="eastAsia" w:ascii="仿宋_GB2312" w:hAnsi="仿宋_GB2312" w:eastAsia="仿宋_GB2312" w:cs="仿宋_GB2312"/>
          <w:color w:val="auto"/>
          <w:sz w:val="32"/>
          <w:szCs w:val="32"/>
          <w:highlight w:val="none"/>
          <w:lang w:eastAsia="zh-CN"/>
        </w:rPr>
        <w:t>租</w:t>
      </w:r>
      <w:r>
        <w:rPr>
          <w:rFonts w:hint="eastAsia" w:ascii="仿宋_GB2312" w:hAnsi="仿宋_GB2312" w:eastAsia="仿宋_GB2312" w:cs="仿宋_GB2312"/>
          <w:color w:val="auto"/>
          <w:sz w:val="32"/>
          <w:szCs w:val="32"/>
          <w:highlight w:val="none"/>
        </w:rPr>
        <w:t>安居型商品房的，主管部门应当责令停止违法行为，限期改正，依法没收违法所得，并按</w:t>
      </w:r>
      <w:r>
        <w:rPr>
          <w:rFonts w:hint="eastAsia" w:ascii="仿宋_GB2312" w:hAnsi="仿宋_GB2312" w:eastAsia="仿宋_GB2312" w:cs="仿宋_GB2312"/>
          <w:color w:val="auto"/>
          <w:sz w:val="32"/>
          <w:szCs w:val="32"/>
          <w:highlight w:val="none"/>
          <w:lang w:eastAsia="zh-CN"/>
        </w:rPr>
        <w:t>照</w:t>
      </w:r>
      <w:r>
        <w:rPr>
          <w:rFonts w:hint="eastAsia" w:ascii="仿宋_GB2312" w:hAnsi="仿宋_GB2312" w:eastAsia="仿宋_GB2312" w:cs="仿宋_GB2312"/>
          <w:color w:val="auto"/>
          <w:sz w:val="32"/>
          <w:szCs w:val="32"/>
          <w:highlight w:val="none"/>
        </w:rPr>
        <w:t>擅自对外出</w:t>
      </w:r>
      <w:r>
        <w:rPr>
          <w:rFonts w:hint="eastAsia" w:ascii="仿宋_GB2312" w:hAnsi="仿宋_GB2312" w:eastAsia="仿宋_GB2312" w:cs="仿宋_GB2312"/>
          <w:color w:val="auto"/>
          <w:sz w:val="32"/>
          <w:szCs w:val="32"/>
          <w:highlight w:val="none"/>
          <w:lang w:eastAsia="zh-CN"/>
        </w:rPr>
        <w:t>租</w:t>
      </w:r>
      <w:r>
        <w:rPr>
          <w:rFonts w:hint="eastAsia" w:ascii="仿宋_GB2312" w:hAnsi="仿宋_GB2312" w:eastAsia="仿宋_GB2312" w:cs="仿宋_GB2312"/>
          <w:color w:val="auto"/>
          <w:sz w:val="32"/>
          <w:szCs w:val="32"/>
          <w:highlight w:val="none"/>
        </w:rPr>
        <w:t>的安居型商品房套数每套处</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万元罚款。</w:t>
      </w:r>
    </w:p>
    <w:p>
      <w:pPr>
        <w:numPr>
          <w:ilvl w:val="255"/>
          <w:numId w:val="0"/>
        </w:numPr>
        <w:spacing w:line="560" w:lineRule="exact"/>
        <w:ind w:firstLine="640" w:firstLineChars="200"/>
        <w:outlineLvl w:val="2"/>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产权单位违反本办法规定，擅自对外出售安居型商品房的，市不动产登记机构依法不予办理不动产登记，主管部门应当责令停止违法行为，限期改正，依法没收违法所得，并按</w:t>
      </w:r>
      <w:r>
        <w:rPr>
          <w:rFonts w:hint="eastAsia" w:ascii="仿宋_GB2312" w:hAnsi="仿宋_GB2312" w:eastAsia="仿宋_GB2312" w:cs="仿宋_GB2312"/>
          <w:color w:val="auto"/>
          <w:sz w:val="32"/>
          <w:szCs w:val="32"/>
          <w:highlight w:val="none"/>
          <w:lang w:eastAsia="zh-CN"/>
        </w:rPr>
        <w:t>照</w:t>
      </w:r>
      <w:r>
        <w:rPr>
          <w:rFonts w:hint="eastAsia" w:ascii="仿宋_GB2312" w:hAnsi="仿宋_GB2312" w:eastAsia="仿宋_GB2312" w:cs="仿宋_GB2312"/>
          <w:color w:val="auto"/>
          <w:sz w:val="32"/>
          <w:szCs w:val="32"/>
          <w:highlight w:val="none"/>
        </w:rPr>
        <w:t>擅自对外出售的安居型商品房套数每套处10万元罚款。</w:t>
      </w:r>
      <w:bookmarkEnd w:id="325"/>
      <w:bookmarkEnd w:id="326"/>
      <w:bookmarkEnd w:id="327"/>
      <w:bookmarkEnd w:id="328"/>
      <w:bookmarkEnd w:id="329"/>
      <w:bookmarkEnd w:id="330"/>
      <w:bookmarkEnd w:id="331"/>
      <w:bookmarkEnd w:id="332"/>
      <w:bookmarkEnd w:id="333"/>
      <w:bookmarkEnd w:id="334"/>
    </w:p>
    <w:p>
      <w:pPr>
        <w:spacing w:line="560" w:lineRule="exact"/>
        <w:ind w:firstLine="640" w:firstLineChars="200"/>
        <w:outlineLvl w:val="2"/>
        <w:rPr>
          <w:rFonts w:ascii="仿宋_GB2312" w:hAnsi="仿宋_GB2312" w:eastAsia="仿宋_GB2312" w:cs="仿宋_GB2312"/>
          <w:color w:val="auto"/>
          <w:sz w:val="32"/>
          <w:szCs w:val="32"/>
          <w:highlight w:val="none"/>
        </w:rPr>
      </w:pPr>
      <w:bookmarkStart w:id="335" w:name="_Toc523428847"/>
      <w:bookmarkStart w:id="336" w:name="_Toc3475"/>
      <w:bookmarkStart w:id="337" w:name="_Toc21170"/>
      <w:bookmarkStart w:id="338" w:name="_Toc11902"/>
      <w:bookmarkStart w:id="339" w:name="_Toc1245"/>
      <w:r>
        <w:rPr>
          <w:rFonts w:hint="eastAsia" w:ascii="黑体" w:hAnsi="黑体" w:eastAsia="黑体"/>
          <w:bCs/>
          <w:color w:val="auto"/>
          <w:sz w:val="32"/>
          <w:szCs w:val="32"/>
          <w:highlight w:val="none"/>
        </w:rPr>
        <w:t>第</w:t>
      </w:r>
      <w:r>
        <w:rPr>
          <w:rFonts w:hint="eastAsia" w:ascii="黑体" w:hAnsi="黑体" w:eastAsia="黑体"/>
          <w:bCs/>
          <w:color w:val="auto"/>
          <w:sz w:val="32"/>
          <w:szCs w:val="32"/>
          <w:highlight w:val="none"/>
          <w:lang w:eastAsia="zh-CN"/>
        </w:rPr>
        <w:t>六十</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房地产经纪机构及其经纪人员违反本办法第</w:t>
      </w:r>
      <w:r>
        <w:rPr>
          <w:rFonts w:hint="eastAsia" w:ascii="仿宋_GB2312" w:hAnsi="仿宋_GB2312" w:eastAsia="仿宋_GB2312" w:cs="仿宋_GB2312"/>
          <w:color w:val="auto"/>
          <w:sz w:val="32"/>
          <w:szCs w:val="32"/>
          <w:highlight w:val="none"/>
          <w:lang w:eastAsia="zh-CN"/>
        </w:rPr>
        <w:t>五十</w:t>
      </w:r>
      <w:r>
        <w:rPr>
          <w:rFonts w:hint="eastAsia" w:ascii="仿宋_GB2312" w:hAnsi="仿宋_GB2312" w:eastAsia="仿宋_GB2312" w:cs="仿宋_GB2312"/>
          <w:color w:val="000000"/>
          <w:sz w:val="32"/>
          <w:szCs w:val="32"/>
          <w:highlight w:val="none"/>
        </w:rPr>
        <w:t>条规定情形的，</w:t>
      </w:r>
      <w:r>
        <w:rPr>
          <w:rFonts w:hint="eastAsia" w:ascii="仿宋_GB2312" w:hAnsi="仿宋_GB2312" w:eastAsia="仿宋_GB2312" w:cs="仿宋_GB2312"/>
          <w:color w:val="auto"/>
          <w:sz w:val="32"/>
          <w:szCs w:val="32"/>
          <w:highlight w:val="none"/>
        </w:rPr>
        <w:t>由房地产主管部门责令限期改正，记入房地产经纪信用档案；对房地产经纪人员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处以</w:t>
      </w:r>
      <w:r>
        <w:rPr>
          <w:rFonts w:hint="eastAsia" w:ascii="仿宋_GB2312" w:eastAsia="仿宋_GB2312"/>
          <w:color w:val="auto"/>
          <w:sz w:val="32"/>
          <w:szCs w:val="32"/>
          <w:highlight w:val="none"/>
        </w:rPr>
        <w:t>1000元</w:t>
      </w:r>
      <w:r>
        <w:rPr>
          <w:rFonts w:hint="eastAsia" w:ascii="仿宋_GB2312" w:hAnsi="仿宋_GB2312" w:eastAsia="仿宋_GB2312" w:cs="仿宋_GB2312"/>
          <w:color w:val="auto"/>
          <w:sz w:val="32"/>
          <w:szCs w:val="32"/>
          <w:highlight w:val="none"/>
        </w:rPr>
        <w:t>罚款；对房地产经纪机构，取消网上签约资格，处以3万元罚款。</w:t>
      </w:r>
      <w:bookmarkEnd w:id="335"/>
      <w:bookmarkEnd w:id="336"/>
      <w:bookmarkEnd w:id="337"/>
      <w:bookmarkEnd w:id="338"/>
      <w:bookmarkEnd w:id="339"/>
    </w:p>
    <w:p>
      <w:pPr>
        <w:spacing w:line="560" w:lineRule="exact"/>
        <w:ind w:firstLine="640" w:firstLineChars="200"/>
        <w:outlineLvl w:val="2"/>
        <w:rPr>
          <w:rFonts w:ascii="仿宋_GB2312" w:hAnsi="仿宋_GB2312" w:eastAsia="仿宋_GB2312" w:cs="仿宋_GB2312"/>
          <w:color w:val="auto"/>
          <w:sz w:val="32"/>
          <w:szCs w:val="32"/>
          <w:highlight w:val="none"/>
        </w:rPr>
      </w:pPr>
      <w:bookmarkStart w:id="340" w:name="_Toc13356_WPSOffice_Level2"/>
      <w:bookmarkStart w:id="341" w:name="_Toc19073"/>
      <w:bookmarkStart w:id="342" w:name="_Toc4809"/>
      <w:bookmarkStart w:id="343" w:name="_Toc20934"/>
      <w:bookmarkStart w:id="344" w:name="_Toc523428848"/>
      <w:bookmarkStart w:id="345" w:name="_Toc6982"/>
      <w:bookmarkStart w:id="346" w:name="_Toc13142"/>
      <w:bookmarkStart w:id="347" w:name="_Toc12520"/>
      <w:bookmarkStart w:id="348" w:name="_Toc199"/>
      <w:bookmarkStart w:id="349" w:name="_Toc9425"/>
      <w:bookmarkStart w:id="350" w:name="_Toc10877"/>
      <w:r>
        <w:rPr>
          <w:rFonts w:hint="eastAsia" w:ascii="黑体" w:hAnsi="黑体" w:eastAsia="黑体"/>
          <w:bCs/>
          <w:color w:val="auto"/>
          <w:sz w:val="32"/>
          <w:szCs w:val="32"/>
          <w:highlight w:val="none"/>
        </w:rPr>
        <w:t>第</w:t>
      </w:r>
      <w:r>
        <w:rPr>
          <w:rFonts w:hint="eastAsia" w:ascii="黑体" w:hAnsi="黑体" w:eastAsia="黑体"/>
          <w:bCs/>
          <w:color w:val="auto"/>
          <w:sz w:val="32"/>
          <w:szCs w:val="32"/>
          <w:highlight w:val="none"/>
          <w:lang w:eastAsia="zh-CN"/>
        </w:rPr>
        <w:t>六十一</w:t>
      </w:r>
      <w:r>
        <w:rPr>
          <w:rFonts w:hint="eastAsia" w:ascii="黑体" w:hAnsi="黑体" w:eastAsia="黑体"/>
          <w:bCs/>
          <w:color w:val="auto"/>
          <w:sz w:val="32"/>
          <w:szCs w:val="32"/>
          <w:highlight w:val="none"/>
        </w:rPr>
        <w:t>条</w:t>
      </w:r>
      <w:bookmarkEnd w:id="340"/>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bCs w:val="0"/>
          <w:color w:val="auto"/>
          <w:sz w:val="32"/>
          <w:szCs w:val="32"/>
          <w:highlight w:val="none"/>
        </w:rPr>
        <w:t>相关职能部门及其</w:t>
      </w:r>
      <w:r>
        <w:rPr>
          <w:rFonts w:hint="eastAsia" w:ascii="仿宋_GB2312" w:hAnsi="仿宋_GB2312" w:eastAsia="仿宋_GB2312" w:cs="仿宋_GB2312"/>
          <w:color w:val="auto"/>
          <w:sz w:val="32"/>
          <w:szCs w:val="32"/>
          <w:highlight w:val="none"/>
        </w:rPr>
        <w:t>工作人员不按</w:t>
      </w:r>
      <w:r>
        <w:rPr>
          <w:rFonts w:hint="eastAsia" w:ascii="仿宋_GB2312" w:hAnsi="仿宋_GB2312" w:eastAsia="仿宋_GB2312" w:cs="仿宋_GB2312"/>
          <w:color w:val="auto"/>
          <w:sz w:val="32"/>
          <w:szCs w:val="32"/>
          <w:highlight w:val="none"/>
          <w:lang w:eastAsia="zh-CN"/>
        </w:rPr>
        <w:t>照</w:t>
      </w:r>
      <w:r>
        <w:rPr>
          <w:rFonts w:hint="eastAsia" w:ascii="仿宋_GB2312" w:hAnsi="仿宋_GB2312" w:eastAsia="仿宋_GB2312" w:cs="仿宋_GB2312"/>
          <w:color w:val="auto"/>
          <w:sz w:val="32"/>
          <w:szCs w:val="32"/>
          <w:highlight w:val="none"/>
        </w:rPr>
        <w:t>规定履行职责，滥用职权、玩忽职守、徇私舞弊的，依法追究行政责任；涉嫌犯罪的，依法移送司法机关依法处理。</w:t>
      </w:r>
      <w:bookmarkEnd w:id="341"/>
      <w:bookmarkEnd w:id="342"/>
      <w:bookmarkEnd w:id="343"/>
      <w:bookmarkEnd w:id="344"/>
      <w:bookmarkEnd w:id="345"/>
      <w:bookmarkEnd w:id="346"/>
      <w:bookmarkEnd w:id="347"/>
      <w:bookmarkEnd w:id="348"/>
      <w:bookmarkEnd w:id="349"/>
      <w:bookmarkEnd w:id="350"/>
    </w:p>
    <w:p>
      <w:pPr>
        <w:spacing w:beforeLines="50" w:afterLines="50" w:line="560" w:lineRule="exact"/>
        <w:jc w:val="center"/>
        <w:outlineLvl w:val="1"/>
        <w:rPr>
          <w:rFonts w:ascii="黑体" w:hAnsi="黑体" w:eastAsia="黑体"/>
          <w:bCs/>
          <w:color w:val="auto"/>
          <w:sz w:val="32"/>
          <w:szCs w:val="32"/>
          <w:highlight w:val="none"/>
        </w:rPr>
      </w:pPr>
      <w:bookmarkStart w:id="351" w:name="_Toc523428849"/>
      <w:bookmarkStart w:id="352" w:name="_Toc31095_WPSOffice_Level1"/>
      <w:bookmarkStart w:id="353" w:name="_Toc30828"/>
      <w:bookmarkStart w:id="354" w:name="_Toc16827_WPSOffice_Level1"/>
      <w:bookmarkStart w:id="355" w:name="_Toc27716"/>
      <w:bookmarkStart w:id="356" w:name="_Toc18064"/>
      <w:bookmarkStart w:id="357" w:name="_Toc6413"/>
      <w:bookmarkStart w:id="358" w:name="_Toc15812_WPSOffice_Level1"/>
      <w:bookmarkStart w:id="359" w:name="_Toc27150_WPSOffice_Level1"/>
      <w:bookmarkStart w:id="360" w:name="_Toc1455"/>
      <w:bookmarkStart w:id="361" w:name="_Toc24743"/>
      <w:bookmarkStart w:id="362" w:name="_Toc19022_WPSOffice_Level1"/>
      <w:bookmarkStart w:id="363" w:name="_Toc31185"/>
      <w:bookmarkStart w:id="364" w:name="_Toc28960_WPSOffice_Level2"/>
      <w:bookmarkStart w:id="365" w:name="_Toc10886"/>
      <w:bookmarkStart w:id="366" w:name="_Toc23638"/>
      <w:r>
        <w:rPr>
          <w:rFonts w:hint="eastAsia" w:ascii="黑体" w:hAnsi="黑体" w:eastAsia="黑体"/>
          <w:bCs/>
          <w:color w:val="auto"/>
          <w:sz w:val="32"/>
          <w:szCs w:val="32"/>
          <w:highlight w:val="none"/>
        </w:rPr>
        <w:t>第七章 附则</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spacing w:line="560" w:lineRule="exact"/>
        <w:ind w:firstLine="640" w:firstLineChars="200"/>
        <w:outlineLvl w:val="2"/>
        <w:rPr>
          <w:rFonts w:ascii="黑体" w:hAnsi="黑体" w:eastAsia="黑体"/>
          <w:bCs/>
          <w:color w:val="auto"/>
          <w:sz w:val="32"/>
          <w:szCs w:val="32"/>
          <w:highlight w:val="none"/>
        </w:rPr>
      </w:pPr>
      <w:bookmarkStart w:id="367" w:name="_Toc20792_WPSOffice_Level2"/>
      <w:bookmarkStart w:id="368" w:name="_Toc5898"/>
      <w:bookmarkStart w:id="369" w:name="_Toc10992"/>
      <w:bookmarkStart w:id="370" w:name="_Toc27255"/>
      <w:bookmarkStart w:id="371" w:name="_Toc9437"/>
      <w:bookmarkStart w:id="372" w:name="_Toc523428850"/>
      <w:bookmarkStart w:id="373" w:name="_Toc14411"/>
      <w:bookmarkStart w:id="374" w:name="_Toc6708"/>
      <w:bookmarkStart w:id="375" w:name="_Toc28541"/>
      <w:bookmarkStart w:id="376" w:name="_Toc16562"/>
      <w:bookmarkStart w:id="377" w:name="_Toc16157"/>
      <w:r>
        <w:rPr>
          <w:rFonts w:hint="eastAsia" w:ascii="黑体" w:hAnsi="黑体" w:eastAsia="黑体"/>
          <w:bCs/>
          <w:color w:val="auto"/>
          <w:sz w:val="32"/>
          <w:szCs w:val="32"/>
          <w:highlight w:val="none"/>
        </w:rPr>
        <w:t>第</w:t>
      </w:r>
      <w:r>
        <w:rPr>
          <w:rFonts w:hint="eastAsia" w:ascii="黑体" w:hAnsi="黑体" w:eastAsia="黑体"/>
          <w:bCs/>
          <w:color w:val="auto"/>
          <w:sz w:val="32"/>
          <w:szCs w:val="32"/>
          <w:highlight w:val="none"/>
          <w:lang w:eastAsia="zh-CN"/>
        </w:rPr>
        <w:t>六十二</w:t>
      </w:r>
      <w:r>
        <w:rPr>
          <w:rFonts w:hint="eastAsia" w:ascii="黑体" w:hAnsi="黑体" w:eastAsia="黑体"/>
          <w:bCs/>
          <w:color w:val="auto"/>
          <w:sz w:val="32"/>
          <w:szCs w:val="32"/>
          <w:highlight w:val="none"/>
        </w:rPr>
        <w:t>条</w:t>
      </w:r>
      <w:bookmarkEnd w:id="367"/>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本办法下列用语的含义是：</w:t>
      </w:r>
      <w:bookmarkEnd w:id="368"/>
      <w:bookmarkEnd w:id="369"/>
      <w:bookmarkEnd w:id="370"/>
      <w:bookmarkEnd w:id="371"/>
      <w:bookmarkEnd w:id="372"/>
      <w:bookmarkEnd w:id="373"/>
      <w:bookmarkEnd w:id="374"/>
      <w:bookmarkEnd w:id="375"/>
      <w:bookmarkEnd w:id="376"/>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（一）自有住房，包括已经取得不动产权证书或者虽已购买但未拥有完全产权的政策性住房、集资房、拆迁安置房、军产房、自建私房、商品住房等。</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（二）政策性住房是指各类带有政策优惠性质的住房，包括准成本房、全成本房、社会微利房、全成本微利房、经济适用住房、</w:t>
      </w:r>
      <w:r>
        <w:rPr>
          <w:rFonts w:hint="eastAsia" w:ascii="仿宋_GB2312" w:hAnsi="仿宋_GB2312" w:eastAsia="仿宋_GB2312" w:cs="仿宋_GB2312"/>
          <w:color w:val="auto"/>
          <w:sz w:val="32"/>
          <w:szCs w:val="32"/>
          <w:highlight w:val="none"/>
          <w:lang w:eastAsia="zh-CN"/>
        </w:rPr>
        <w:t>限价商品房、</w:t>
      </w:r>
      <w:r>
        <w:rPr>
          <w:rFonts w:hint="eastAsia" w:ascii="仿宋_GB2312" w:hAnsi="仿宋_GB2312" w:eastAsia="仿宋_GB2312" w:cs="仿宋_GB2312"/>
          <w:color w:val="auto"/>
          <w:sz w:val="32"/>
          <w:szCs w:val="32"/>
          <w:highlight w:val="none"/>
        </w:rPr>
        <w:t>安居型商品房</w:t>
      </w:r>
      <w:r>
        <w:rPr>
          <w:rFonts w:hint="eastAsia" w:ascii="仿宋_GB2312" w:hAnsi="仿宋_GB2312" w:eastAsia="仿宋_GB2312" w:cs="仿宋_GB2312"/>
          <w:color w:val="auto"/>
          <w:sz w:val="32"/>
          <w:szCs w:val="32"/>
          <w:highlight w:val="none"/>
          <w:lang w:eastAsia="zh-CN"/>
        </w:rPr>
        <w:t>以及</w:t>
      </w:r>
      <w:r>
        <w:rPr>
          <w:rFonts w:hint="eastAsia" w:ascii="仿宋_GB2312" w:hAnsi="仿宋_GB2312" w:eastAsia="仿宋_GB2312" w:cs="仿宋_GB2312"/>
          <w:color w:val="auto"/>
          <w:sz w:val="32"/>
          <w:szCs w:val="32"/>
          <w:highlight w:val="none"/>
        </w:rPr>
        <w:t>人才住房等。</w:t>
      </w:r>
    </w:p>
    <w:bookmarkEnd w:id="377"/>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）购房优惠政策，包括购买政策性住房或者享受购房补贴政策等。</w:t>
      </w:r>
    </w:p>
    <w:p>
      <w:pPr>
        <w:spacing w:line="560" w:lineRule="exact"/>
        <w:ind w:firstLine="640" w:firstLineChars="200"/>
        <w:outlineLvl w:val="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四</w:t>
      </w:r>
      <w:r>
        <w:rPr>
          <w:rFonts w:hint="eastAsia" w:ascii="仿宋_GB2312" w:hAnsi="仿宋_GB2312" w:eastAsia="仿宋_GB2312" w:cs="仿宋_GB2312"/>
          <w:color w:val="000000"/>
          <w:sz w:val="32"/>
          <w:szCs w:val="32"/>
          <w:highlight w:val="none"/>
        </w:rPr>
        <w:t>）基准销售价格，是指单个安居型商品房项目的平均销售价格。</w:t>
      </w:r>
    </w:p>
    <w:p>
      <w:pPr>
        <w:spacing w:line="560" w:lineRule="exact"/>
        <w:ind w:firstLine="640" w:firstLineChars="200"/>
        <w:outlineLvl w:val="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五</w:t>
      </w:r>
      <w:r>
        <w:rPr>
          <w:rFonts w:hint="eastAsia" w:ascii="仿宋_GB2312" w:hAnsi="仿宋_GB2312" w:eastAsia="仿宋_GB2312" w:cs="仿宋_GB2312"/>
          <w:color w:val="000000"/>
          <w:sz w:val="32"/>
          <w:szCs w:val="32"/>
          <w:highlight w:val="none"/>
        </w:rPr>
        <w:t>）原购买价格，是指购房</w:t>
      </w:r>
      <w:r>
        <w:rPr>
          <w:rFonts w:hint="eastAsia" w:ascii="仿宋_GB2312" w:hAnsi="仿宋_GB2312" w:eastAsia="仿宋_GB2312" w:cs="仿宋_GB2312"/>
          <w:color w:val="000000"/>
          <w:sz w:val="32"/>
          <w:szCs w:val="32"/>
          <w:highlight w:val="none"/>
          <w:lang w:eastAsia="zh-CN"/>
        </w:rPr>
        <w:t>人</w:t>
      </w:r>
      <w:r>
        <w:rPr>
          <w:rFonts w:hint="eastAsia" w:ascii="仿宋_GB2312" w:hAnsi="仿宋_GB2312" w:eastAsia="仿宋_GB2312" w:cs="仿宋_GB2312"/>
          <w:color w:val="000000"/>
          <w:sz w:val="32"/>
          <w:szCs w:val="32"/>
          <w:highlight w:val="none"/>
        </w:rPr>
        <w:t>与产权单位签订的买卖合同中规定的购买安居型商品房的价格。</w:t>
      </w:r>
    </w:p>
    <w:p>
      <w:pPr>
        <w:spacing w:line="560" w:lineRule="exact"/>
        <w:ind w:firstLine="640" w:firstLineChars="200"/>
        <w:outlineLvl w:val="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六</w:t>
      </w:r>
      <w:r>
        <w:rPr>
          <w:rFonts w:hint="eastAsia" w:ascii="仿宋_GB2312" w:hAnsi="仿宋_GB2312" w:eastAsia="仿宋_GB2312" w:cs="仿宋_GB2312"/>
          <w:color w:val="000000"/>
          <w:sz w:val="32"/>
          <w:szCs w:val="32"/>
          <w:highlight w:val="none"/>
        </w:rPr>
        <w:t>）原购房时市场价格，是指拟定安居型商品房基准销售价格时，经市主管部门委托，专业机构出具的估价报告中的项目市场评估价格。</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）指导价格，是指由市主管部门定期公布的安居型商品房项目基准销售价格。</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八</w:t>
      </w:r>
      <w:r>
        <w:rPr>
          <w:rFonts w:hint="eastAsia" w:ascii="仿宋_GB2312" w:hAnsi="仿宋_GB2312" w:eastAsia="仿宋_GB2312" w:cs="仿宋_GB2312"/>
          <w:color w:val="auto"/>
          <w:sz w:val="32"/>
          <w:szCs w:val="32"/>
          <w:highlight w:val="none"/>
        </w:rPr>
        <w:t>）相关费用，是指购买安居型商品房时支付的税费，包括契税、印花税、交易服务费等。</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九</w:t>
      </w:r>
      <w:r>
        <w:rPr>
          <w:rFonts w:hint="eastAsia" w:ascii="仿宋_GB2312" w:hAnsi="仿宋_GB2312" w:eastAsia="仿宋_GB2312" w:cs="仿宋_GB2312"/>
          <w:color w:val="auto"/>
          <w:sz w:val="32"/>
          <w:szCs w:val="32"/>
          <w:highlight w:val="none"/>
        </w:rPr>
        <w:t>）在册轮候人，是指依照《深圳市安居型商品房建设和管理暂行办法》（深圳市人民政府令第228号）（以下简称《暂行办法》）</w:t>
      </w:r>
      <w:r>
        <w:rPr>
          <w:rFonts w:hint="eastAsia" w:ascii="仿宋_GB2312" w:hAnsi="仿宋_GB2312" w:eastAsia="仿宋_GB2312" w:cs="仿宋_GB2312"/>
          <w:color w:val="auto"/>
          <w:sz w:val="32"/>
          <w:szCs w:val="32"/>
          <w:highlight w:val="none"/>
          <w:lang w:eastAsia="zh-CN"/>
        </w:rPr>
        <w:t>及其相关</w:t>
      </w:r>
      <w:r>
        <w:rPr>
          <w:rFonts w:hint="eastAsia" w:ascii="仿宋_GB2312" w:hAnsi="仿宋_GB2312" w:eastAsia="仿宋_GB2312" w:cs="仿宋_GB2312"/>
          <w:color w:val="auto"/>
          <w:sz w:val="32"/>
          <w:szCs w:val="32"/>
          <w:highlight w:val="none"/>
        </w:rPr>
        <w:t>规定已经取得备案回执并纳入轮候册的申请</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w:t>
      </w:r>
    </w:p>
    <w:p>
      <w:pPr>
        <w:spacing w:line="560" w:lineRule="exact"/>
        <w:ind w:firstLine="640" w:firstLineChars="200"/>
        <w:rPr>
          <w:rFonts w:hint="default"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十</w:t>
      </w:r>
      <w:r>
        <w:rPr>
          <w:rFonts w:hint="eastAsia" w:ascii="仿宋_GB2312" w:hAnsi="仿宋_GB2312" w:eastAsia="仿宋_GB2312" w:cs="仿宋_GB2312"/>
          <w:color w:val="auto"/>
          <w:sz w:val="32"/>
          <w:szCs w:val="32"/>
          <w:highlight w:val="none"/>
          <w:lang w:eastAsia="zh-CN"/>
        </w:rPr>
        <w:t>）在深累计纳税申报年限，</w:t>
      </w:r>
      <w:r>
        <w:rPr>
          <w:rFonts w:hint="default" w:ascii="仿宋_GB2312" w:hAnsi="仿宋_GB2312" w:eastAsia="仿宋_GB2312" w:cs="仿宋_GB2312"/>
          <w:color w:val="auto"/>
          <w:sz w:val="32"/>
          <w:szCs w:val="32"/>
          <w:highlight w:val="none"/>
          <w:lang w:eastAsia="zh-CN"/>
        </w:rPr>
        <w:t>是指安居型商品房申请人一个纳税年度内在我市税务系统有个人所得税（仅限工资、薪金所得，劳务报酬所得，经营所得）纳税申报记录的累计年限。一个纳税年度内未办理过个人所得税纳税申报的，该年度不计入在深累计纳税申报年限。</w:t>
      </w:r>
    </w:p>
    <w:p>
      <w:pPr>
        <w:spacing w:line="560" w:lineRule="exact"/>
        <w:ind w:firstLine="640" w:firstLineChars="200"/>
        <w:outlineLvl w:val="2"/>
        <w:rPr>
          <w:rFonts w:ascii="仿宋_GB2312" w:hAnsi="仿宋_GB2312" w:eastAsia="仿宋_GB2312" w:cs="仿宋_GB2312"/>
          <w:color w:val="auto"/>
          <w:sz w:val="32"/>
          <w:szCs w:val="32"/>
          <w:highlight w:val="none"/>
        </w:rPr>
      </w:pPr>
      <w:bookmarkStart w:id="378" w:name="_Toc25178"/>
      <w:bookmarkStart w:id="379" w:name="_Toc23292"/>
      <w:bookmarkStart w:id="380" w:name="_Toc16482"/>
      <w:bookmarkStart w:id="381" w:name="_Toc23118"/>
      <w:bookmarkStart w:id="382" w:name="_Toc690"/>
      <w:bookmarkStart w:id="383" w:name="_Toc11850"/>
      <w:bookmarkStart w:id="384" w:name="_Toc523428851"/>
      <w:bookmarkStart w:id="385" w:name="_Toc9457"/>
      <w:bookmarkStart w:id="386" w:name="_Toc28474"/>
      <w:r>
        <w:rPr>
          <w:rFonts w:hint="eastAsia" w:ascii="黑体" w:hAnsi="黑体" w:eastAsia="黑体"/>
          <w:bCs/>
          <w:color w:val="auto"/>
          <w:sz w:val="32"/>
          <w:szCs w:val="32"/>
          <w:highlight w:val="none"/>
        </w:rPr>
        <w:t>第</w:t>
      </w:r>
      <w:r>
        <w:rPr>
          <w:rFonts w:hint="eastAsia" w:ascii="黑体" w:hAnsi="黑体" w:eastAsia="黑体"/>
          <w:bCs/>
          <w:color w:val="auto"/>
          <w:sz w:val="32"/>
          <w:szCs w:val="32"/>
          <w:highlight w:val="none"/>
          <w:lang w:eastAsia="zh-CN"/>
        </w:rPr>
        <w:t>六十三</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本办法所称的特殊群体包括：</w:t>
      </w:r>
      <w:bookmarkEnd w:id="378"/>
      <w:bookmarkEnd w:id="379"/>
      <w:bookmarkEnd w:id="380"/>
      <w:bookmarkEnd w:id="381"/>
      <w:bookmarkEnd w:id="382"/>
      <w:bookmarkEnd w:id="383"/>
      <w:bookmarkEnd w:id="384"/>
      <w:bookmarkEnd w:id="385"/>
      <w:bookmarkEnd w:id="386"/>
    </w:p>
    <w:p>
      <w:pPr>
        <w:numPr>
          <w:ilvl w:val="255"/>
          <w:numId w:val="0"/>
        </w:numPr>
        <w:spacing w:line="56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sz w:val="32"/>
          <w:szCs w:val="32"/>
          <w:highlight w:val="none"/>
        </w:rPr>
        <w:t>（一）经本市</w:t>
      </w:r>
      <w:r>
        <w:rPr>
          <w:rFonts w:hint="eastAsia" w:ascii="仿宋_GB2312" w:hAnsi="仿宋_GB2312" w:eastAsia="仿宋_GB2312"/>
          <w:sz w:val="32"/>
          <w:szCs w:val="32"/>
          <w:highlight w:val="none"/>
        </w:rPr>
        <w:t>退役军人事务</w:t>
      </w:r>
      <w:r>
        <w:rPr>
          <w:rFonts w:ascii="仿宋_GB2312" w:hAnsi="仿宋_GB2312" w:eastAsia="仿宋_GB2312"/>
          <w:sz w:val="32"/>
          <w:szCs w:val="32"/>
          <w:highlight w:val="none"/>
        </w:rPr>
        <w:t>部门认定</w:t>
      </w:r>
      <w:r>
        <w:rPr>
          <w:rFonts w:hint="eastAsia" w:ascii="仿宋_GB2312" w:hAnsi="仿宋_GB2312" w:eastAsia="仿宋_GB2312"/>
          <w:sz w:val="32"/>
          <w:szCs w:val="32"/>
          <w:highlight w:val="none"/>
          <w:lang w:eastAsia="zh-CN"/>
        </w:rPr>
        <w:t>的</w:t>
      </w:r>
      <w:r>
        <w:rPr>
          <w:rFonts w:hint="eastAsia" w:ascii="仿宋_GB2312" w:hAnsi="仿宋_GB2312" w:eastAsia="仿宋_GB2312"/>
          <w:sz w:val="32"/>
          <w:szCs w:val="32"/>
          <w:highlight w:val="none"/>
        </w:rPr>
        <w:t>退役军人</w:t>
      </w:r>
      <w:r>
        <w:rPr>
          <w:rFonts w:hint="eastAsia" w:ascii="仿宋_GB2312" w:hAnsi="仿宋_GB2312" w:eastAsia="仿宋_GB2312"/>
          <w:sz w:val="32"/>
          <w:szCs w:val="32"/>
          <w:highlight w:val="none"/>
          <w:u w:val="none"/>
          <w:lang w:eastAsia="zh-CN"/>
        </w:rPr>
        <w:t>及</w:t>
      </w:r>
      <w:r>
        <w:rPr>
          <w:rFonts w:ascii="仿宋_GB2312" w:hAnsi="仿宋_GB2312" w:eastAsia="仿宋_GB2312"/>
          <w:sz w:val="32"/>
          <w:szCs w:val="32"/>
          <w:highlight w:val="none"/>
          <w:u w:val="none"/>
        </w:rPr>
        <w:t>抚恤定补优抚对象</w:t>
      </w:r>
      <w:r>
        <w:rPr>
          <w:rFonts w:hint="eastAsia" w:ascii="仿宋_GB2312" w:hAnsi="仿宋_GB2312" w:eastAsia="仿宋_GB2312"/>
          <w:sz w:val="32"/>
          <w:szCs w:val="32"/>
          <w:highlight w:val="none"/>
          <w:u w:val="none"/>
          <w:lang w:eastAsia="zh-CN"/>
        </w:rPr>
        <w:t>；</w:t>
      </w:r>
    </w:p>
    <w:p>
      <w:pPr>
        <w:numPr>
          <w:ilvl w:val="255"/>
          <w:numId w:val="0"/>
        </w:num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）经本市残联认定的残疾人</w:t>
      </w:r>
      <w:r>
        <w:rPr>
          <w:rFonts w:hint="eastAsia" w:ascii="仿宋_GB2312" w:hAnsi="仿宋_GB2312" w:eastAsia="仿宋_GB2312" w:cs="仿宋_GB2312"/>
          <w:bCs/>
          <w:color w:val="auto"/>
          <w:sz w:val="32"/>
          <w:szCs w:val="32"/>
          <w:highlight w:val="none"/>
        </w:rPr>
        <w:t>（含一、二、三、四级残疾人）</w:t>
      </w:r>
      <w:r>
        <w:rPr>
          <w:rFonts w:hint="eastAsia" w:ascii="仿宋_GB2312" w:hAnsi="仿宋_GB2312" w:eastAsia="仿宋_GB2312" w:cs="仿宋_GB2312"/>
          <w:color w:val="auto"/>
          <w:sz w:val="32"/>
          <w:szCs w:val="32"/>
          <w:highlight w:val="none"/>
        </w:rPr>
        <w:t>；</w:t>
      </w:r>
    </w:p>
    <w:p>
      <w:pPr>
        <w:numPr>
          <w:ilvl w:val="255"/>
          <w:numId w:val="0"/>
        </w:num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）经本市民政部门认定的成年孤儿；</w:t>
      </w:r>
    </w:p>
    <w:p>
      <w:pPr>
        <w:numPr>
          <w:ilvl w:val="255"/>
          <w:numId w:val="0"/>
        </w:num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）经市级以上政府认定的见义勇为人员；</w:t>
      </w:r>
    </w:p>
    <w:p>
      <w:pPr>
        <w:numPr>
          <w:ilvl w:val="255"/>
          <w:numId w:val="0"/>
        </w:num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）经组织部门认定的因公殉职的基层干部家属；</w:t>
      </w:r>
    </w:p>
    <w:p>
      <w:pPr>
        <w:numPr>
          <w:ilvl w:val="255"/>
          <w:numId w:val="0"/>
        </w:num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rPr>
        <w:t>）申请人及其配偶均为</w:t>
      </w:r>
      <w:r>
        <w:rPr>
          <w:rFonts w:ascii="仿宋_GB2312" w:hAnsi="仿宋_GB2312" w:eastAsia="仿宋_GB2312" w:cs="仿宋_GB2312"/>
          <w:color w:val="auto"/>
          <w:sz w:val="32"/>
          <w:szCs w:val="32"/>
          <w:highlight w:val="none"/>
        </w:rPr>
        <w:t>60</w:t>
      </w:r>
      <w:r>
        <w:rPr>
          <w:rFonts w:hint="eastAsia" w:ascii="仿宋_GB2312" w:hAnsi="仿宋_GB2312" w:eastAsia="仿宋_GB2312" w:cs="仿宋_GB2312"/>
          <w:color w:val="auto"/>
          <w:sz w:val="32"/>
          <w:szCs w:val="32"/>
          <w:highlight w:val="none"/>
        </w:rPr>
        <w:t>周岁以上的家庭，或者申请人为60周岁以上的单亲家庭、单身居民；</w:t>
      </w:r>
    </w:p>
    <w:p>
      <w:pPr>
        <w:numPr>
          <w:ilvl w:val="255"/>
          <w:numId w:val="0"/>
        </w:num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七</w:t>
      </w:r>
      <w:r>
        <w:rPr>
          <w:rFonts w:hint="eastAsia" w:ascii="仿宋_GB2312" w:hAnsi="仿宋_GB2312" w:eastAsia="仿宋_GB2312" w:cs="仿宋_GB2312"/>
          <w:color w:val="auto"/>
          <w:sz w:val="32"/>
          <w:szCs w:val="32"/>
          <w:highlight w:val="none"/>
        </w:rPr>
        <w:t>）经本市医疗卫生行政部门认定</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计划生育困难家庭；</w:t>
      </w:r>
    </w:p>
    <w:p>
      <w:pPr>
        <w:numPr>
          <w:ilvl w:val="255"/>
          <w:numId w:val="0"/>
        </w:num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八</w:t>
      </w:r>
      <w:r>
        <w:rPr>
          <w:rFonts w:hint="eastAsia" w:ascii="仿宋_GB2312" w:hAnsi="仿宋_GB2312" w:eastAsia="仿宋_GB2312" w:cs="仿宋_GB2312"/>
          <w:color w:val="auto"/>
          <w:sz w:val="32"/>
          <w:szCs w:val="32"/>
          <w:highlight w:val="none"/>
        </w:rPr>
        <w:t>）全国道德模范及提名获得者、广东省道德模范或</w:t>
      </w:r>
      <w:r>
        <w:rPr>
          <w:rFonts w:hint="eastAsia" w:ascii="仿宋_GB2312" w:hAnsi="仿宋_GB2312" w:eastAsia="仿宋_GB2312" w:cs="仿宋_GB2312"/>
          <w:color w:val="auto"/>
          <w:sz w:val="32"/>
          <w:szCs w:val="32"/>
          <w:highlight w:val="none"/>
          <w:lang w:eastAsia="zh-CN"/>
        </w:rPr>
        <w:t>者</w:t>
      </w:r>
      <w:r>
        <w:rPr>
          <w:rFonts w:hint="eastAsia" w:ascii="仿宋_GB2312" w:hAnsi="仿宋_GB2312" w:eastAsia="仿宋_GB2312" w:cs="仿宋_GB2312"/>
          <w:color w:val="auto"/>
          <w:sz w:val="32"/>
          <w:szCs w:val="32"/>
          <w:highlight w:val="none"/>
        </w:rPr>
        <w:t>深圳市文明市民；</w:t>
      </w:r>
    </w:p>
    <w:p>
      <w:pPr>
        <w:numPr>
          <w:ilvl w:val="255"/>
          <w:numId w:val="0"/>
        </w:num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九</w:t>
      </w:r>
      <w:r>
        <w:rPr>
          <w:rFonts w:hint="eastAsia" w:ascii="仿宋_GB2312" w:hAnsi="仿宋_GB2312" w:eastAsia="仿宋_GB2312" w:cs="仿宋_GB2312"/>
          <w:color w:val="auto"/>
          <w:sz w:val="32"/>
          <w:szCs w:val="32"/>
          <w:highlight w:val="none"/>
          <w:lang w:eastAsia="zh-CN"/>
        </w:rPr>
        <w:t>）经国家、省政府（或者国家部委）及深圳市人民政府认定的劳动模范，或者经国家、广东省及深圳市人民政府认定的五一劳动奖章获得者</w:t>
      </w:r>
      <w:r>
        <w:rPr>
          <w:rFonts w:hint="eastAsia" w:ascii="仿宋_GB2312" w:hAnsi="仿宋_GB2312" w:eastAsia="仿宋_GB2312" w:cs="仿宋_GB2312"/>
          <w:color w:val="auto"/>
          <w:sz w:val="32"/>
          <w:szCs w:val="32"/>
          <w:highlight w:val="none"/>
        </w:rPr>
        <w:t>；</w:t>
      </w:r>
    </w:p>
    <w:p>
      <w:pPr>
        <w:numPr>
          <w:ilvl w:val="255"/>
          <w:numId w:val="0"/>
        </w:num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（十）</w:t>
      </w:r>
      <w:r>
        <w:rPr>
          <w:rFonts w:hint="eastAsia" w:ascii="仿宋_GB2312" w:hAnsi="仿宋_GB2312" w:eastAsia="仿宋_GB2312" w:cs="仿宋_GB2312"/>
          <w:color w:val="auto"/>
          <w:sz w:val="32"/>
          <w:szCs w:val="32"/>
          <w:highlight w:val="none"/>
        </w:rPr>
        <w:t>经市</w:t>
      </w:r>
      <w:r>
        <w:rPr>
          <w:rFonts w:hint="eastAsia" w:ascii="仿宋_GB2312" w:hAnsi="仿宋_GB2312" w:eastAsia="仿宋_GB2312" w:cs="仿宋_GB2312"/>
          <w:color w:val="auto"/>
          <w:sz w:val="32"/>
          <w:szCs w:val="32"/>
          <w:highlight w:val="none"/>
          <w:lang w:eastAsia="zh-CN"/>
        </w:rPr>
        <w:t>人民</w:t>
      </w:r>
      <w:r>
        <w:rPr>
          <w:rFonts w:hint="eastAsia" w:ascii="仿宋_GB2312" w:hAnsi="仿宋_GB2312" w:eastAsia="仿宋_GB2312" w:cs="仿宋_GB2312"/>
          <w:color w:val="auto"/>
          <w:sz w:val="32"/>
          <w:szCs w:val="32"/>
          <w:highlight w:val="none"/>
        </w:rPr>
        <w:t>政府认定的其他特殊群体。</w:t>
      </w:r>
    </w:p>
    <w:p>
      <w:pPr>
        <w:spacing w:line="560" w:lineRule="exact"/>
        <w:ind w:firstLine="640" w:firstLineChars="200"/>
        <w:outlineLvl w:val="2"/>
        <w:rPr>
          <w:rFonts w:ascii="仿宋_GB2312" w:hAnsi="仿宋_GB2312" w:eastAsia="仿宋_GB2312" w:cs="仿宋_GB2312"/>
          <w:color w:val="auto"/>
          <w:sz w:val="32"/>
          <w:szCs w:val="32"/>
          <w:highlight w:val="none"/>
        </w:rPr>
      </w:pPr>
      <w:bookmarkStart w:id="387" w:name="_Toc14257_WPSOffice_Level2"/>
      <w:bookmarkStart w:id="388" w:name="_Toc523428854"/>
      <w:bookmarkStart w:id="389" w:name="_Toc16120"/>
      <w:bookmarkStart w:id="390" w:name="_Toc1983"/>
      <w:bookmarkStart w:id="391" w:name="_Toc21108"/>
      <w:bookmarkStart w:id="392" w:name="_Toc15119"/>
      <w:r>
        <w:rPr>
          <w:rFonts w:hint="eastAsia" w:ascii="黑体" w:hAnsi="黑体" w:eastAsia="黑体"/>
          <w:b w:val="0"/>
          <w:bCs/>
          <w:color w:val="auto"/>
          <w:sz w:val="32"/>
          <w:szCs w:val="32"/>
          <w:highlight w:val="none"/>
        </w:rPr>
        <w:t>第</w:t>
      </w:r>
      <w:r>
        <w:rPr>
          <w:rFonts w:hint="eastAsia" w:ascii="黑体" w:hAnsi="黑体" w:eastAsia="黑体"/>
          <w:b w:val="0"/>
          <w:bCs/>
          <w:color w:val="auto"/>
          <w:sz w:val="32"/>
          <w:szCs w:val="32"/>
          <w:highlight w:val="none"/>
          <w:lang w:eastAsia="zh-CN"/>
        </w:rPr>
        <w:t>六十四</w:t>
      </w:r>
      <w:r>
        <w:rPr>
          <w:rFonts w:hint="eastAsia" w:ascii="黑体" w:hAnsi="黑体" w:eastAsia="黑体"/>
          <w:b w:val="0"/>
          <w:bCs/>
          <w:color w:val="auto"/>
          <w:sz w:val="32"/>
          <w:szCs w:val="32"/>
          <w:highlight w:val="none"/>
        </w:rPr>
        <w:t>条</w:t>
      </w:r>
      <w:bookmarkEnd w:id="387"/>
      <w:r>
        <w:rPr>
          <w:rFonts w:hint="eastAsia" w:ascii="黑体" w:hAnsi="黑体" w:eastAsia="黑体"/>
          <w:b w:val="0"/>
          <w:bCs/>
          <w:color w:val="auto"/>
          <w:sz w:val="32"/>
          <w:szCs w:val="32"/>
          <w:highlight w:val="none"/>
          <w:lang w:val="en-US" w:eastAsia="zh-CN"/>
        </w:rPr>
        <w:t xml:space="preserve"> </w:t>
      </w:r>
      <w:r>
        <w:rPr>
          <w:rFonts w:ascii="仿宋_GB2312" w:hAnsi="仿宋_GB2312" w:eastAsia="仿宋_GB2312" w:cs="仿宋_GB2312"/>
          <w:color w:val="auto"/>
          <w:sz w:val="32"/>
          <w:szCs w:val="32"/>
          <w:highlight w:val="none"/>
        </w:rPr>
        <w:t>本办法施行前后的新旧政策衔接按</w:t>
      </w:r>
      <w:r>
        <w:rPr>
          <w:rFonts w:hint="eastAsia" w:ascii="仿宋_GB2312" w:hAnsi="仿宋_GB2312" w:eastAsia="仿宋_GB2312" w:cs="仿宋_GB2312"/>
          <w:color w:val="auto"/>
          <w:sz w:val="32"/>
          <w:szCs w:val="32"/>
          <w:highlight w:val="none"/>
          <w:lang w:eastAsia="zh-CN"/>
        </w:rPr>
        <w:t>照</w:t>
      </w:r>
      <w:r>
        <w:rPr>
          <w:rFonts w:ascii="仿宋_GB2312" w:hAnsi="仿宋_GB2312" w:eastAsia="仿宋_GB2312" w:cs="仿宋_GB2312"/>
          <w:color w:val="auto"/>
          <w:sz w:val="32"/>
          <w:szCs w:val="32"/>
          <w:highlight w:val="none"/>
        </w:rPr>
        <w:t>以下规定执行：</w:t>
      </w:r>
      <w:bookmarkEnd w:id="388"/>
      <w:bookmarkEnd w:id="389"/>
      <w:bookmarkEnd w:id="390"/>
      <w:bookmarkEnd w:id="391"/>
      <w:bookmarkEnd w:id="392"/>
    </w:p>
    <w:p>
      <w:pPr>
        <w:numPr>
          <w:ilvl w:val="255"/>
          <w:numId w:val="0"/>
        </w:num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（一）本办法</w:t>
      </w:r>
      <w:r>
        <w:rPr>
          <w:rFonts w:hint="eastAsia" w:ascii="仿宋_GB2312" w:eastAsia="仿宋_GB2312"/>
          <w:color w:val="000000"/>
          <w:sz w:val="32"/>
          <w:szCs w:val="32"/>
          <w:highlight w:val="none"/>
        </w:rPr>
        <w:t>施行之日前，依照</w:t>
      </w:r>
      <w:r>
        <w:rPr>
          <w:rFonts w:hint="eastAsia" w:ascii="仿宋_GB2312" w:hAnsi="仿宋_GB2312" w:eastAsia="仿宋_GB2312" w:cs="仿宋_GB2312"/>
          <w:color w:val="auto"/>
          <w:sz w:val="32"/>
          <w:szCs w:val="32"/>
          <w:highlight w:val="none"/>
        </w:rPr>
        <w:t>《暂行办法》及其相关规定已经取得备案回执的轮候申请</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，继续按照该办法及其相关规定进行审核，审核合格的纳入轮候册。</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（二）在册轮候人可以按照《暂行办法》及其相关规定的申请条件、轮候程序等购买安居型商品房，或者按照本办法规定</w:t>
      </w:r>
      <w:r>
        <w:rPr>
          <w:rFonts w:hint="eastAsia" w:ascii="仿宋_GB2312" w:hAnsi="仿宋_GB2312" w:eastAsia="仿宋_GB2312" w:cs="仿宋_GB2312"/>
          <w:color w:val="auto"/>
          <w:sz w:val="32"/>
          <w:szCs w:val="32"/>
          <w:highlight w:val="none"/>
          <w:lang w:eastAsia="zh-CN"/>
        </w:rPr>
        <w:t>申请</w:t>
      </w:r>
      <w:r>
        <w:rPr>
          <w:rFonts w:hint="eastAsia" w:ascii="仿宋_GB2312" w:hAnsi="仿宋_GB2312" w:eastAsia="仿宋_GB2312" w:cs="仿宋_GB2312"/>
          <w:color w:val="auto"/>
          <w:sz w:val="32"/>
          <w:szCs w:val="32"/>
          <w:highlight w:val="none"/>
        </w:rPr>
        <w:t>安居型商品房。</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（三）依照《暂行办法》及其相关规定已购买安居型商品房的，购房人可以选择按照本办法规定进行封闭流转。</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（四）依照《暂行办法》及其相关规定已购买安居型商品房的，签订买卖合同10年后，可以按</w:t>
      </w:r>
      <w:r>
        <w:rPr>
          <w:rFonts w:hint="eastAsia" w:ascii="仿宋_GB2312" w:hAnsi="仿宋_GB2312" w:eastAsia="仿宋_GB2312" w:cs="仿宋_GB2312"/>
          <w:color w:val="auto"/>
          <w:sz w:val="32"/>
          <w:szCs w:val="32"/>
          <w:highlight w:val="none"/>
          <w:lang w:eastAsia="zh-CN"/>
        </w:rPr>
        <w:t>照</w:t>
      </w:r>
      <w:r>
        <w:rPr>
          <w:rFonts w:hint="eastAsia" w:ascii="仿宋_GB2312" w:hAnsi="仿宋_GB2312" w:eastAsia="仿宋_GB2312" w:cs="仿宋_GB2312"/>
          <w:color w:val="auto"/>
          <w:sz w:val="32"/>
          <w:szCs w:val="32"/>
          <w:highlight w:val="none"/>
        </w:rPr>
        <w:t>《暂行办法》及其相关规定申请取得完全产权。</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（五）依照《暂行办法》及其相关规定已购买安居型商品房的，缴纳增值收益适用本办法规定。</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w:t>
      </w:r>
      <w:r>
        <w:rPr>
          <w:rFonts w:hint="eastAsia" w:ascii="仿宋_GB2312" w:hAnsi="仿宋_GB2312" w:eastAsia="仿宋_GB2312" w:cs="仿宋_GB2312"/>
          <w:color w:val="auto"/>
          <w:sz w:val="32"/>
          <w:szCs w:val="32"/>
          <w:highlight w:val="none"/>
          <w:lang w:eastAsia="zh-CN"/>
        </w:rPr>
        <w:t>在册轮候人的</w:t>
      </w:r>
      <w:r>
        <w:rPr>
          <w:rFonts w:hint="eastAsia" w:ascii="仿宋_GB2312" w:hAnsi="仿宋_GB2312" w:eastAsia="仿宋_GB2312" w:cs="仿宋_GB2312"/>
          <w:color w:val="auto"/>
          <w:sz w:val="32"/>
          <w:szCs w:val="32"/>
          <w:highlight w:val="none"/>
        </w:rPr>
        <w:t>轮候信息发生变</w:t>
      </w:r>
      <w:r>
        <w:rPr>
          <w:rFonts w:hint="eastAsia" w:ascii="仿宋_GB2312" w:hAnsi="仿宋_GB2312" w:eastAsia="仿宋_GB2312" w:cs="仿宋_GB2312"/>
          <w:color w:val="auto"/>
          <w:sz w:val="32"/>
          <w:szCs w:val="32"/>
          <w:highlight w:val="none"/>
          <w:lang w:eastAsia="zh-CN"/>
        </w:rPr>
        <w:t>化</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CN"/>
        </w:rPr>
        <w:t>应当</w:t>
      </w:r>
      <w:r>
        <w:rPr>
          <w:rFonts w:hint="eastAsia" w:ascii="仿宋_GB2312" w:hAnsi="仿宋_GB2312" w:eastAsia="仿宋_GB2312" w:cs="仿宋_GB2312"/>
          <w:color w:val="auto"/>
          <w:sz w:val="32"/>
          <w:szCs w:val="32"/>
          <w:highlight w:val="none"/>
        </w:rPr>
        <w:t>按照《暂行办法》及其相关规定处理。</w:t>
      </w:r>
    </w:p>
    <w:p>
      <w:pPr>
        <w:spacing w:line="560" w:lineRule="exact"/>
        <w:ind w:firstLine="640" w:firstLineChars="200"/>
        <w:outlineLvl w:val="2"/>
        <w:rPr>
          <w:rFonts w:ascii="仿宋_GB2312" w:hAnsi="仿宋_GB2312" w:eastAsia="仿宋_GB2312" w:cs="仿宋_GB2312"/>
          <w:color w:val="auto"/>
          <w:sz w:val="32"/>
          <w:szCs w:val="32"/>
          <w:highlight w:val="none"/>
        </w:rPr>
      </w:pPr>
      <w:r>
        <w:rPr>
          <w:rFonts w:hint="eastAsia" w:ascii="黑体" w:hAnsi="黑体" w:eastAsia="黑体"/>
          <w:bCs/>
          <w:color w:val="auto"/>
          <w:sz w:val="32"/>
          <w:szCs w:val="32"/>
          <w:highlight w:val="none"/>
        </w:rPr>
        <w:t>第六十</w:t>
      </w:r>
      <w:r>
        <w:rPr>
          <w:rFonts w:hint="eastAsia" w:ascii="黑体" w:hAnsi="黑体" w:eastAsia="黑体"/>
          <w:bCs/>
          <w:color w:val="auto"/>
          <w:sz w:val="32"/>
          <w:szCs w:val="32"/>
          <w:highlight w:val="none"/>
          <w:lang w:eastAsia="zh-CN"/>
        </w:rPr>
        <w:t>五</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市主管部门可以根据实际需要和市场变化情况，对安居型商品房与人才住房、公共租赁住房等住房类型进行适当转换，并对出租和出售的安居型商品房进行类别调整。</w:t>
      </w:r>
    </w:p>
    <w:p>
      <w:pPr>
        <w:numPr>
          <w:ilvl w:val="255"/>
          <w:numId w:val="0"/>
        </w:numPr>
        <w:spacing w:line="560" w:lineRule="exact"/>
        <w:ind w:firstLine="640" w:firstLineChars="200"/>
        <w:outlineLvl w:val="2"/>
        <w:rPr>
          <w:rFonts w:ascii="仿宋_GB2312" w:hAnsi="仿宋_GB2312" w:eastAsia="仿宋_GB2312" w:cs="仿宋_GB2312"/>
          <w:color w:val="auto"/>
          <w:sz w:val="32"/>
          <w:szCs w:val="32"/>
          <w:highlight w:val="none"/>
        </w:rPr>
      </w:pPr>
      <w:bookmarkStart w:id="393" w:name="_Toc18714_WPSOffice_Level2"/>
      <w:bookmarkStart w:id="394" w:name="_Toc3757"/>
      <w:bookmarkStart w:id="395" w:name="_Toc29008"/>
      <w:bookmarkStart w:id="396" w:name="_Toc523428855"/>
      <w:bookmarkStart w:id="397" w:name="_Toc10282"/>
      <w:bookmarkStart w:id="398" w:name="_Toc10655"/>
      <w:bookmarkStart w:id="399" w:name="_Toc1824"/>
      <w:bookmarkStart w:id="400" w:name="_Toc16895"/>
      <w:bookmarkStart w:id="401" w:name="_Toc19800"/>
      <w:bookmarkStart w:id="402" w:name="_Toc8353"/>
      <w:bookmarkStart w:id="403" w:name="_Toc14605"/>
      <w:r>
        <w:rPr>
          <w:rFonts w:hint="eastAsia" w:ascii="黑体" w:hAnsi="黑体" w:eastAsia="黑体"/>
          <w:bCs/>
          <w:color w:val="auto"/>
          <w:sz w:val="32"/>
          <w:szCs w:val="32"/>
          <w:highlight w:val="none"/>
        </w:rPr>
        <w:t>第</w:t>
      </w:r>
      <w:r>
        <w:rPr>
          <w:rFonts w:hint="eastAsia" w:ascii="黑体" w:hAnsi="黑体" w:eastAsia="黑体"/>
          <w:bCs/>
          <w:color w:val="auto"/>
          <w:sz w:val="32"/>
          <w:szCs w:val="32"/>
          <w:highlight w:val="none"/>
          <w:lang w:eastAsia="zh-CN"/>
        </w:rPr>
        <w:t>六十六</w:t>
      </w:r>
      <w:r>
        <w:rPr>
          <w:rFonts w:hint="eastAsia" w:ascii="黑体" w:hAnsi="黑体" w:eastAsia="黑体"/>
          <w:bCs/>
          <w:color w:val="auto"/>
          <w:sz w:val="32"/>
          <w:szCs w:val="32"/>
          <w:highlight w:val="none"/>
        </w:rPr>
        <w:t>条</w:t>
      </w:r>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安居型商品房封闭流转的具体办法由市主管部门另行制定，报市</w:t>
      </w:r>
      <w:r>
        <w:rPr>
          <w:rFonts w:hint="eastAsia" w:ascii="仿宋_GB2312" w:hAnsi="仿宋_GB2312" w:eastAsia="仿宋_GB2312" w:cs="仿宋_GB2312"/>
          <w:color w:val="auto"/>
          <w:sz w:val="32"/>
          <w:szCs w:val="32"/>
          <w:highlight w:val="none"/>
          <w:lang w:eastAsia="zh-CN"/>
        </w:rPr>
        <w:t>人民</w:t>
      </w:r>
      <w:r>
        <w:rPr>
          <w:rFonts w:hint="eastAsia" w:ascii="仿宋_GB2312" w:hAnsi="仿宋_GB2312" w:eastAsia="仿宋_GB2312" w:cs="仿宋_GB2312"/>
          <w:color w:val="auto"/>
          <w:sz w:val="32"/>
          <w:szCs w:val="32"/>
          <w:highlight w:val="none"/>
        </w:rPr>
        <w:t>政府批准后实施。</w:t>
      </w:r>
    </w:p>
    <w:p>
      <w:pPr>
        <w:numPr>
          <w:ilvl w:val="255"/>
          <w:numId w:val="0"/>
        </w:num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居民收入财产核对和认定办法</w:t>
      </w:r>
      <w:r>
        <w:rPr>
          <w:rFonts w:hint="eastAsia" w:ascii="仿宋_GB2312" w:hAnsi="仿宋_GB2312" w:eastAsia="仿宋_GB2312" w:cs="仿宋_GB2312"/>
          <w:color w:val="auto"/>
          <w:sz w:val="32"/>
          <w:szCs w:val="32"/>
          <w:highlight w:val="none"/>
        </w:rPr>
        <w:t>由市民政部门另行制定，报市</w:t>
      </w:r>
      <w:r>
        <w:rPr>
          <w:rFonts w:hint="eastAsia" w:ascii="仿宋_GB2312" w:hAnsi="仿宋_GB2312" w:eastAsia="仿宋_GB2312" w:cs="仿宋_GB2312"/>
          <w:color w:val="auto"/>
          <w:sz w:val="32"/>
          <w:szCs w:val="32"/>
          <w:highlight w:val="none"/>
          <w:lang w:eastAsia="zh-CN"/>
        </w:rPr>
        <w:t>人民</w:t>
      </w:r>
      <w:r>
        <w:rPr>
          <w:rFonts w:hint="eastAsia" w:ascii="仿宋_GB2312" w:hAnsi="仿宋_GB2312" w:eastAsia="仿宋_GB2312" w:cs="仿宋_GB2312"/>
          <w:color w:val="auto"/>
          <w:sz w:val="32"/>
          <w:szCs w:val="32"/>
          <w:highlight w:val="none"/>
        </w:rPr>
        <w:t>政府批准后实施。</w:t>
      </w:r>
    </w:p>
    <w:p>
      <w:pPr>
        <w:numPr>
          <w:ilvl w:val="255"/>
          <w:numId w:val="0"/>
        </w:num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000000"/>
          <w:sz w:val="32"/>
          <w:szCs w:val="32"/>
          <w:highlight w:val="none"/>
        </w:rPr>
        <w:t>各区人民政府可以根据实际情况对</w:t>
      </w:r>
      <w:r>
        <w:rPr>
          <w:rFonts w:hint="eastAsia" w:ascii="仿宋_GB2312" w:hAnsi="仿宋_GB2312" w:eastAsia="仿宋_GB2312" w:cs="仿宋_GB2312"/>
          <w:color w:val="000000"/>
          <w:sz w:val="32"/>
          <w:szCs w:val="32"/>
          <w:highlight w:val="none"/>
          <w:lang w:val="en-US" w:eastAsia="zh-CN"/>
        </w:rPr>
        <w:t>安居型商品</w:t>
      </w:r>
      <w:r>
        <w:rPr>
          <w:rFonts w:hint="eastAsia" w:ascii="仿宋_GB2312" w:hAnsi="仿宋_GB2312" w:eastAsia="仿宋_GB2312" w:cs="仿宋_GB2312"/>
          <w:color w:val="000000"/>
          <w:sz w:val="32"/>
          <w:szCs w:val="32"/>
          <w:highlight w:val="none"/>
        </w:rPr>
        <w:t>房建设标准、面积标准等进行适当调整，并报市</w:t>
      </w:r>
      <w:r>
        <w:rPr>
          <w:rFonts w:hint="eastAsia" w:ascii="仿宋_GB2312" w:hAnsi="仿宋_GB2312" w:eastAsia="仿宋_GB2312" w:cs="仿宋_GB2312"/>
          <w:color w:val="000000"/>
          <w:sz w:val="32"/>
          <w:szCs w:val="32"/>
          <w:highlight w:val="none"/>
          <w:lang w:eastAsia="zh-CN"/>
        </w:rPr>
        <w:t>人民</w:t>
      </w:r>
      <w:r>
        <w:rPr>
          <w:rFonts w:hint="eastAsia" w:ascii="仿宋_GB2312" w:hAnsi="仿宋_GB2312" w:eastAsia="仿宋_GB2312" w:cs="仿宋_GB2312"/>
          <w:color w:val="000000"/>
          <w:sz w:val="32"/>
          <w:szCs w:val="32"/>
          <w:highlight w:val="none"/>
        </w:rPr>
        <w:t>政府批准后实施。</w:t>
      </w:r>
    </w:p>
    <w:p>
      <w:pPr>
        <w:spacing w:line="560" w:lineRule="exact"/>
        <w:ind w:firstLine="640" w:firstLineChars="200"/>
        <w:outlineLvl w:val="2"/>
        <w:rPr>
          <w:color w:val="auto"/>
          <w:sz w:val="32"/>
          <w:szCs w:val="32"/>
          <w:highlight w:val="none"/>
        </w:rPr>
      </w:pPr>
      <w:r>
        <w:rPr>
          <w:rFonts w:hint="eastAsia" w:ascii="黑体" w:hAnsi="黑体" w:eastAsia="黑体"/>
          <w:bCs/>
          <w:color w:val="auto"/>
          <w:sz w:val="32"/>
          <w:szCs w:val="32"/>
          <w:highlight w:val="none"/>
        </w:rPr>
        <w:t>第六十</w:t>
      </w:r>
      <w:r>
        <w:rPr>
          <w:rFonts w:hint="eastAsia" w:ascii="黑体" w:hAnsi="黑体" w:eastAsia="黑体"/>
          <w:bCs/>
          <w:color w:val="auto"/>
          <w:sz w:val="32"/>
          <w:szCs w:val="32"/>
          <w:highlight w:val="none"/>
          <w:lang w:eastAsia="zh-CN"/>
        </w:rPr>
        <w:t>七</w:t>
      </w:r>
      <w:r>
        <w:rPr>
          <w:rFonts w:hint="eastAsia" w:ascii="黑体" w:hAnsi="黑体" w:eastAsia="黑体"/>
          <w:bCs/>
          <w:color w:val="auto"/>
          <w:sz w:val="32"/>
          <w:szCs w:val="32"/>
          <w:highlight w:val="none"/>
        </w:rPr>
        <w:t>条</w:t>
      </w:r>
      <w:bookmarkEnd w:id="393"/>
      <w:r>
        <w:rPr>
          <w:rFonts w:hint="eastAsia" w:ascii="黑体" w:hAnsi="黑体" w:eastAsia="黑体"/>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本办法自    年</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月</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日起施行。2011年6月1日起施行的《深圳市安居型商品房建设和管理暂行办法》（深圳市人民政府令第228号）同时废止。</w:t>
      </w:r>
      <w:bookmarkEnd w:id="394"/>
      <w:bookmarkEnd w:id="395"/>
      <w:bookmarkEnd w:id="396"/>
      <w:bookmarkEnd w:id="397"/>
      <w:bookmarkEnd w:id="398"/>
      <w:bookmarkEnd w:id="399"/>
      <w:bookmarkEnd w:id="400"/>
      <w:bookmarkEnd w:id="401"/>
      <w:bookmarkEnd w:id="402"/>
      <w:bookmarkEnd w:id="403"/>
    </w:p>
    <w:sectPr>
      <w:footerReference r:id="rId3" w:type="default"/>
      <w:pgSz w:w="11906" w:h="16838"/>
      <w:pgMar w:top="2041" w:right="1531" w:bottom="1871" w:left="1587"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ascii="仿宋_GB2312" w:hAnsi="仿宋_GB2312" w:eastAsia="仿宋_GB2312" w:cs="仿宋_GB2312"/>
                              <w:sz w:val="24"/>
                              <w:szCs w:val="24"/>
                            </w:rPr>
                            <w:t>- 1 -</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6"/>
                      <w:rPr>
                        <w:rFonts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ascii="仿宋_GB2312" w:hAnsi="仿宋_GB2312" w:eastAsia="仿宋_GB2312" w:cs="仿宋_GB2312"/>
                        <w:sz w:val="24"/>
                        <w:szCs w:val="24"/>
                      </w:rPr>
                      <w:t>- 1 -</w:t>
                    </w:r>
                    <w:r>
                      <w:rPr>
                        <w:rFonts w:hint="eastAsia" w:ascii="仿宋_GB2312" w:hAnsi="仿宋_GB2312" w:eastAsia="仿宋_GB2312" w:cs="仿宋_GB2312"/>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986864"/>
    <w:rsid w:val="000063C8"/>
    <w:rsid w:val="00011376"/>
    <w:rsid w:val="00022FFF"/>
    <w:rsid w:val="00023ECF"/>
    <w:rsid w:val="00026AED"/>
    <w:rsid w:val="00033D06"/>
    <w:rsid w:val="00063930"/>
    <w:rsid w:val="0007021F"/>
    <w:rsid w:val="00086ED5"/>
    <w:rsid w:val="00087C32"/>
    <w:rsid w:val="000912DA"/>
    <w:rsid w:val="000933A7"/>
    <w:rsid w:val="000A2D2C"/>
    <w:rsid w:val="000A52A8"/>
    <w:rsid w:val="000C4FFE"/>
    <w:rsid w:val="000D0E77"/>
    <w:rsid w:val="000E4AF9"/>
    <w:rsid w:val="001063E3"/>
    <w:rsid w:val="00113475"/>
    <w:rsid w:val="00113722"/>
    <w:rsid w:val="00125F67"/>
    <w:rsid w:val="00130FD4"/>
    <w:rsid w:val="0015234B"/>
    <w:rsid w:val="00153123"/>
    <w:rsid w:val="00162C36"/>
    <w:rsid w:val="0016677D"/>
    <w:rsid w:val="001A29DB"/>
    <w:rsid w:val="001C5F9E"/>
    <w:rsid w:val="001D06FA"/>
    <w:rsid w:val="001E3DD1"/>
    <w:rsid w:val="001E5F57"/>
    <w:rsid w:val="001E6710"/>
    <w:rsid w:val="001F229F"/>
    <w:rsid w:val="00200172"/>
    <w:rsid w:val="002068A1"/>
    <w:rsid w:val="00212104"/>
    <w:rsid w:val="00214138"/>
    <w:rsid w:val="00215110"/>
    <w:rsid w:val="00215807"/>
    <w:rsid w:val="00222239"/>
    <w:rsid w:val="002229BD"/>
    <w:rsid w:val="00231A2E"/>
    <w:rsid w:val="00233600"/>
    <w:rsid w:val="00246B1D"/>
    <w:rsid w:val="00252ED2"/>
    <w:rsid w:val="00254264"/>
    <w:rsid w:val="002865ED"/>
    <w:rsid w:val="002C0EC1"/>
    <w:rsid w:val="002C79C8"/>
    <w:rsid w:val="002D25DA"/>
    <w:rsid w:val="002F1348"/>
    <w:rsid w:val="003031C7"/>
    <w:rsid w:val="003176B9"/>
    <w:rsid w:val="0032011A"/>
    <w:rsid w:val="00326FB0"/>
    <w:rsid w:val="003351AB"/>
    <w:rsid w:val="00353C51"/>
    <w:rsid w:val="00391C49"/>
    <w:rsid w:val="00392D5A"/>
    <w:rsid w:val="00393B74"/>
    <w:rsid w:val="003A0AF6"/>
    <w:rsid w:val="003B700F"/>
    <w:rsid w:val="003C05F4"/>
    <w:rsid w:val="003C16E3"/>
    <w:rsid w:val="003C4B7B"/>
    <w:rsid w:val="003E0EDC"/>
    <w:rsid w:val="003E14CB"/>
    <w:rsid w:val="003E1789"/>
    <w:rsid w:val="003E455E"/>
    <w:rsid w:val="0041246C"/>
    <w:rsid w:val="004172BE"/>
    <w:rsid w:val="00444CFC"/>
    <w:rsid w:val="00447992"/>
    <w:rsid w:val="004723C1"/>
    <w:rsid w:val="00482B10"/>
    <w:rsid w:val="00483435"/>
    <w:rsid w:val="004A7227"/>
    <w:rsid w:val="004B1AEF"/>
    <w:rsid w:val="004C184D"/>
    <w:rsid w:val="004D2510"/>
    <w:rsid w:val="004D6C74"/>
    <w:rsid w:val="004F6FD8"/>
    <w:rsid w:val="00500AB0"/>
    <w:rsid w:val="00502A0C"/>
    <w:rsid w:val="005240E8"/>
    <w:rsid w:val="00530458"/>
    <w:rsid w:val="0055483D"/>
    <w:rsid w:val="0055584B"/>
    <w:rsid w:val="00557397"/>
    <w:rsid w:val="00587B1A"/>
    <w:rsid w:val="00592F71"/>
    <w:rsid w:val="00596263"/>
    <w:rsid w:val="005A26A6"/>
    <w:rsid w:val="005E0DE3"/>
    <w:rsid w:val="005F0529"/>
    <w:rsid w:val="005F72A5"/>
    <w:rsid w:val="00617FBA"/>
    <w:rsid w:val="00634D10"/>
    <w:rsid w:val="00657367"/>
    <w:rsid w:val="00664D54"/>
    <w:rsid w:val="00673D33"/>
    <w:rsid w:val="0068759C"/>
    <w:rsid w:val="00695604"/>
    <w:rsid w:val="006A2536"/>
    <w:rsid w:val="006B5189"/>
    <w:rsid w:val="006B5295"/>
    <w:rsid w:val="006B5673"/>
    <w:rsid w:val="006B7E0F"/>
    <w:rsid w:val="006F5EA8"/>
    <w:rsid w:val="00700BA3"/>
    <w:rsid w:val="0071352F"/>
    <w:rsid w:val="00720A9D"/>
    <w:rsid w:val="00721672"/>
    <w:rsid w:val="007339F8"/>
    <w:rsid w:val="00742E5E"/>
    <w:rsid w:val="007517C5"/>
    <w:rsid w:val="00761A5F"/>
    <w:rsid w:val="007716A2"/>
    <w:rsid w:val="00781650"/>
    <w:rsid w:val="00781B6D"/>
    <w:rsid w:val="007841F2"/>
    <w:rsid w:val="007A2413"/>
    <w:rsid w:val="007B08EC"/>
    <w:rsid w:val="007B6452"/>
    <w:rsid w:val="007E42DD"/>
    <w:rsid w:val="007F112C"/>
    <w:rsid w:val="0083506E"/>
    <w:rsid w:val="00846AAD"/>
    <w:rsid w:val="0084798E"/>
    <w:rsid w:val="0085407B"/>
    <w:rsid w:val="0085773A"/>
    <w:rsid w:val="0086111A"/>
    <w:rsid w:val="00862716"/>
    <w:rsid w:val="00862E06"/>
    <w:rsid w:val="008817F7"/>
    <w:rsid w:val="008A53C4"/>
    <w:rsid w:val="008B14A4"/>
    <w:rsid w:val="008D1964"/>
    <w:rsid w:val="008F3830"/>
    <w:rsid w:val="00906D45"/>
    <w:rsid w:val="0091660D"/>
    <w:rsid w:val="00932FD0"/>
    <w:rsid w:val="0093562D"/>
    <w:rsid w:val="009424B1"/>
    <w:rsid w:val="00974E73"/>
    <w:rsid w:val="00994CEB"/>
    <w:rsid w:val="009A5FB2"/>
    <w:rsid w:val="009B038A"/>
    <w:rsid w:val="009B04AA"/>
    <w:rsid w:val="009B2906"/>
    <w:rsid w:val="009B4098"/>
    <w:rsid w:val="009B5D59"/>
    <w:rsid w:val="009C3D4A"/>
    <w:rsid w:val="009D30ED"/>
    <w:rsid w:val="009E2DA9"/>
    <w:rsid w:val="009F42F9"/>
    <w:rsid w:val="00A11069"/>
    <w:rsid w:val="00A4431D"/>
    <w:rsid w:val="00A459CE"/>
    <w:rsid w:val="00A50894"/>
    <w:rsid w:val="00A635DF"/>
    <w:rsid w:val="00A67EE7"/>
    <w:rsid w:val="00A71491"/>
    <w:rsid w:val="00A90EFD"/>
    <w:rsid w:val="00AA0AF3"/>
    <w:rsid w:val="00AA1584"/>
    <w:rsid w:val="00AB774A"/>
    <w:rsid w:val="00AE1508"/>
    <w:rsid w:val="00AF25FE"/>
    <w:rsid w:val="00AF45D7"/>
    <w:rsid w:val="00AF759D"/>
    <w:rsid w:val="00B23A80"/>
    <w:rsid w:val="00B458B3"/>
    <w:rsid w:val="00B514CC"/>
    <w:rsid w:val="00B56D57"/>
    <w:rsid w:val="00B638E0"/>
    <w:rsid w:val="00B64D4C"/>
    <w:rsid w:val="00B7023C"/>
    <w:rsid w:val="00B736FB"/>
    <w:rsid w:val="00B765E9"/>
    <w:rsid w:val="00BA4F49"/>
    <w:rsid w:val="00BA54FC"/>
    <w:rsid w:val="00BB5290"/>
    <w:rsid w:val="00BC6994"/>
    <w:rsid w:val="00BF3F66"/>
    <w:rsid w:val="00C04B18"/>
    <w:rsid w:val="00C0718B"/>
    <w:rsid w:val="00C14E79"/>
    <w:rsid w:val="00C41BC5"/>
    <w:rsid w:val="00C42075"/>
    <w:rsid w:val="00C6370F"/>
    <w:rsid w:val="00C77F7C"/>
    <w:rsid w:val="00C83A90"/>
    <w:rsid w:val="00CA0D98"/>
    <w:rsid w:val="00CC4A57"/>
    <w:rsid w:val="00CD1954"/>
    <w:rsid w:val="00CE26D3"/>
    <w:rsid w:val="00CE7A2F"/>
    <w:rsid w:val="00D03F3B"/>
    <w:rsid w:val="00D20409"/>
    <w:rsid w:val="00D41D45"/>
    <w:rsid w:val="00D43CF0"/>
    <w:rsid w:val="00D43F13"/>
    <w:rsid w:val="00D5313C"/>
    <w:rsid w:val="00D54C4D"/>
    <w:rsid w:val="00D55EFE"/>
    <w:rsid w:val="00D63FBB"/>
    <w:rsid w:val="00D71137"/>
    <w:rsid w:val="00D91944"/>
    <w:rsid w:val="00DA07A3"/>
    <w:rsid w:val="00DC077F"/>
    <w:rsid w:val="00DD5F53"/>
    <w:rsid w:val="00E007A1"/>
    <w:rsid w:val="00E067DD"/>
    <w:rsid w:val="00E20FED"/>
    <w:rsid w:val="00E22814"/>
    <w:rsid w:val="00E2450E"/>
    <w:rsid w:val="00E27FA0"/>
    <w:rsid w:val="00E478C1"/>
    <w:rsid w:val="00E51060"/>
    <w:rsid w:val="00E709BD"/>
    <w:rsid w:val="00E70C11"/>
    <w:rsid w:val="00E72E30"/>
    <w:rsid w:val="00E73786"/>
    <w:rsid w:val="00E73E34"/>
    <w:rsid w:val="00E76A73"/>
    <w:rsid w:val="00E95486"/>
    <w:rsid w:val="00EA0A97"/>
    <w:rsid w:val="00EC2805"/>
    <w:rsid w:val="00EC3950"/>
    <w:rsid w:val="00EC5403"/>
    <w:rsid w:val="00EC6EB1"/>
    <w:rsid w:val="00ED1AC4"/>
    <w:rsid w:val="00ED1EA9"/>
    <w:rsid w:val="00ED3B99"/>
    <w:rsid w:val="00EF54DA"/>
    <w:rsid w:val="00F07982"/>
    <w:rsid w:val="00F07F0F"/>
    <w:rsid w:val="00F211CE"/>
    <w:rsid w:val="00F24981"/>
    <w:rsid w:val="00F37A2E"/>
    <w:rsid w:val="00F4277A"/>
    <w:rsid w:val="00F46CCB"/>
    <w:rsid w:val="00F5112C"/>
    <w:rsid w:val="00F5748F"/>
    <w:rsid w:val="00F64E32"/>
    <w:rsid w:val="00F670EE"/>
    <w:rsid w:val="00F74B96"/>
    <w:rsid w:val="00F74F89"/>
    <w:rsid w:val="00F80806"/>
    <w:rsid w:val="00F906E0"/>
    <w:rsid w:val="00F90EE4"/>
    <w:rsid w:val="00FA1E34"/>
    <w:rsid w:val="00FA33CD"/>
    <w:rsid w:val="00FB7347"/>
    <w:rsid w:val="00FC1803"/>
    <w:rsid w:val="00FD4746"/>
    <w:rsid w:val="01003346"/>
    <w:rsid w:val="01003AD9"/>
    <w:rsid w:val="01534A44"/>
    <w:rsid w:val="018903BC"/>
    <w:rsid w:val="0198207B"/>
    <w:rsid w:val="01A6033A"/>
    <w:rsid w:val="01B722A2"/>
    <w:rsid w:val="01D1646D"/>
    <w:rsid w:val="01D6472A"/>
    <w:rsid w:val="01D979E0"/>
    <w:rsid w:val="01DA2168"/>
    <w:rsid w:val="01F4351A"/>
    <w:rsid w:val="02001A1A"/>
    <w:rsid w:val="023824FA"/>
    <w:rsid w:val="025C2E31"/>
    <w:rsid w:val="026B6446"/>
    <w:rsid w:val="026E6D72"/>
    <w:rsid w:val="02735C1A"/>
    <w:rsid w:val="027D7FB3"/>
    <w:rsid w:val="027F196B"/>
    <w:rsid w:val="02855189"/>
    <w:rsid w:val="02875669"/>
    <w:rsid w:val="0288461C"/>
    <w:rsid w:val="02917640"/>
    <w:rsid w:val="02995889"/>
    <w:rsid w:val="02AE28DC"/>
    <w:rsid w:val="02C261B1"/>
    <w:rsid w:val="02D868A6"/>
    <w:rsid w:val="02DF6F6B"/>
    <w:rsid w:val="02EF6D09"/>
    <w:rsid w:val="02FB3F36"/>
    <w:rsid w:val="030D0D4C"/>
    <w:rsid w:val="03133B8C"/>
    <w:rsid w:val="032A69D9"/>
    <w:rsid w:val="033A6D6C"/>
    <w:rsid w:val="03453BC9"/>
    <w:rsid w:val="034C0152"/>
    <w:rsid w:val="035A409B"/>
    <w:rsid w:val="035D42D0"/>
    <w:rsid w:val="03746AE0"/>
    <w:rsid w:val="03882671"/>
    <w:rsid w:val="039A4F9D"/>
    <w:rsid w:val="03AA7B9F"/>
    <w:rsid w:val="03B06A8D"/>
    <w:rsid w:val="03BD711F"/>
    <w:rsid w:val="03E67046"/>
    <w:rsid w:val="03E711CF"/>
    <w:rsid w:val="03E97AFA"/>
    <w:rsid w:val="04092CC3"/>
    <w:rsid w:val="040C177E"/>
    <w:rsid w:val="040C7FD7"/>
    <w:rsid w:val="04164B30"/>
    <w:rsid w:val="0425575E"/>
    <w:rsid w:val="04314615"/>
    <w:rsid w:val="04537C3E"/>
    <w:rsid w:val="045C6BB6"/>
    <w:rsid w:val="04792361"/>
    <w:rsid w:val="04912DED"/>
    <w:rsid w:val="04997A39"/>
    <w:rsid w:val="04BF4FC0"/>
    <w:rsid w:val="04CA2C81"/>
    <w:rsid w:val="04D84627"/>
    <w:rsid w:val="04EB5333"/>
    <w:rsid w:val="04F12437"/>
    <w:rsid w:val="05055049"/>
    <w:rsid w:val="05642D5D"/>
    <w:rsid w:val="059F0E6B"/>
    <w:rsid w:val="05D620A0"/>
    <w:rsid w:val="05E30D4E"/>
    <w:rsid w:val="05F322E0"/>
    <w:rsid w:val="05F56036"/>
    <w:rsid w:val="062274CF"/>
    <w:rsid w:val="062C4149"/>
    <w:rsid w:val="062C7C82"/>
    <w:rsid w:val="062E30D9"/>
    <w:rsid w:val="062E4AAD"/>
    <w:rsid w:val="062F272D"/>
    <w:rsid w:val="06397C8B"/>
    <w:rsid w:val="06495B04"/>
    <w:rsid w:val="06533579"/>
    <w:rsid w:val="06641291"/>
    <w:rsid w:val="069365BA"/>
    <w:rsid w:val="06B92AD5"/>
    <w:rsid w:val="06C24FB2"/>
    <w:rsid w:val="06DC01FD"/>
    <w:rsid w:val="06ED21FF"/>
    <w:rsid w:val="06EE4914"/>
    <w:rsid w:val="070B0845"/>
    <w:rsid w:val="071D76F9"/>
    <w:rsid w:val="07273F87"/>
    <w:rsid w:val="072C0D15"/>
    <w:rsid w:val="074B3CD4"/>
    <w:rsid w:val="076B63B8"/>
    <w:rsid w:val="076E2D23"/>
    <w:rsid w:val="0776129B"/>
    <w:rsid w:val="07B1573F"/>
    <w:rsid w:val="07C83E9D"/>
    <w:rsid w:val="08021A31"/>
    <w:rsid w:val="0805037F"/>
    <w:rsid w:val="08071FA5"/>
    <w:rsid w:val="080A4783"/>
    <w:rsid w:val="08232D00"/>
    <w:rsid w:val="08236AFC"/>
    <w:rsid w:val="082558E1"/>
    <w:rsid w:val="08302372"/>
    <w:rsid w:val="0846509E"/>
    <w:rsid w:val="08487E2F"/>
    <w:rsid w:val="086532B8"/>
    <w:rsid w:val="08684513"/>
    <w:rsid w:val="08A12CBE"/>
    <w:rsid w:val="08AC716D"/>
    <w:rsid w:val="08BD0B6E"/>
    <w:rsid w:val="08CA72EE"/>
    <w:rsid w:val="08CC328D"/>
    <w:rsid w:val="08DF2FB9"/>
    <w:rsid w:val="08FE3402"/>
    <w:rsid w:val="090A555D"/>
    <w:rsid w:val="092F08C2"/>
    <w:rsid w:val="0938420A"/>
    <w:rsid w:val="095D2030"/>
    <w:rsid w:val="09603C35"/>
    <w:rsid w:val="097C4F36"/>
    <w:rsid w:val="097D5549"/>
    <w:rsid w:val="09984925"/>
    <w:rsid w:val="09A01FDE"/>
    <w:rsid w:val="0A2F2D00"/>
    <w:rsid w:val="0A3A2EC9"/>
    <w:rsid w:val="0A523C68"/>
    <w:rsid w:val="0A677F76"/>
    <w:rsid w:val="0A6A573E"/>
    <w:rsid w:val="0A715D89"/>
    <w:rsid w:val="0A9D2574"/>
    <w:rsid w:val="0A9E442B"/>
    <w:rsid w:val="0AA84B1D"/>
    <w:rsid w:val="0ABF6D50"/>
    <w:rsid w:val="0AFD252C"/>
    <w:rsid w:val="0B0D7148"/>
    <w:rsid w:val="0B2B09C3"/>
    <w:rsid w:val="0B2E38F5"/>
    <w:rsid w:val="0B4130BC"/>
    <w:rsid w:val="0B426309"/>
    <w:rsid w:val="0B442578"/>
    <w:rsid w:val="0B4E33AA"/>
    <w:rsid w:val="0B503AA0"/>
    <w:rsid w:val="0B64240D"/>
    <w:rsid w:val="0B8B5174"/>
    <w:rsid w:val="0B994DDE"/>
    <w:rsid w:val="0BB2577E"/>
    <w:rsid w:val="0BD57F84"/>
    <w:rsid w:val="0BD942F4"/>
    <w:rsid w:val="0BE676A7"/>
    <w:rsid w:val="0C12083A"/>
    <w:rsid w:val="0C171F23"/>
    <w:rsid w:val="0C384E91"/>
    <w:rsid w:val="0C423C7F"/>
    <w:rsid w:val="0C5C0013"/>
    <w:rsid w:val="0C641619"/>
    <w:rsid w:val="0C77537E"/>
    <w:rsid w:val="0C907D0A"/>
    <w:rsid w:val="0CDC1289"/>
    <w:rsid w:val="0CE74D80"/>
    <w:rsid w:val="0CEE3E4C"/>
    <w:rsid w:val="0CF55A7E"/>
    <w:rsid w:val="0D1F6BD0"/>
    <w:rsid w:val="0D2D7B56"/>
    <w:rsid w:val="0D351949"/>
    <w:rsid w:val="0D427631"/>
    <w:rsid w:val="0D626084"/>
    <w:rsid w:val="0D671468"/>
    <w:rsid w:val="0D673AF1"/>
    <w:rsid w:val="0D68097C"/>
    <w:rsid w:val="0D906E66"/>
    <w:rsid w:val="0DCA548D"/>
    <w:rsid w:val="0DD669D2"/>
    <w:rsid w:val="0DE570B4"/>
    <w:rsid w:val="0DFA7BD6"/>
    <w:rsid w:val="0E2538D8"/>
    <w:rsid w:val="0E262AEF"/>
    <w:rsid w:val="0E3E564F"/>
    <w:rsid w:val="0E6E0A95"/>
    <w:rsid w:val="0E7F0A07"/>
    <w:rsid w:val="0E87758C"/>
    <w:rsid w:val="0E9D5897"/>
    <w:rsid w:val="0EF53BC4"/>
    <w:rsid w:val="0EFA1C26"/>
    <w:rsid w:val="0F331060"/>
    <w:rsid w:val="0F437556"/>
    <w:rsid w:val="0F4973BA"/>
    <w:rsid w:val="0F4E0664"/>
    <w:rsid w:val="0F8A7C81"/>
    <w:rsid w:val="0F8B6F42"/>
    <w:rsid w:val="0FB5727B"/>
    <w:rsid w:val="0FCF37C6"/>
    <w:rsid w:val="0FDD21F8"/>
    <w:rsid w:val="10003B89"/>
    <w:rsid w:val="100E3912"/>
    <w:rsid w:val="1014038E"/>
    <w:rsid w:val="10146078"/>
    <w:rsid w:val="10316D79"/>
    <w:rsid w:val="10473444"/>
    <w:rsid w:val="105903B0"/>
    <w:rsid w:val="106D019B"/>
    <w:rsid w:val="108573A8"/>
    <w:rsid w:val="108E074A"/>
    <w:rsid w:val="10A26341"/>
    <w:rsid w:val="10A75B51"/>
    <w:rsid w:val="10C41A6E"/>
    <w:rsid w:val="10CA6343"/>
    <w:rsid w:val="10FE7FE3"/>
    <w:rsid w:val="1106616F"/>
    <w:rsid w:val="111C5357"/>
    <w:rsid w:val="1125270B"/>
    <w:rsid w:val="112C1D7B"/>
    <w:rsid w:val="114660C8"/>
    <w:rsid w:val="114E72CE"/>
    <w:rsid w:val="11547598"/>
    <w:rsid w:val="116D0BFD"/>
    <w:rsid w:val="118A2561"/>
    <w:rsid w:val="11984D23"/>
    <w:rsid w:val="11AC7360"/>
    <w:rsid w:val="11C83C1A"/>
    <w:rsid w:val="11E16C2E"/>
    <w:rsid w:val="11F72619"/>
    <w:rsid w:val="11FD4B11"/>
    <w:rsid w:val="12161D01"/>
    <w:rsid w:val="121847B6"/>
    <w:rsid w:val="122E7D26"/>
    <w:rsid w:val="12347E5C"/>
    <w:rsid w:val="12363CF8"/>
    <w:rsid w:val="12401D45"/>
    <w:rsid w:val="12407DCF"/>
    <w:rsid w:val="12457698"/>
    <w:rsid w:val="12531346"/>
    <w:rsid w:val="1255747D"/>
    <w:rsid w:val="126F341E"/>
    <w:rsid w:val="127460AF"/>
    <w:rsid w:val="12775531"/>
    <w:rsid w:val="12857A3F"/>
    <w:rsid w:val="128C6379"/>
    <w:rsid w:val="129C302A"/>
    <w:rsid w:val="12B258E2"/>
    <w:rsid w:val="12DF3282"/>
    <w:rsid w:val="12E135C7"/>
    <w:rsid w:val="13060C56"/>
    <w:rsid w:val="1311688D"/>
    <w:rsid w:val="132B70D1"/>
    <w:rsid w:val="133F1A82"/>
    <w:rsid w:val="133F563A"/>
    <w:rsid w:val="134F6899"/>
    <w:rsid w:val="1396352E"/>
    <w:rsid w:val="139A1FD2"/>
    <w:rsid w:val="13B83575"/>
    <w:rsid w:val="13E706B3"/>
    <w:rsid w:val="14000696"/>
    <w:rsid w:val="140A5078"/>
    <w:rsid w:val="1443380A"/>
    <w:rsid w:val="14506533"/>
    <w:rsid w:val="146F08E4"/>
    <w:rsid w:val="14771F31"/>
    <w:rsid w:val="14824B36"/>
    <w:rsid w:val="148A6021"/>
    <w:rsid w:val="14A81291"/>
    <w:rsid w:val="14B0356E"/>
    <w:rsid w:val="14BC047B"/>
    <w:rsid w:val="14CD0013"/>
    <w:rsid w:val="14F25C44"/>
    <w:rsid w:val="14F965A8"/>
    <w:rsid w:val="151044B9"/>
    <w:rsid w:val="151C65F8"/>
    <w:rsid w:val="152718F9"/>
    <w:rsid w:val="15330580"/>
    <w:rsid w:val="15332E66"/>
    <w:rsid w:val="154F2B38"/>
    <w:rsid w:val="155533BF"/>
    <w:rsid w:val="15602C45"/>
    <w:rsid w:val="156A1ABB"/>
    <w:rsid w:val="159A1837"/>
    <w:rsid w:val="15A6016E"/>
    <w:rsid w:val="15A91FBB"/>
    <w:rsid w:val="15B13CD0"/>
    <w:rsid w:val="15BB0AFB"/>
    <w:rsid w:val="15BB5709"/>
    <w:rsid w:val="15BE786E"/>
    <w:rsid w:val="15F07FA5"/>
    <w:rsid w:val="160A19F4"/>
    <w:rsid w:val="160D4B95"/>
    <w:rsid w:val="161208C7"/>
    <w:rsid w:val="161A7956"/>
    <w:rsid w:val="161B0EE4"/>
    <w:rsid w:val="16233A69"/>
    <w:rsid w:val="16294096"/>
    <w:rsid w:val="16670CC7"/>
    <w:rsid w:val="169945C4"/>
    <w:rsid w:val="16BE4214"/>
    <w:rsid w:val="16C451AD"/>
    <w:rsid w:val="16CB13F8"/>
    <w:rsid w:val="16DB1832"/>
    <w:rsid w:val="16ED232B"/>
    <w:rsid w:val="17120A1D"/>
    <w:rsid w:val="17162F99"/>
    <w:rsid w:val="17172E25"/>
    <w:rsid w:val="172715B7"/>
    <w:rsid w:val="173578A7"/>
    <w:rsid w:val="174623CC"/>
    <w:rsid w:val="174C4C7B"/>
    <w:rsid w:val="175B77C9"/>
    <w:rsid w:val="175E2DD0"/>
    <w:rsid w:val="176568EE"/>
    <w:rsid w:val="1794241B"/>
    <w:rsid w:val="17C25B07"/>
    <w:rsid w:val="17E91BFD"/>
    <w:rsid w:val="17F01295"/>
    <w:rsid w:val="18060ADA"/>
    <w:rsid w:val="18083B82"/>
    <w:rsid w:val="18240A66"/>
    <w:rsid w:val="18272177"/>
    <w:rsid w:val="18333948"/>
    <w:rsid w:val="184A451E"/>
    <w:rsid w:val="18950395"/>
    <w:rsid w:val="18953E9D"/>
    <w:rsid w:val="18975EC6"/>
    <w:rsid w:val="189F1354"/>
    <w:rsid w:val="18A77954"/>
    <w:rsid w:val="18B50DAC"/>
    <w:rsid w:val="18EA5722"/>
    <w:rsid w:val="18FC5AB4"/>
    <w:rsid w:val="193225C2"/>
    <w:rsid w:val="19402D31"/>
    <w:rsid w:val="1947454E"/>
    <w:rsid w:val="196947CE"/>
    <w:rsid w:val="19782551"/>
    <w:rsid w:val="197E6DAE"/>
    <w:rsid w:val="19925D20"/>
    <w:rsid w:val="199F22C9"/>
    <w:rsid w:val="19B269D8"/>
    <w:rsid w:val="19BE5986"/>
    <w:rsid w:val="19E431A6"/>
    <w:rsid w:val="19FF0AEC"/>
    <w:rsid w:val="1A0E422A"/>
    <w:rsid w:val="1A0E5A2C"/>
    <w:rsid w:val="1A13109F"/>
    <w:rsid w:val="1A2841F9"/>
    <w:rsid w:val="1A2F21CC"/>
    <w:rsid w:val="1A3C3FB0"/>
    <w:rsid w:val="1A445097"/>
    <w:rsid w:val="1A451B53"/>
    <w:rsid w:val="1A8752A5"/>
    <w:rsid w:val="1A9478CF"/>
    <w:rsid w:val="1AB739DA"/>
    <w:rsid w:val="1ABB3E2A"/>
    <w:rsid w:val="1AC279D0"/>
    <w:rsid w:val="1AD67356"/>
    <w:rsid w:val="1AEE65BD"/>
    <w:rsid w:val="1AF14A5A"/>
    <w:rsid w:val="1AF67983"/>
    <w:rsid w:val="1AF95467"/>
    <w:rsid w:val="1B0050BE"/>
    <w:rsid w:val="1B025EB6"/>
    <w:rsid w:val="1B051406"/>
    <w:rsid w:val="1B054E77"/>
    <w:rsid w:val="1B1A3CFE"/>
    <w:rsid w:val="1B337368"/>
    <w:rsid w:val="1B40578E"/>
    <w:rsid w:val="1B4B3472"/>
    <w:rsid w:val="1B5E6A96"/>
    <w:rsid w:val="1B620F26"/>
    <w:rsid w:val="1B741C5E"/>
    <w:rsid w:val="1B856B20"/>
    <w:rsid w:val="1B975608"/>
    <w:rsid w:val="1B9C40E0"/>
    <w:rsid w:val="1BBE7D2A"/>
    <w:rsid w:val="1BCC11BC"/>
    <w:rsid w:val="1BCC498A"/>
    <w:rsid w:val="1BD3386C"/>
    <w:rsid w:val="1BEB5734"/>
    <w:rsid w:val="1BFC259A"/>
    <w:rsid w:val="1C1F3E21"/>
    <w:rsid w:val="1C3D28E6"/>
    <w:rsid w:val="1C492695"/>
    <w:rsid w:val="1C4C5B32"/>
    <w:rsid w:val="1C72167F"/>
    <w:rsid w:val="1C7649D4"/>
    <w:rsid w:val="1C7F376D"/>
    <w:rsid w:val="1C8F4623"/>
    <w:rsid w:val="1C9B74B5"/>
    <w:rsid w:val="1CBB48E3"/>
    <w:rsid w:val="1CD77F7F"/>
    <w:rsid w:val="1CF06FD0"/>
    <w:rsid w:val="1CF5219A"/>
    <w:rsid w:val="1D0237C2"/>
    <w:rsid w:val="1D610E43"/>
    <w:rsid w:val="1DB33F75"/>
    <w:rsid w:val="1DE67735"/>
    <w:rsid w:val="1DFE7B5F"/>
    <w:rsid w:val="1E2E07A3"/>
    <w:rsid w:val="1E31577C"/>
    <w:rsid w:val="1E3741FE"/>
    <w:rsid w:val="1E3F5ACF"/>
    <w:rsid w:val="1E45066D"/>
    <w:rsid w:val="1E4C7B34"/>
    <w:rsid w:val="1E537409"/>
    <w:rsid w:val="1E5E7C0A"/>
    <w:rsid w:val="1E680836"/>
    <w:rsid w:val="1E6E48C2"/>
    <w:rsid w:val="1E892ADF"/>
    <w:rsid w:val="1EA66BF4"/>
    <w:rsid w:val="1EC014B5"/>
    <w:rsid w:val="1EC33EA9"/>
    <w:rsid w:val="1ED14272"/>
    <w:rsid w:val="1ED17461"/>
    <w:rsid w:val="1EE527DF"/>
    <w:rsid w:val="1EE56C30"/>
    <w:rsid w:val="1EF662BB"/>
    <w:rsid w:val="1F211987"/>
    <w:rsid w:val="1F406E70"/>
    <w:rsid w:val="1F4A0EBE"/>
    <w:rsid w:val="1F632EBD"/>
    <w:rsid w:val="1F7962FE"/>
    <w:rsid w:val="1F965B23"/>
    <w:rsid w:val="1F986864"/>
    <w:rsid w:val="1FA81323"/>
    <w:rsid w:val="1FA9219A"/>
    <w:rsid w:val="1FB12938"/>
    <w:rsid w:val="1FBE3E28"/>
    <w:rsid w:val="1FC140C3"/>
    <w:rsid w:val="1FD464DD"/>
    <w:rsid w:val="1FEA6AB4"/>
    <w:rsid w:val="1FEB5B41"/>
    <w:rsid w:val="1FED4EBB"/>
    <w:rsid w:val="200337A3"/>
    <w:rsid w:val="201D6C72"/>
    <w:rsid w:val="203B4D30"/>
    <w:rsid w:val="204D6FAF"/>
    <w:rsid w:val="20520A84"/>
    <w:rsid w:val="205B1BF7"/>
    <w:rsid w:val="20B04E8D"/>
    <w:rsid w:val="20C02208"/>
    <w:rsid w:val="20EE3C20"/>
    <w:rsid w:val="211D2ACB"/>
    <w:rsid w:val="21227F53"/>
    <w:rsid w:val="21285ED0"/>
    <w:rsid w:val="213565D2"/>
    <w:rsid w:val="213778BF"/>
    <w:rsid w:val="21521747"/>
    <w:rsid w:val="21635386"/>
    <w:rsid w:val="21835CC3"/>
    <w:rsid w:val="218407B9"/>
    <w:rsid w:val="21880159"/>
    <w:rsid w:val="21966190"/>
    <w:rsid w:val="21987195"/>
    <w:rsid w:val="21B50EC5"/>
    <w:rsid w:val="21B86920"/>
    <w:rsid w:val="21CB4552"/>
    <w:rsid w:val="220A0658"/>
    <w:rsid w:val="220C032A"/>
    <w:rsid w:val="221D5D12"/>
    <w:rsid w:val="224345E1"/>
    <w:rsid w:val="224C59BF"/>
    <w:rsid w:val="22513543"/>
    <w:rsid w:val="225D06AE"/>
    <w:rsid w:val="22BA36A9"/>
    <w:rsid w:val="22BB35A6"/>
    <w:rsid w:val="22BC59E0"/>
    <w:rsid w:val="22BF6E11"/>
    <w:rsid w:val="22CB79B7"/>
    <w:rsid w:val="22FB0C39"/>
    <w:rsid w:val="230A1A9A"/>
    <w:rsid w:val="231734F5"/>
    <w:rsid w:val="232B4FD3"/>
    <w:rsid w:val="232B7903"/>
    <w:rsid w:val="237F34CD"/>
    <w:rsid w:val="23850A82"/>
    <w:rsid w:val="23975828"/>
    <w:rsid w:val="23A961F5"/>
    <w:rsid w:val="23AD37AF"/>
    <w:rsid w:val="23AE745D"/>
    <w:rsid w:val="23C9156C"/>
    <w:rsid w:val="23D96AF1"/>
    <w:rsid w:val="24003A9F"/>
    <w:rsid w:val="24103550"/>
    <w:rsid w:val="241F1591"/>
    <w:rsid w:val="242A4094"/>
    <w:rsid w:val="243F4EF9"/>
    <w:rsid w:val="2452614A"/>
    <w:rsid w:val="24610BC4"/>
    <w:rsid w:val="247016E2"/>
    <w:rsid w:val="24743A45"/>
    <w:rsid w:val="248A526C"/>
    <w:rsid w:val="24A57F98"/>
    <w:rsid w:val="24BA5492"/>
    <w:rsid w:val="24C91195"/>
    <w:rsid w:val="24D207D5"/>
    <w:rsid w:val="24F00990"/>
    <w:rsid w:val="24FA4835"/>
    <w:rsid w:val="251416D8"/>
    <w:rsid w:val="252D31CD"/>
    <w:rsid w:val="25305842"/>
    <w:rsid w:val="253A1E96"/>
    <w:rsid w:val="254F123D"/>
    <w:rsid w:val="25675DF5"/>
    <w:rsid w:val="257B1361"/>
    <w:rsid w:val="257C0326"/>
    <w:rsid w:val="258606DA"/>
    <w:rsid w:val="25AB23FD"/>
    <w:rsid w:val="25D41751"/>
    <w:rsid w:val="25E14694"/>
    <w:rsid w:val="25EB465A"/>
    <w:rsid w:val="25EE603E"/>
    <w:rsid w:val="2606789B"/>
    <w:rsid w:val="260F7861"/>
    <w:rsid w:val="261A63CC"/>
    <w:rsid w:val="2627403D"/>
    <w:rsid w:val="26467A21"/>
    <w:rsid w:val="264822E2"/>
    <w:rsid w:val="265B2A27"/>
    <w:rsid w:val="265E2138"/>
    <w:rsid w:val="26F70D97"/>
    <w:rsid w:val="270607D1"/>
    <w:rsid w:val="270D7CE7"/>
    <w:rsid w:val="2713399D"/>
    <w:rsid w:val="272348E7"/>
    <w:rsid w:val="273566D4"/>
    <w:rsid w:val="27426246"/>
    <w:rsid w:val="275819DB"/>
    <w:rsid w:val="27594067"/>
    <w:rsid w:val="275E097E"/>
    <w:rsid w:val="27602821"/>
    <w:rsid w:val="27651961"/>
    <w:rsid w:val="277B21EF"/>
    <w:rsid w:val="277D26F2"/>
    <w:rsid w:val="27823F35"/>
    <w:rsid w:val="27983F4E"/>
    <w:rsid w:val="279A1C23"/>
    <w:rsid w:val="27AB548A"/>
    <w:rsid w:val="27B828F8"/>
    <w:rsid w:val="27BD536A"/>
    <w:rsid w:val="280553F0"/>
    <w:rsid w:val="280D3F2B"/>
    <w:rsid w:val="28132E5D"/>
    <w:rsid w:val="281A700F"/>
    <w:rsid w:val="28313A0F"/>
    <w:rsid w:val="28587D7F"/>
    <w:rsid w:val="286D32DF"/>
    <w:rsid w:val="287C3D9F"/>
    <w:rsid w:val="28E0559C"/>
    <w:rsid w:val="28EA0088"/>
    <w:rsid w:val="28FD4A21"/>
    <w:rsid w:val="291A1B4E"/>
    <w:rsid w:val="292B606C"/>
    <w:rsid w:val="294D3AA3"/>
    <w:rsid w:val="297D72DC"/>
    <w:rsid w:val="297F50C1"/>
    <w:rsid w:val="298E05BD"/>
    <w:rsid w:val="299B3C49"/>
    <w:rsid w:val="299C62BC"/>
    <w:rsid w:val="29A97E7E"/>
    <w:rsid w:val="29B24D27"/>
    <w:rsid w:val="29B32C71"/>
    <w:rsid w:val="29D52325"/>
    <w:rsid w:val="29D67975"/>
    <w:rsid w:val="29D70854"/>
    <w:rsid w:val="29D87D0D"/>
    <w:rsid w:val="29DE3EBF"/>
    <w:rsid w:val="29EC2535"/>
    <w:rsid w:val="2A0E41AE"/>
    <w:rsid w:val="2A256A5B"/>
    <w:rsid w:val="2A321EFB"/>
    <w:rsid w:val="2A4312AC"/>
    <w:rsid w:val="2A4B56B3"/>
    <w:rsid w:val="2AA42D8F"/>
    <w:rsid w:val="2AAA009C"/>
    <w:rsid w:val="2AAA5CB6"/>
    <w:rsid w:val="2AAB3D14"/>
    <w:rsid w:val="2AD83EEE"/>
    <w:rsid w:val="2B1A797B"/>
    <w:rsid w:val="2B491503"/>
    <w:rsid w:val="2B4B69FE"/>
    <w:rsid w:val="2B4C5CBD"/>
    <w:rsid w:val="2B501B01"/>
    <w:rsid w:val="2B5B6996"/>
    <w:rsid w:val="2B614964"/>
    <w:rsid w:val="2B8240E7"/>
    <w:rsid w:val="2B92277B"/>
    <w:rsid w:val="2B942EDF"/>
    <w:rsid w:val="2B960E00"/>
    <w:rsid w:val="2B9875B4"/>
    <w:rsid w:val="2BA57AB1"/>
    <w:rsid w:val="2BB46EF5"/>
    <w:rsid w:val="2BD2541F"/>
    <w:rsid w:val="2BE3380A"/>
    <w:rsid w:val="2BEA53DD"/>
    <w:rsid w:val="2C0025E1"/>
    <w:rsid w:val="2C1456C0"/>
    <w:rsid w:val="2C1841DD"/>
    <w:rsid w:val="2C2A5DE7"/>
    <w:rsid w:val="2C327189"/>
    <w:rsid w:val="2C427A2F"/>
    <w:rsid w:val="2C4F7924"/>
    <w:rsid w:val="2C682453"/>
    <w:rsid w:val="2C6D7726"/>
    <w:rsid w:val="2C7D7FC1"/>
    <w:rsid w:val="2C956C7C"/>
    <w:rsid w:val="2CA5720F"/>
    <w:rsid w:val="2CAC7127"/>
    <w:rsid w:val="2CB66A00"/>
    <w:rsid w:val="2CE972A4"/>
    <w:rsid w:val="2CEB4394"/>
    <w:rsid w:val="2CF40AB0"/>
    <w:rsid w:val="2CF64570"/>
    <w:rsid w:val="2CFF3F15"/>
    <w:rsid w:val="2D0E14E7"/>
    <w:rsid w:val="2D164539"/>
    <w:rsid w:val="2D2B382A"/>
    <w:rsid w:val="2D2B7A02"/>
    <w:rsid w:val="2D316449"/>
    <w:rsid w:val="2D6A5E47"/>
    <w:rsid w:val="2D857E09"/>
    <w:rsid w:val="2D97758F"/>
    <w:rsid w:val="2D9E34C3"/>
    <w:rsid w:val="2DA0205C"/>
    <w:rsid w:val="2DA4543F"/>
    <w:rsid w:val="2DA55543"/>
    <w:rsid w:val="2DD86443"/>
    <w:rsid w:val="2E0E63D4"/>
    <w:rsid w:val="2E146E2A"/>
    <w:rsid w:val="2E340A56"/>
    <w:rsid w:val="2E3573C2"/>
    <w:rsid w:val="2E3B55B2"/>
    <w:rsid w:val="2E491395"/>
    <w:rsid w:val="2E5A4E66"/>
    <w:rsid w:val="2E65035D"/>
    <w:rsid w:val="2E6745E6"/>
    <w:rsid w:val="2E7F612A"/>
    <w:rsid w:val="2E8A620D"/>
    <w:rsid w:val="2E947001"/>
    <w:rsid w:val="2E990A01"/>
    <w:rsid w:val="2EA869B8"/>
    <w:rsid w:val="2EC46F64"/>
    <w:rsid w:val="2ECE06E6"/>
    <w:rsid w:val="2ED81F12"/>
    <w:rsid w:val="2F057520"/>
    <w:rsid w:val="2F380ACB"/>
    <w:rsid w:val="2F3A0C17"/>
    <w:rsid w:val="2F671F49"/>
    <w:rsid w:val="2F734D68"/>
    <w:rsid w:val="2F911099"/>
    <w:rsid w:val="2FB51E1C"/>
    <w:rsid w:val="300317EF"/>
    <w:rsid w:val="30044CCC"/>
    <w:rsid w:val="3008096D"/>
    <w:rsid w:val="301337D3"/>
    <w:rsid w:val="30270CAA"/>
    <w:rsid w:val="30777EB9"/>
    <w:rsid w:val="30A35C3F"/>
    <w:rsid w:val="30A37516"/>
    <w:rsid w:val="30AC0EB1"/>
    <w:rsid w:val="30CA3154"/>
    <w:rsid w:val="30CB7D7E"/>
    <w:rsid w:val="30F045CC"/>
    <w:rsid w:val="30F11006"/>
    <w:rsid w:val="31240EDF"/>
    <w:rsid w:val="312705B5"/>
    <w:rsid w:val="3149196D"/>
    <w:rsid w:val="314C0D35"/>
    <w:rsid w:val="31561941"/>
    <w:rsid w:val="31725F1F"/>
    <w:rsid w:val="31C256DD"/>
    <w:rsid w:val="31E66267"/>
    <w:rsid w:val="32036B00"/>
    <w:rsid w:val="32094349"/>
    <w:rsid w:val="323914A3"/>
    <w:rsid w:val="323A3C30"/>
    <w:rsid w:val="324A0456"/>
    <w:rsid w:val="324B334A"/>
    <w:rsid w:val="32563BFD"/>
    <w:rsid w:val="326F01E8"/>
    <w:rsid w:val="328F4B90"/>
    <w:rsid w:val="32A02A08"/>
    <w:rsid w:val="32B14FA1"/>
    <w:rsid w:val="32BB7802"/>
    <w:rsid w:val="32C602C2"/>
    <w:rsid w:val="32CC7C7B"/>
    <w:rsid w:val="32CF4229"/>
    <w:rsid w:val="32E6212E"/>
    <w:rsid w:val="32F01493"/>
    <w:rsid w:val="330C49DE"/>
    <w:rsid w:val="33407157"/>
    <w:rsid w:val="33432AC4"/>
    <w:rsid w:val="33606C85"/>
    <w:rsid w:val="3365152A"/>
    <w:rsid w:val="33780428"/>
    <w:rsid w:val="337C628D"/>
    <w:rsid w:val="337E2C07"/>
    <w:rsid w:val="33857AC9"/>
    <w:rsid w:val="33895696"/>
    <w:rsid w:val="33CE5853"/>
    <w:rsid w:val="33DA1547"/>
    <w:rsid w:val="33DC08B0"/>
    <w:rsid w:val="33DE39D9"/>
    <w:rsid w:val="33DF3CB4"/>
    <w:rsid w:val="33E00B34"/>
    <w:rsid w:val="33E47515"/>
    <w:rsid w:val="34000201"/>
    <w:rsid w:val="340767D0"/>
    <w:rsid w:val="3437552C"/>
    <w:rsid w:val="34474F51"/>
    <w:rsid w:val="3470329F"/>
    <w:rsid w:val="34791B93"/>
    <w:rsid w:val="34920DD1"/>
    <w:rsid w:val="349213A2"/>
    <w:rsid w:val="349F6B91"/>
    <w:rsid w:val="34A937E1"/>
    <w:rsid w:val="34A949D9"/>
    <w:rsid w:val="34B24D7A"/>
    <w:rsid w:val="34C73B9E"/>
    <w:rsid w:val="34D74FA1"/>
    <w:rsid w:val="34EE5719"/>
    <w:rsid w:val="34F02DF4"/>
    <w:rsid w:val="35250B2A"/>
    <w:rsid w:val="352D5318"/>
    <w:rsid w:val="355375FA"/>
    <w:rsid w:val="35616970"/>
    <w:rsid w:val="35626427"/>
    <w:rsid w:val="356B184A"/>
    <w:rsid w:val="35827A51"/>
    <w:rsid w:val="359D2D09"/>
    <w:rsid w:val="35A53955"/>
    <w:rsid w:val="35AC5FC2"/>
    <w:rsid w:val="35AE4135"/>
    <w:rsid w:val="35B34814"/>
    <w:rsid w:val="35C057F4"/>
    <w:rsid w:val="35C8110E"/>
    <w:rsid w:val="35D1582B"/>
    <w:rsid w:val="35E04942"/>
    <w:rsid w:val="35F46DA0"/>
    <w:rsid w:val="35FA550B"/>
    <w:rsid w:val="35FB3398"/>
    <w:rsid w:val="364B41CB"/>
    <w:rsid w:val="36567C3A"/>
    <w:rsid w:val="36D0602A"/>
    <w:rsid w:val="36F653DE"/>
    <w:rsid w:val="37016C70"/>
    <w:rsid w:val="371312E4"/>
    <w:rsid w:val="371544EB"/>
    <w:rsid w:val="371902E4"/>
    <w:rsid w:val="373F6AC2"/>
    <w:rsid w:val="375F5335"/>
    <w:rsid w:val="37875049"/>
    <w:rsid w:val="379F704D"/>
    <w:rsid w:val="37A222CE"/>
    <w:rsid w:val="37A44CAD"/>
    <w:rsid w:val="37A97E4B"/>
    <w:rsid w:val="37B46FFC"/>
    <w:rsid w:val="37D40A7E"/>
    <w:rsid w:val="37E03B6C"/>
    <w:rsid w:val="37E7105D"/>
    <w:rsid w:val="380226CE"/>
    <w:rsid w:val="380732E7"/>
    <w:rsid w:val="38230512"/>
    <w:rsid w:val="38270899"/>
    <w:rsid w:val="3852292A"/>
    <w:rsid w:val="388C09F2"/>
    <w:rsid w:val="389B1CFF"/>
    <w:rsid w:val="38BB2D7D"/>
    <w:rsid w:val="38C10F46"/>
    <w:rsid w:val="38C10F6B"/>
    <w:rsid w:val="390577ED"/>
    <w:rsid w:val="39195573"/>
    <w:rsid w:val="39241CBE"/>
    <w:rsid w:val="39261E97"/>
    <w:rsid w:val="39555C39"/>
    <w:rsid w:val="39614310"/>
    <w:rsid w:val="39694A69"/>
    <w:rsid w:val="3998104C"/>
    <w:rsid w:val="39A461BD"/>
    <w:rsid w:val="39B028BC"/>
    <w:rsid w:val="39B1611A"/>
    <w:rsid w:val="39B5215B"/>
    <w:rsid w:val="39B524B7"/>
    <w:rsid w:val="39EB5FA5"/>
    <w:rsid w:val="3A012FE5"/>
    <w:rsid w:val="3A1D13F7"/>
    <w:rsid w:val="3A223282"/>
    <w:rsid w:val="3A2F0821"/>
    <w:rsid w:val="3A4E010A"/>
    <w:rsid w:val="3A83771B"/>
    <w:rsid w:val="3A8420B1"/>
    <w:rsid w:val="3AA06537"/>
    <w:rsid w:val="3AA57B7C"/>
    <w:rsid w:val="3AAD57D0"/>
    <w:rsid w:val="3AEA1715"/>
    <w:rsid w:val="3AF309C1"/>
    <w:rsid w:val="3AF53B70"/>
    <w:rsid w:val="3AF61E33"/>
    <w:rsid w:val="3B045B7F"/>
    <w:rsid w:val="3B1C48F8"/>
    <w:rsid w:val="3B242E37"/>
    <w:rsid w:val="3B3C1036"/>
    <w:rsid w:val="3B4C1B04"/>
    <w:rsid w:val="3B4E5B31"/>
    <w:rsid w:val="3B654EFC"/>
    <w:rsid w:val="3B88005A"/>
    <w:rsid w:val="3B9D0CB9"/>
    <w:rsid w:val="3BA33C65"/>
    <w:rsid w:val="3BBB6F99"/>
    <w:rsid w:val="3BDC3FC4"/>
    <w:rsid w:val="3BEF0E29"/>
    <w:rsid w:val="3BF606A1"/>
    <w:rsid w:val="3C2A65AA"/>
    <w:rsid w:val="3C374E93"/>
    <w:rsid w:val="3C3B5574"/>
    <w:rsid w:val="3C803811"/>
    <w:rsid w:val="3CB17EEF"/>
    <w:rsid w:val="3CB70A71"/>
    <w:rsid w:val="3CCA7B79"/>
    <w:rsid w:val="3CCC4D36"/>
    <w:rsid w:val="3CFF188E"/>
    <w:rsid w:val="3D1720D9"/>
    <w:rsid w:val="3D615FA1"/>
    <w:rsid w:val="3D6F675F"/>
    <w:rsid w:val="3D8A7C6A"/>
    <w:rsid w:val="3DB5453F"/>
    <w:rsid w:val="3DD80C76"/>
    <w:rsid w:val="3DE47859"/>
    <w:rsid w:val="3E0374D1"/>
    <w:rsid w:val="3E0C12DA"/>
    <w:rsid w:val="3E16454D"/>
    <w:rsid w:val="3E214224"/>
    <w:rsid w:val="3E567102"/>
    <w:rsid w:val="3E580F93"/>
    <w:rsid w:val="3E595689"/>
    <w:rsid w:val="3E5A1285"/>
    <w:rsid w:val="3E664D77"/>
    <w:rsid w:val="3E690849"/>
    <w:rsid w:val="3E7909F6"/>
    <w:rsid w:val="3E901514"/>
    <w:rsid w:val="3E9D347C"/>
    <w:rsid w:val="3E9E41A8"/>
    <w:rsid w:val="3EAE64CC"/>
    <w:rsid w:val="3EB7065C"/>
    <w:rsid w:val="3EC649D8"/>
    <w:rsid w:val="3ECA4476"/>
    <w:rsid w:val="3ECF46B1"/>
    <w:rsid w:val="3EE373CF"/>
    <w:rsid w:val="3EE52600"/>
    <w:rsid w:val="3EEA6F88"/>
    <w:rsid w:val="3F0822F8"/>
    <w:rsid w:val="3F1F1068"/>
    <w:rsid w:val="3F5367B2"/>
    <w:rsid w:val="3F65256C"/>
    <w:rsid w:val="3F72441E"/>
    <w:rsid w:val="3F7778B4"/>
    <w:rsid w:val="3F7E3950"/>
    <w:rsid w:val="3F94799B"/>
    <w:rsid w:val="3FA07C7E"/>
    <w:rsid w:val="3FB5374E"/>
    <w:rsid w:val="3FBF04BF"/>
    <w:rsid w:val="3FBF492F"/>
    <w:rsid w:val="3FDB554B"/>
    <w:rsid w:val="3FEB3837"/>
    <w:rsid w:val="3FED258C"/>
    <w:rsid w:val="3FEE1A26"/>
    <w:rsid w:val="3FEF2C87"/>
    <w:rsid w:val="3FF72602"/>
    <w:rsid w:val="401D1A28"/>
    <w:rsid w:val="401E2564"/>
    <w:rsid w:val="40213781"/>
    <w:rsid w:val="4024624A"/>
    <w:rsid w:val="4028003E"/>
    <w:rsid w:val="404C19C4"/>
    <w:rsid w:val="4051569A"/>
    <w:rsid w:val="408A15B8"/>
    <w:rsid w:val="409B6B82"/>
    <w:rsid w:val="40A054A7"/>
    <w:rsid w:val="40A91FDF"/>
    <w:rsid w:val="40AB64BC"/>
    <w:rsid w:val="40E44A39"/>
    <w:rsid w:val="40F8035F"/>
    <w:rsid w:val="40FB37B8"/>
    <w:rsid w:val="41032AA8"/>
    <w:rsid w:val="41101385"/>
    <w:rsid w:val="41273349"/>
    <w:rsid w:val="41287C65"/>
    <w:rsid w:val="41406A6B"/>
    <w:rsid w:val="414377A6"/>
    <w:rsid w:val="41542E3D"/>
    <w:rsid w:val="4169381D"/>
    <w:rsid w:val="41767CC9"/>
    <w:rsid w:val="41775122"/>
    <w:rsid w:val="41954278"/>
    <w:rsid w:val="41BC387B"/>
    <w:rsid w:val="41BE731D"/>
    <w:rsid w:val="41C404F8"/>
    <w:rsid w:val="41F0095E"/>
    <w:rsid w:val="41F03028"/>
    <w:rsid w:val="41FA12E4"/>
    <w:rsid w:val="41FC3A38"/>
    <w:rsid w:val="41FD7870"/>
    <w:rsid w:val="421357E5"/>
    <w:rsid w:val="42285A9A"/>
    <w:rsid w:val="423F7E48"/>
    <w:rsid w:val="423F7EE0"/>
    <w:rsid w:val="42425D04"/>
    <w:rsid w:val="42611F72"/>
    <w:rsid w:val="426777EB"/>
    <w:rsid w:val="426A5EC8"/>
    <w:rsid w:val="42704F9C"/>
    <w:rsid w:val="427759AA"/>
    <w:rsid w:val="42A31EAF"/>
    <w:rsid w:val="42B20F18"/>
    <w:rsid w:val="42D733E5"/>
    <w:rsid w:val="42E109FD"/>
    <w:rsid w:val="42EA3DF3"/>
    <w:rsid w:val="42EF27B8"/>
    <w:rsid w:val="42F90CD6"/>
    <w:rsid w:val="43107F79"/>
    <w:rsid w:val="431C78DE"/>
    <w:rsid w:val="43257933"/>
    <w:rsid w:val="433220A7"/>
    <w:rsid w:val="434576A9"/>
    <w:rsid w:val="435477AB"/>
    <w:rsid w:val="435F223D"/>
    <w:rsid w:val="43627D64"/>
    <w:rsid w:val="438D2B56"/>
    <w:rsid w:val="43B5127E"/>
    <w:rsid w:val="43BA7FCA"/>
    <w:rsid w:val="43C207A3"/>
    <w:rsid w:val="440B5686"/>
    <w:rsid w:val="440F52A2"/>
    <w:rsid w:val="441C0404"/>
    <w:rsid w:val="44220693"/>
    <w:rsid w:val="44313E02"/>
    <w:rsid w:val="4438109E"/>
    <w:rsid w:val="443B2479"/>
    <w:rsid w:val="443D168F"/>
    <w:rsid w:val="444C2404"/>
    <w:rsid w:val="446614B3"/>
    <w:rsid w:val="446D4664"/>
    <w:rsid w:val="44707659"/>
    <w:rsid w:val="447342B6"/>
    <w:rsid w:val="44762123"/>
    <w:rsid w:val="447B60EE"/>
    <w:rsid w:val="447E1994"/>
    <w:rsid w:val="448E4E48"/>
    <w:rsid w:val="448E5B7D"/>
    <w:rsid w:val="44ED1E2A"/>
    <w:rsid w:val="45050044"/>
    <w:rsid w:val="451B6A58"/>
    <w:rsid w:val="452006BF"/>
    <w:rsid w:val="45313ECD"/>
    <w:rsid w:val="45414B08"/>
    <w:rsid w:val="45552793"/>
    <w:rsid w:val="456E3272"/>
    <w:rsid w:val="45741437"/>
    <w:rsid w:val="457778E8"/>
    <w:rsid w:val="457B6313"/>
    <w:rsid w:val="457C4CFA"/>
    <w:rsid w:val="45872365"/>
    <w:rsid w:val="45935A83"/>
    <w:rsid w:val="45C362C6"/>
    <w:rsid w:val="45CA20ED"/>
    <w:rsid w:val="45CD73C2"/>
    <w:rsid w:val="45E7176E"/>
    <w:rsid w:val="45ED1B95"/>
    <w:rsid w:val="45F809BE"/>
    <w:rsid w:val="46062D60"/>
    <w:rsid w:val="46096C52"/>
    <w:rsid w:val="462E45D6"/>
    <w:rsid w:val="4642387F"/>
    <w:rsid w:val="464478EC"/>
    <w:rsid w:val="4648053B"/>
    <w:rsid w:val="467E5E28"/>
    <w:rsid w:val="46A852F5"/>
    <w:rsid w:val="46B04C71"/>
    <w:rsid w:val="46B22B28"/>
    <w:rsid w:val="46C77B60"/>
    <w:rsid w:val="46C976CF"/>
    <w:rsid w:val="46DB0E66"/>
    <w:rsid w:val="46E61120"/>
    <w:rsid w:val="46EC4852"/>
    <w:rsid w:val="46EF418C"/>
    <w:rsid w:val="470D50DB"/>
    <w:rsid w:val="47376A1C"/>
    <w:rsid w:val="473D7D37"/>
    <w:rsid w:val="47574915"/>
    <w:rsid w:val="476A5CA0"/>
    <w:rsid w:val="47721A20"/>
    <w:rsid w:val="477D3EF4"/>
    <w:rsid w:val="47814C4D"/>
    <w:rsid w:val="47911B61"/>
    <w:rsid w:val="479315BD"/>
    <w:rsid w:val="47AF0C54"/>
    <w:rsid w:val="47B7455F"/>
    <w:rsid w:val="47C65538"/>
    <w:rsid w:val="47EA0DEC"/>
    <w:rsid w:val="47EE393E"/>
    <w:rsid w:val="47F57A9B"/>
    <w:rsid w:val="47FA7085"/>
    <w:rsid w:val="480275A8"/>
    <w:rsid w:val="481F2EA0"/>
    <w:rsid w:val="481F54BD"/>
    <w:rsid w:val="48261D70"/>
    <w:rsid w:val="482627B3"/>
    <w:rsid w:val="48310367"/>
    <w:rsid w:val="48335407"/>
    <w:rsid w:val="48381C8C"/>
    <w:rsid w:val="48442849"/>
    <w:rsid w:val="485018A0"/>
    <w:rsid w:val="485D6956"/>
    <w:rsid w:val="486A33E3"/>
    <w:rsid w:val="487639EA"/>
    <w:rsid w:val="488A1727"/>
    <w:rsid w:val="489A7A5C"/>
    <w:rsid w:val="48C56C4C"/>
    <w:rsid w:val="48CC22F0"/>
    <w:rsid w:val="48DC3770"/>
    <w:rsid w:val="48E13247"/>
    <w:rsid w:val="48EE7D77"/>
    <w:rsid w:val="48F4343A"/>
    <w:rsid w:val="49154D42"/>
    <w:rsid w:val="491D0D47"/>
    <w:rsid w:val="4920331F"/>
    <w:rsid w:val="492A44E8"/>
    <w:rsid w:val="493D40B1"/>
    <w:rsid w:val="493D7FE0"/>
    <w:rsid w:val="495F09E3"/>
    <w:rsid w:val="497320B7"/>
    <w:rsid w:val="49854EAD"/>
    <w:rsid w:val="49944A78"/>
    <w:rsid w:val="49993ABE"/>
    <w:rsid w:val="499C3A7D"/>
    <w:rsid w:val="499E67D3"/>
    <w:rsid w:val="49A85A4F"/>
    <w:rsid w:val="49C8213B"/>
    <w:rsid w:val="49D2424B"/>
    <w:rsid w:val="49D37476"/>
    <w:rsid w:val="49F35422"/>
    <w:rsid w:val="4A223116"/>
    <w:rsid w:val="4A2F5C04"/>
    <w:rsid w:val="4A422C82"/>
    <w:rsid w:val="4A4F6D1E"/>
    <w:rsid w:val="4A5549B5"/>
    <w:rsid w:val="4A687AD8"/>
    <w:rsid w:val="4A6F21AD"/>
    <w:rsid w:val="4A744030"/>
    <w:rsid w:val="4A783448"/>
    <w:rsid w:val="4AC9126E"/>
    <w:rsid w:val="4ACD33B2"/>
    <w:rsid w:val="4ADC02AF"/>
    <w:rsid w:val="4ADD4D8A"/>
    <w:rsid w:val="4AE55304"/>
    <w:rsid w:val="4AED12CF"/>
    <w:rsid w:val="4AF601F4"/>
    <w:rsid w:val="4AFC4533"/>
    <w:rsid w:val="4B044DC1"/>
    <w:rsid w:val="4B0B0A2C"/>
    <w:rsid w:val="4B193BE4"/>
    <w:rsid w:val="4B1A63C2"/>
    <w:rsid w:val="4B253E8F"/>
    <w:rsid w:val="4B341787"/>
    <w:rsid w:val="4B3A2777"/>
    <w:rsid w:val="4B3B0FBF"/>
    <w:rsid w:val="4B4561D8"/>
    <w:rsid w:val="4B4E586C"/>
    <w:rsid w:val="4B62307B"/>
    <w:rsid w:val="4B645CAB"/>
    <w:rsid w:val="4B664AE7"/>
    <w:rsid w:val="4B683AD0"/>
    <w:rsid w:val="4B7F50C8"/>
    <w:rsid w:val="4BB46BF8"/>
    <w:rsid w:val="4BE301D7"/>
    <w:rsid w:val="4BF70E4B"/>
    <w:rsid w:val="4BF77032"/>
    <w:rsid w:val="4C004612"/>
    <w:rsid w:val="4C0776C9"/>
    <w:rsid w:val="4C0E3289"/>
    <w:rsid w:val="4C163586"/>
    <w:rsid w:val="4C1857DC"/>
    <w:rsid w:val="4C222AF5"/>
    <w:rsid w:val="4C223C87"/>
    <w:rsid w:val="4C25798A"/>
    <w:rsid w:val="4C420BC4"/>
    <w:rsid w:val="4C4540A0"/>
    <w:rsid w:val="4C495FC7"/>
    <w:rsid w:val="4C601116"/>
    <w:rsid w:val="4C98092C"/>
    <w:rsid w:val="4C9C7E2D"/>
    <w:rsid w:val="4CA2372E"/>
    <w:rsid w:val="4CE919EA"/>
    <w:rsid w:val="4CE92315"/>
    <w:rsid w:val="4CF31668"/>
    <w:rsid w:val="4D0512AF"/>
    <w:rsid w:val="4D0F2FF9"/>
    <w:rsid w:val="4D1D01C8"/>
    <w:rsid w:val="4D24586E"/>
    <w:rsid w:val="4D3644D7"/>
    <w:rsid w:val="4D417C0B"/>
    <w:rsid w:val="4D501961"/>
    <w:rsid w:val="4D673BA3"/>
    <w:rsid w:val="4DB656D1"/>
    <w:rsid w:val="4DC4743A"/>
    <w:rsid w:val="4DE2089E"/>
    <w:rsid w:val="4E110257"/>
    <w:rsid w:val="4E297BA1"/>
    <w:rsid w:val="4E7E736A"/>
    <w:rsid w:val="4EAB1517"/>
    <w:rsid w:val="4ECC162B"/>
    <w:rsid w:val="4ECD61FE"/>
    <w:rsid w:val="4EE23DFC"/>
    <w:rsid w:val="4EED544E"/>
    <w:rsid w:val="4EFC46B5"/>
    <w:rsid w:val="4F04035A"/>
    <w:rsid w:val="4F202772"/>
    <w:rsid w:val="4F2471CD"/>
    <w:rsid w:val="4F2D6721"/>
    <w:rsid w:val="4F2E55AC"/>
    <w:rsid w:val="4F2F18BC"/>
    <w:rsid w:val="4F5B7298"/>
    <w:rsid w:val="4FA04B05"/>
    <w:rsid w:val="4FC34E5D"/>
    <w:rsid w:val="4FC37B68"/>
    <w:rsid w:val="4FDE71A7"/>
    <w:rsid w:val="4FE6129E"/>
    <w:rsid w:val="4FEA57C3"/>
    <w:rsid w:val="5016767B"/>
    <w:rsid w:val="501736E2"/>
    <w:rsid w:val="502C1F59"/>
    <w:rsid w:val="504A0C70"/>
    <w:rsid w:val="504D7B1C"/>
    <w:rsid w:val="505C3689"/>
    <w:rsid w:val="509160C4"/>
    <w:rsid w:val="50924421"/>
    <w:rsid w:val="50A04A1D"/>
    <w:rsid w:val="50A34B79"/>
    <w:rsid w:val="50B14ECF"/>
    <w:rsid w:val="50BC5C1E"/>
    <w:rsid w:val="50D272AD"/>
    <w:rsid w:val="50E41D6B"/>
    <w:rsid w:val="51157AD5"/>
    <w:rsid w:val="512A2DEF"/>
    <w:rsid w:val="51322A7F"/>
    <w:rsid w:val="51356B95"/>
    <w:rsid w:val="51451491"/>
    <w:rsid w:val="51757541"/>
    <w:rsid w:val="51827F99"/>
    <w:rsid w:val="51A80F67"/>
    <w:rsid w:val="51A90772"/>
    <w:rsid w:val="51B04781"/>
    <w:rsid w:val="51BD12C0"/>
    <w:rsid w:val="51C96A84"/>
    <w:rsid w:val="51DA5235"/>
    <w:rsid w:val="51F212BC"/>
    <w:rsid w:val="52170954"/>
    <w:rsid w:val="52212BF2"/>
    <w:rsid w:val="524E1DEC"/>
    <w:rsid w:val="525F76BA"/>
    <w:rsid w:val="52701461"/>
    <w:rsid w:val="5285546D"/>
    <w:rsid w:val="529E5DAC"/>
    <w:rsid w:val="529F0768"/>
    <w:rsid w:val="52D114D0"/>
    <w:rsid w:val="53023351"/>
    <w:rsid w:val="530B1CDD"/>
    <w:rsid w:val="531226B1"/>
    <w:rsid w:val="531D2DDE"/>
    <w:rsid w:val="53243773"/>
    <w:rsid w:val="534466FA"/>
    <w:rsid w:val="535A072E"/>
    <w:rsid w:val="53824AD5"/>
    <w:rsid w:val="53941145"/>
    <w:rsid w:val="539D6010"/>
    <w:rsid w:val="53BC24F5"/>
    <w:rsid w:val="53C54E52"/>
    <w:rsid w:val="53D32AF2"/>
    <w:rsid w:val="53D4625D"/>
    <w:rsid w:val="53D640D4"/>
    <w:rsid w:val="53D85D23"/>
    <w:rsid w:val="53ED7AA7"/>
    <w:rsid w:val="54032235"/>
    <w:rsid w:val="54157666"/>
    <w:rsid w:val="541F4873"/>
    <w:rsid w:val="54566EF4"/>
    <w:rsid w:val="546331B8"/>
    <w:rsid w:val="547B1F99"/>
    <w:rsid w:val="54997621"/>
    <w:rsid w:val="54A26C05"/>
    <w:rsid w:val="54B16F9E"/>
    <w:rsid w:val="54C0701E"/>
    <w:rsid w:val="54C43FDD"/>
    <w:rsid w:val="54DF7744"/>
    <w:rsid w:val="54F810DA"/>
    <w:rsid w:val="550465BF"/>
    <w:rsid w:val="551544F4"/>
    <w:rsid w:val="552E4809"/>
    <w:rsid w:val="55475F59"/>
    <w:rsid w:val="554C31CC"/>
    <w:rsid w:val="55500DC3"/>
    <w:rsid w:val="55801D16"/>
    <w:rsid w:val="558D4169"/>
    <w:rsid w:val="558E165D"/>
    <w:rsid w:val="559543B1"/>
    <w:rsid w:val="55B726E1"/>
    <w:rsid w:val="55B9217B"/>
    <w:rsid w:val="55DD0049"/>
    <w:rsid w:val="560E58F7"/>
    <w:rsid w:val="562E33E8"/>
    <w:rsid w:val="56510CB2"/>
    <w:rsid w:val="565959B5"/>
    <w:rsid w:val="56756F43"/>
    <w:rsid w:val="568B5130"/>
    <w:rsid w:val="568D462C"/>
    <w:rsid w:val="569A4EDE"/>
    <w:rsid w:val="569C1A22"/>
    <w:rsid w:val="56A16C52"/>
    <w:rsid w:val="56C55F8B"/>
    <w:rsid w:val="56D22311"/>
    <w:rsid w:val="56D3541E"/>
    <w:rsid w:val="56E56CC5"/>
    <w:rsid w:val="56EA70AC"/>
    <w:rsid w:val="56F810AB"/>
    <w:rsid w:val="572420BC"/>
    <w:rsid w:val="57256472"/>
    <w:rsid w:val="57276187"/>
    <w:rsid w:val="575D1D49"/>
    <w:rsid w:val="57A40D9B"/>
    <w:rsid w:val="57E56A98"/>
    <w:rsid w:val="57E855AE"/>
    <w:rsid w:val="57F56A7A"/>
    <w:rsid w:val="57FD0216"/>
    <w:rsid w:val="5813152D"/>
    <w:rsid w:val="5814324D"/>
    <w:rsid w:val="582845F5"/>
    <w:rsid w:val="588B22D4"/>
    <w:rsid w:val="58924677"/>
    <w:rsid w:val="58964450"/>
    <w:rsid w:val="58BC1FE3"/>
    <w:rsid w:val="58BE0505"/>
    <w:rsid w:val="58F314C2"/>
    <w:rsid w:val="590B39B0"/>
    <w:rsid w:val="591C248D"/>
    <w:rsid w:val="591F7DA5"/>
    <w:rsid w:val="5937511B"/>
    <w:rsid w:val="59650892"/>
    <w:rsid w:val="59671B97"/>
    <w:rsid w:val="596A1F3E"/>
    <w:rsid w:val="59724438"/>
    <w:rsid w:val="598D74F9"/>
    <w:rsid w:val="59957343"/>
    <w:rsid w:val="59A1653B"/>
    <w:rsid w:val="59C45518"/>
    <w:rsid w:val="59D55FB4"/>
    <w:rsid w:val="59D7423C"/>
    <w:rsid w:val="59DB40F9"/>
    <w:rsid w:val="59E124C3"/>
    <w:rsid w:val="59FD76EF"/>
    <w:rsid w:val="5A083672"/>
    <w:rsid w:val="5A472C1C"/>
    <w:rsid w:val="5A5761D8"/>
    <w:rsid w:val="5A617602"/>
    <w:rsid w:val="5A745312"/>
    <w:rsid w:val="5A745421"/>
    <w:rsid w:val="5A8A1BBE"/>
    <w:rsid w:val="5A8D6CA8"/>
    <w:rsid w:val="5A9F059D"/>
    <w:rsid w:val="5AC338E7"/>
    <w:rsid w:val="5ACC6A8A"/>
    <w:rsid w:val="5AE11DFC"/>
    <w:rsid w:val="5AE96F93"/>
    <w:rsid w:val="5AEC0263"/>
    <w:rsid w:val="5AEF3DE0"/>
    <w:rsid w:val="5B072784"/>
    <w:rsid w:val="5B0A1A05"/>
    <w:rsid w:val="5B0B056D"/>
    <w:rsid w:val="5B1E1BF9"/>
    <w:rsid w:val="5B212C55"/>
    <w:rsid w:val="5B2D2803"/>
    <w:rsid w:val="5B3E3FC1"/>
    <w:rsid w:val="5B4F56F9"/>
    <w:rsid w:val="5B63076E"/>
    <w:rsid w:val="5B6F2597"/>
    <w:rsid w:val="5B92386D"/>
    <w:rsid w:val="5BD4123D"/>
    <w:rsid w:val="5BE91192"/>
    <w:rsid w:val="5BEC7424"/>
    <w:rsid w:val="5BEF46ED"/>
    <w:rsid w:val="5BF4409E"/>
    <w:rsid w:val="5C3F3615"/>
    <w:rsid w:val="5C44747B"/>
    <w:rsid w:val="5C561A29"/>
    <w:rsid w:val="5C7950B0"/>
    <w:rsid w:val="5C9227A0"/>
    <w:rsid w:val="5CAA31E3"/>
    <w:rsid w:val="5CB27D29"/>
    <w:rsid w:val="5CB5231B"/>
    <w:rsid w:val="5CC76891"/>
    <w:rsid w:val="5CC82974"/>
    <w:rsid w:val="5CD27380"/>
    <w:rsid w:val="5CD45544"/>
    <w:rsid w:val="5CD8409E"/>
    <w:rsid w:val="5CE00E51"/>
    <w:rsid w:val="5CEF504A"/>
    <w:rsid w:val="5CF45D5B"/>
    <w:rsid w:val="5CF56FE1"/>
    <w:rsid w:val="5CFF25A6"/>
    <w:rsid w:val="5D0007D6"/>
    <w:rsid w:val="5D1D5287"/>
    <w:rsid w:val="5D29320A"/>
    <w:rsid w:val="5D2A0F87"/>
    <w:rsid w:val="5D314B06"/>
    <w:rsid w:val="5D596F58"/>
    <w:rsid w:val="5D80159C"/>
    <w:rsid w:val="5DAF0A66"/>
    <w:rsid w:val="5DE21D92"/>
    <w:rsid w:val="5DEB4A70"/>
    <w:rsid w:val="5DEB6905"/>
    <w:rsid w:val="5DF05B43"/>
    <w:rsid w:val="5DFF73A9"/>
    <w:rsid w:val="5E0D2B23"/>
    <w:rsid w:val="5E373B45"/>
    <w:rsid w:val="5E394748"/>
    <w:rsid w:val="5E590101"/>
    <w:rsid w:val="5E681CE1"/>
    <w:rsid w:val="5E6B5FEC"/>
    <w:rsid w:val="5E6E7D77"/>
    <w:rsid w:val="5E790761"/>
    <w:rsid w:val="5E7E50CC"/>
    <w:rsid w:val="5E8C6F39"/>
    <w:rsid w:val="5E9C1EDC"/>
    <w:rsid w:val="5EA32A6A"/>
    <w:rsid w:val="5EC64D1B"/>
    <w:rsid w:val="5ED91A58"/>
    <w:rsid w:val="5EED6150"/>
    <w:rsid w:val="5F292AD4"/>
    <w:rsid w:val="5F2C6C6D"/>
    <w:rsid w:val="5F4F003A"/>
    <w:rsid w:val="5F7A2644"/>
    <w:rsid w:val="5F8753FA"/>
    <w:rsid w:val="5F943B81"/>
    <w:rsid w:val="5FD35B72"/>
    <w:rsid w:val="5FE2367F"/>
    <w:rsid w:val="60164079"/>
    <w:rsid w:val="601B408C"/>
    <w:rsid w:val="601E05D8"/>
    <w:rsid w:val="602633A0"/>
    <w:rsid w:val="60293571"/>
    <w:rsid w:val="602F64C7"/>
    <w:rsid w:val="60332BB9"/>
    <w:rsid w:val="603E6CCB"/>
    <w:rsid w:val="60446A0F"/>
    <w:rsid w:val="60490F2F"/>
    <w:rsid w:val="60731683"/>
    <w:rsid w:val="6076470D"/>
    <w:rsid w:val="608D35D9"/>
    <w:rsid w:val="6094519B"/>
    <w:rsid w:val="609C34B7"/>
    <w:rsid w:val="60A57604"/>
    <w:rsid w:val="60D068B3"/>
    <w:rsid w:val="60E75E31"/>
    <w:rsid w:val="610E04CE"/>
    <w:rsid w:val="61221DBD"/>
    <w:rsid w:val="612362D5"/>
    <w:rsid w:val="61525C8D"/>
    <w:rsid w:val="61902524"/>
    <w:rsid w:val="619544C6"/>
    <w:rsid w:val="61A255C8"/>
    <w:rsid w:val="61CE78E0"/>
    <w:rsid w:val="61CF3EAB"/>
    <w:rsid w:val="61D7265F"/>
    <w:rsid w:val="61EE6CEA"/>
    <w:rsid w:val="62002C52"/>
    <w:rsid w:val="62113D96"/>
    <w:rsid w:val="625952CD"/>
    <w:rsid w:val="629D1E53"/>
    <w:rsid w:val="62B84C8E"/>
    <w:rsid w:val="62C638E1"/>
    <w:rsid w:val="62CE1F4D"/>
    <w:rsid w:val="62DE41C1"/>
    <w:rsid w:val="62EC5B45"/>
    <w:rsid w:val="62F4169A"/>
    <w:rsid w:val="630B732A"/>
    <w:rsid w:val="63261E1A"/>
    <w:rsid w:val="63461763"/>
    <w:rsid w:val="63697080"/>
    <w:rsid w:val="63747D29"/>
    <w:rsid w:val="63775512"/>
    <w:rsid w:val="63A3598D"/>
    <w:rsid w:val="63AA36FC"/>
    <w:rsid w:val="63AC5D89"/>
    <w:rsid w:val="63B011F3"/>
    <w:rsid w:val="63B118B0"/>
    <w:rsid w:val="63B33070"/>
    <w:rsid w:val="63CA20A0"/>
    <w:rsid w:val="63CB48FE"/>
    <w:rsid w:val="63E841CB"/>
    <w:rsid w:val="63F24C74"/>
    <w:rsid w:val="63F45DC5"/>
    <w:rsid w:val="64032106"/>
    <w:rsid w:val="642841CE"/>
    <w:rsid w:val="642E61D6"/>
    <w:rsid w:val="64447ED9"/>
    <w:rsid w:val="644825EC"/>
    <w:rsid w:val="64503C46"/>
    <w:rsid w:val="64BA1FC2"/>
    <w:rsid w:val="64C115FE"/>
    <w:rsid w:val="64D41AB3"/>
    <w:rsid w:val="65014E28"/>
    <w:rsid w:val="650203ED"/>
    <w:rsid w:val="65232FF6"/>
    <w:rsid w:val="65533F21"/>
    <w:rsid w:val="656B37B6"/>
    <w:rsid w:val="656D0C36"/>
    <w:rsid w:val="656E2DB3"/>
    <w:rsid w:val="65736389"/>
    <w:rsid w:val="658C37AC"/>
    <w:rsid w:val="65A973F6"/>
    <w:rsid w:val="65BF3FCF"/>
    <w:rsid w:val="65C136B0"/>
    <w:rsid w:val="65E62474"/>
    <w:rsid w:val="65F759D3"/>
    <w:rsid w:val="65F943BD"/>
    <w:rsid w:val="66125372"/>
    <w:rsid w:val="66163DDA"/>
    <w:rsid w:val="66280E14"/>
    <w:rsid w:val="66380A51"/>
    <w:rsid w:val="66486F98"/>
    <w:rsid w:val="665E0B52"/>
    <w:rsid w:val="665F2F67"/>
    <w:rsid w:val="66677780"/>
    <w:rsid w:val="669146F3"/>
    <w:rsid w:val="66AF5179"/>
    <w:rsid w:val="66B333AD"/>
    <w:rsid w:val="66B56DF3"/>
    <w:rsid w:val="66B867D3"/>
    <w:rsid w:val="66C027DC"/>
    <w:rsid w:val="66DA2766"/>
    <w:rsid w:val="66E66D9E"/>
    <w:rsid w:val="66FD2DE7"/>
    <w:rsid w:val="673414D5"/>
    <w:rsid w:val="67367302"/>
    <w:rsid w:val="676934BA"/>
    <w:rsid w:val="676C4EB2"/>
    <w:rsid w:val="676D6353"/>
    <w:rsid w:val="676E0576"/>
    <w:rsid w:val="67712389"/>
    <w:rsid w:val="67725B62"/>
    <w:rsid w:val="677834CE"/>
    <w:rsid w:val="67A82A15"/>
    <w:rsid w:val="67B21CFC"/>
    <w:rsid w:val="67B512D6"/>
    <w:rsid w:val="67D7398C"/>
    <w:rsid w:val="67E00FA7"/>
    <w:rsid w:val="67E06563"/>
    <w:rsid w:val="68107F97"/>
    <w:rsid w:val="681827F4"/>
    <w:rsid w:val="68622351"/>
    <w:rsid w:val="68654DD6"/>
    <w:rsid w:val="68667635"/>
    <w:rsid w:val="68763D5D"/>
    <w:rsid w:val="68955DCB"/>
    <w:rsid w:val="689948CB"/>
    <w:rsid w:val="68AD59C3"/>
    <w:rsid w:val="68C80B95"/>
    <w:rsid w:val="68CC40D1"/>
    <w:rsid w:val="68E03085"/>
    <w:rsid w:val="68F01497"/>
    <w:rsid w:val="68F826F3"/>
    <w:rsid w:val="68FD70EF"/>
    <w:rsid w:val="69010ADE"/>
    <w:rsid w:val="69073162"/>
    <w:rsid w:val="690D077C"/>
    <w:rsid w:val="693508CB"/>
    <w:rsid w:val="69530FE2"/>
    <w:rsid w:val="69562D2F"/>
    <w:rsid w:val="69E13367"/>
    <w:rsid w:val="69E15D5E"/>
    <w:rsid w:val="69F0315B"/>
    <w:rsid w:val="69F677E5"/>
    <w:rsid w:val="69FE2D40"/>
    <w:rsid w:val="6A041E64"/>
    <w:rsid w:val="6A072534"/>
    <w:rsid w:val="6A175640"/>
    <w:rsid w:val="6A180752"/>
    <w:rsid w:val="6A1817C5"/>
    <w:rsid w:val="6A2D33D9"/>
    <w:rsid w:val="6A577E71"/>
    <w:rsid w:val="6A6079BD"/>
    <w:rsid w:val="6A683F4A"/>
    <w:rsid w:val="6A6A7913"/>
    <w:rsid w:val="6AAB0333"/>
    <w:rsid w:val="6AC845AB"/>
    <w:rsid w:val="6AF27F7C"/>
    <w:rsid w:val="6AF91997"/>
    <w:rsid w:val="6B0E2DDC"/>
    <w:rsid w:val="6B10443E"/>
    <w:rsid w:val="6B292612"/>
    <w:rsid w:val="6B42336A"/>
    <w:rsid w:val="6B6E0494"/>
    <w:rsid w:val="6B7334AB"/>
    <w:rsid w:val="6B8978E7"/>
    <w:rsid w:val="6B93045F"/>
    <w:rsid w:val="6B945065"/>
    <w:rsid w:val="6B9E3EC4"/>
    <w:rsid w:val="6BAB182B"/>
    <w:rsid w:val="6BB353E2"/>
    <w:rsid w:val="6BC30880"/>
    <w:rsid w:val="6BD94FD3"/>
    <w:rsid w:val="6BFA4E1C"/>
    <w:rsid w:val="6C014605"/>
    <w:rsid w:val="6C352608"/>
    <w:rsid w:val="6C3C1DB9"/>
    <w:rsid w:val="6C501ABD"/>
    <w:rsid w:val="6C510463"/>
    <w:rsid w:val="6C5B32C3"/>
    <w:rsid w:val="6C614E73"/>
    <w:rsid w:val="6C791611"/>
    <w:rsid w:val="6C8C0317"/>
    <w:rsid w:val="6CB614CA"/>
    <w:rsid w:val="6CD94FA3"/>
    <w:rsid w:val="6CDC38E1"/>
    <w:rsid w:val="6CE25F27"/>
    <w:rsid w:val="6CF36A4D"/>
    <w:rsid w:val="6CF734C8"/>
    <w:rsid w:val="6D006713"/>
    <w:rsid w:val="6D3A1C97"/>
    <w:rsid w:val="6D486EB3"/>
    <w:rsid w:val="6D4B055D"/>
    <w:rsid w:val="6D505100"/>
    <w:rsid w:val="6D535020"/>
    <w:rsid w:val="6D764A26"/>
    <w:rsid w:val="6D7C4B54"/>
    <w:rsid w:val="6D8B3F55"/>
    <w:rsid w:val="6D933DE9"/>
    <w:rsid w:val="6DB14A65"/>
    <w:rsid w:val="6DC018DF"/>
    <w:rsid w:val="6DF25713"/>
    <w:rsid w:val="6DFA6592"/>
    <w:rsid w:val="6DFB30FF"/>
    <w:rsid w:val="6E075FAB"/>
    <w:rsid w:val="6E0D1E1C"/>
    <w:rsid w:val="6E1E1B7B"/>
    <w:rsid w:val="6E380FA8"/>
    <w:rsid w:val="6E3C1001"/>
    <w:rsid w:val="6E3C475D"/>
    <w:rsid w:val="6E3D504C"/>
    <w:rsid w:val="6E411EB5"/>
    <w:rsid w:val="6E456031"/>
    <w:rsid w:val="6E710DD5"/>
    <w:rsid w:val="6E7166DF"/>
    <w:rsid w:val="6E82487E"/>
    <w:rsid w:val="6F183548"/>
    <w:rsid w:val="6F3F3A0F"/>
    <w:rsid w:val="6F452498"/>
    <w:rsid w:val="6F455FA4"/>
    <w:rsid w:val="6F483C4F"/>
    <w:rsid w:val="6F5631F5"/>
    <w:rsid w:val="6F655F1E"/>
    <w:rsid w:val="6F6A4BCF"/>
    <w:rsid w:val="6F806309"/>
    <w:rsid w:val="6F90077E"/>
    <w:rsid w:val="6F9A060F"/>
    <w:rsid w:val="6FAE77D4"/>
    <w:rsid w:val="6FFD2796"/>
    <w:rsid w:val="70170652"/>
    <w:rsid w:val="70512FC1"/>
    <w:rsid w:val="706E25E1"/>
    <w:rsid w:val="707A51CB"/>
    <w:rsid w:val="708A7C7B"/>
    <w:rsid w:val="709A2858"/>
    <w:rsid w:val="709B1F8F"/>
    <w:rsid w:val="70BA6A92"/>
    <w:rsid w:val="70C6173E"/>
    <w:rsid w:val="70CD2F1F"/>
    <w:rsid w:val="70DF226A"/>
    <w:rsid w:val="710B2E9D"/>
    <w:rsid w:val="71200561"/>
    <w:rsid w:val="713D490B"/>
    <w:rsid w:val="714A6E3B"/>
    <w:rsid w:val="71600BC0"/>
    <w:rsid w:val="717A279E"/>
    <w:rsid w:val="71B97184"/>
    <w:rsid w:val="71BC028A"/>
    <w:rsid w:val="71D84AEE"/>
    <w:rsid w:val="71DE7435"/>
    <w:rsid w:val="71F370F9"/>
    <w:rsid w:val="71F82E24"/>
    <w:rsid w:val="71F96F08"/>
    <w:rsid w:val="72034733"/>
    <w:rsid w:val="72052097"/>
    <w:rsid w:val="720F5F22"/>
    <w:rsid w:val="721F29C0"/>
    <w:rsid w:val="72294EE9"/>
    <w:rsid w:val="722962CF"/>
    <w:rsid w:val="7238728D"/>
    <w:rsid w:val="725A53AE"/>
    <w:rsid w:val="7287433A"/>
    <w:rsid w:val="72895AF4"/>
    <w:rsid w:val="728A0701"/>
    <w:rsid w:val="728D1F57"/>
    <w:rsid w:val="72A561B8"/>
    <w:rsid w:val="72AC64F7"/>
    <w:rsid w:val="72BE532B"/>
    <w:rsid w:val="72C33299"/>
    <w:rsid w:val="72DD405F"/>
    <w:rsid w:val="72E230F6"/>
    <w:rsid w:val="72E77CD1"/>
    <w:rsid w:val="72F13498"/>
    <w:rsid w:val="731C4F61"/>
    <w:rsid w:val="732D21B8"/>
    <w:rsid w:val="732E17ED"/>
    <w:rsid w:val="732E626E"/>
    <w:rsid w:val="734070F9"/>
    <w:rsid w:val="735307D6"/>
    <w:rsid w:val="735F22C6"/>
    <w:rsid w:val="73706BDD"/>
    <w:rsid w:val="73767A92"/>
    <w:rsid w:val="737E150A"/>
    <w:rsid w:val="739979DE"/>
    <w:rsid w:val="739B274F"/>
    <w:rsid w:val="73AB5799"/>
    <w:rsid w:val="73AF1B86"/>
    <w:rsid w:val="73B64FD2"/>
    <w:rsid w:val="73C175B0"/>
    <w:rsid w:val="73D01735"/>
    <w:rsid w:val="73D64164"/>
    <w:rsid w:val="73D731DA"/>
    <w:rsid w:val="73D81FB4"/>
    <w:rsid w:val="73F24D41"/>
    <w:rsid w:val="73F63016"/>
    <w:rsid w:val="740D0CC8"/>
    <w:rsid w:val="743232DC"/>
    <w:rsid w:val="74557FE8"/>
    <w:rsid w:val="74563E77"/>
    <w:rsid w:val="749225CE"/>
    <w:rsid w:val="74AF4EB9"/>
    <w:rsid w:val="74E032CF"/>
    <w:rsid w:val="74EF4550"/>
    <w:rsid w:val="75083B63"/>
    <w:rsid w:val="750D5DB3"/>
    <w:rsid w:val="751F1AF5"/>
    <w:rsid w:val="752C1896"/>
    <w:rsid w:val="75303F5F"/>
    <w:rsid w:val="755E2A45"/>
    <w:rsid w:val="7578103D"/>
    <w:rsid w:val="758A3D97"/>
    <w:rsid w:val="75D83163"/>
    <w:rsid w:val="76066B47"/>
    <w:rsid w:val="76076360"/>
    <w:rsid w:val="760C584D"/>
    <w:rsid w:val="76304C60"/>
    <w:rsid w:val="763836BC"/>
    <w:rsid w:val="763D3476"/>
    <w:rsid w:val="7654072D"/>
    <w:rsid w:val="765B33A5"/>
    <w:rsid w:val="765F0C6E"/>
    <w:rsid w:val="76655CA7"/>
    <w:rsid w:val="769A2589"/>
    <w:rsid w:val="76A5267F"/>
    <w:rsid w:val="76A52DDF"/>
    <w:rsid w:val="76A54306"/>
    <w:rsid w:val="76AA336D"/>
    <w:rsid w:val="76AC65F9"/>
    <w:rsid w:val="76B420E0"/>
    <w:rsid w:val="76C83B0F"/>
    <w:rsid w:val="76C9596D"/>
    <w:rsid w:val="76D773C2"/>
    <w:rsid w:val="76F12926"/>
    <w:rsid w:val="76FE4AF9"/>
    <w:rsid w:val="770C14DD"/>
    <w:rsid w:val="773E17C4"/>
    <w:rsid w:val="774B5797"/>
    <w:rsid w:val="77504EE8"/>
    <w:rsid w:val="77637565"/>
    <w:rsid w:val="7780033C"/>
    <w:rsid w:val="778C0DDA"/>
    <w:rsid w:val="77A86442"/>
    <w:rsid w:val="77A973F9"/>
    <w:rsid w:val="77C21516"/>
    <w:rsid w:val="77C67F18"/>
    <w:rsid w:val="77DE6227"/>
    <w:rsid w:val="78053683"/>
    <w:rsid w:val="78163020"/>
    <w:rsid w:val="782106C4"/>
    <w:rsid w:val="785A12D2"/>
    <w:rsid w:val="786E543D"/>
    <w:rsid w:val="78831AD5"/>
    <w:rsid w:val="788C7138"/>
    <w:rsid w:val="789346DF"/>
    <w:rsid w:val="789F66F6"/>
    <w:rsid w:val="78A97F6E"/>
    <w:rsid w:val="78AD67BA"/>
    <w:rsid w:val="78C35746"/>
    <w:rsid w:val="78CF5F74"/>
    <w:rsid w:val="78E16E62"/>
    <w:rsid w:val="78E41D72"/>
    <w:rsid w:val="78EA089C"/>
    <w:rsid w:val="790A277D"/>
    <w:rsid w:val="7911419A"/>
    <w:rsid w:val="792514E7"/>
    <w:rsid w:val="79274042"/>
    <w:rsid w:val="79275343"/>
    <w:rsid w:val="792C05CA"/>
    <w:rsid w:val="79486FA1"/>
    <w:rsid w:val="794D12B1"/>
    <w:rsid w:val="79586B2A"/>
    <w:rsid w:val="796F5178"/>
    <w:rsid w:val="797C5B44"/>
    <w:rsid w:val="79A21CD7"/>
    <w:rsid w:val="79D90AA8"/>
    <w:rsid w:val="7A0E0607"/>
    <w:rsid w:val="7A2F0EDD"/>
    <w:rsid w:val="7A395B71"/>
    <w:rsid w:val="7A42496F"/>
    <w:rsid w:val="7A4D1022"/>
    <w:rsid w:val="7A7307E5"/>
    <w:rsid w:val="7A7E74BB"/>
    <w:rsid w:val="7AA22B55"/>
    <w:rsid w:val="7ACD4311"/>
    <w:rsid w:val="7AD106B6"/>
    <w:rsid w:val="7AD6246C"/>
    <w:rsid w:val="7ADB4EC7"/>
    <w:rsid w:val="7AEB3D23"/>
    <w:rsid w:val="7AED2CD8"/>
    <w:rsid w:val="7AEF3D0B"/>
    <w:rsid w:val="7AF30591"/>
    <w:rsid w:val="7AF30DB1"/>
    <w:rsid w:val="7AF50956"/>
    <w:rsid w:val="7AF861DF"/>
    <w:rsid w:val="7B080B55"/>
    <w:rsid w:val="7B1F1076"/>
    <w:rsid w:val="7B23447D"/>
    <w:rsid w:val="7B2B65BF"/>
    <w:rsid w:val="7B375AC1"/>
    <w:rsid w:val="7B470D59"/>
    <w:rsid w:val="7B5C4800"/>
    <w:rsid w:val="7B70598B"/>
    <w:rsid w:val="7B974F1B"/>
    <w:rsid w:val="7BA971BC"/>
    <w:rsid w:val="7BBF4739"/>
    <w:rsid w:val="7BC6023C"/>
    <w:rsid w:val="7BE051B7"/>
    <w:rsid w:val="7BE1140B"/>
    <w:rsid w:val="7C161B44"/>
    <w:rsid w:val="7C2E657D"/>
    <w:rsid w:val="7C566E9A"/>
    <w:rsid w:val="7C6879AC"/>
    <w:rsid w:val="7C9053FE"/>
    <w:rsid w:val="7C9B5E0C"/>
    <w:rsid w:val="7CA12F07"/>
    <w:rsid w:val="7CA658E7"/>
    <w:rsid w:val="7CA6692F"/>
    <w:rsid w:val="7CAD10C8"/>
    <w:rsid w:val="7CB642DB"/>
    <w:rsid w:val="7CBB653A"/>
    <w:rsid w:val="7CC35394"/>
    <w:rsid w:val="7CC76382"/>
    <w:rsid w:val="7CD61A96"/>
    <w:rsid w:val="7CDA3368"/>
    <w:rsid w:val="7CE34D6B"/>
    <w:rsid w:val="7CEE178B"/>
    <w:rsid w:val="7CF04DB7"/>
    <w:rsid w:val="7D1D3E21"/>
    <w:rsid w:val="7D226FA9"/>
    <w:rsid w:val="7D36076C"/>
    <w:rsid w:val="7D445205"/>
    <w:rsid w:val="7D4663C8"/>
    <w:rsid w:val="7D656098"/>
    <w:rsid w:val="7D691022"/>
    <w:rsid w:val="7D700F66"/>
    <w:rsid w:val="7D8908B7"/>
    <w:rsid w:val="7D9333EF"/>
    <w:rsid w:val="7DB72A8E"/>
    <w:rsid w:val="7DE82621"/>
    <w:rsid w:val="7DFA3E21"/>
    <w:rsid w:val="7E1517A2"/>
    <w:rsid w:val="7E227A43"/>
    <w:rsid w:val="7E2A31C4"/>
    <w:rsid w:val="7E3B6FBA"/>
    <w:rsid w:val="7E4003A7"/>
    <w:rsid w:val="7E413D40"/>
    <w:rsid w:val="7E612023"/>
    <w:rsid w:val="7E696830"/>
    <w:rsid w:val="7E7D087A"/>
    <w:rsid w:val="7E886DBB"/>
    <w:rsid w:val="7E8E4111"/>
    <w:rsid w:val="7EAD6D5B"/>
    <w:rsid w:val="7EC77A27"/>
    <w:rsid w:val="7ECB0EF1"/>
    <w:rsid w:val="7EFC6C1D"/>
    <w:rsid w:val="7F027E45"/>
    <w:rsid w:val="7F0F0409"/>
    <w:rsid w:val="7F256945"/>
    <w:rsid w:val="7F3C1D50"/>
    <w:rsid w:val="7F46291C"/>
    <w:rsid w:val="7F494AC5"/>
    <w:rsid w:val="7F577CF0"/>
    <w:rsid w:val="7F63067D"/>
    <w:rsid w:val="7F6F5DC4"/>
    <w:rsid w:val="7F8A5085"/>
    <w:rsid w:val="7F904796"/>
    <w:rsid w:val="7F9C5243"/>
    <w:rsid w:val="7FB83059"/>
    <w:rsid w:val="7FC416B6"/>
    <w:rsid w:val="7FEF1A09"/>
    <w:rsid w:val="7FFA6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3"/>
    <w:basedOn w:val="1"/>
    <w:next w:val="1"/>
    <w:link w:val="21"/>
    <w:unhideWhenUsed/>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5">
    <w:name w:val="Balloon Text"/>
    <w:basedOn w:val="1"/>
    <w:link w:val="18"/>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9">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customStyle="1" w:styleId="14">
    <w:name w:val="标题 3 字符"/>
    <w:basedOn w:val="12"/>
    <w:qFormat/>
    <w:uiPriority w:val="0"/>
    <w:rPr>
      <w:b/>
      <w:bCs/>
      <w:sz w:val="32"/>
      <w:szCs w:val="32"/>
    </w:rPr>
  </w:style>
  <w:style w:type="character" w:customStyle="1" w:styleId="15">
    <w:name w:val="标题 3 Char1"/>
    <w:qFormat/>
    <w:uiPriority w:val="0"/>
    <w:rPr>
      <w:rFonts w:ascii="Times New Roman" w:hAnsi="Times New Roman" w:eastAsia="黑体" w:cs="Times New Roman"/>
      <w:sz w:val="32"/>
      <w:szCs w:val="24"/>
    </w:rPr>
  </w:style>
  <w:style w:type="character" w:customStyle="1" w:styleId="16">
    <w:name w:val="标题 3 字符1"/>
    <w:basedOn w:val="12"/>
    <w:qFormat/>
    <w:uiPriority w:val="0"/>
    <w:rPr>
      <w:rFonts w:eastAsia="黑体"/>
      <w:sz w:val="32"/>
    </w:rPr>
  </w:style>
  <w:style w:type="character" w:customStyle="1" w:styleId="17">
    <w:name w:val="标题 3 字符2"/>
    <w:basedOn w:val="12"/>
    <w:qFormat/>
    <w:uiPriority w:val="0"/>
    <w:rPr>
      <w:rFonts w:eastAsia="黑体"/>
      <w:sz w:val="32"/>
    </w:rPr>
  </w:style>
  <w:style w:type="character" w:customStyle="1" w:styleId="18">
    <w:name w:val="批注框文本 Char"/>
    <w:basedOn w:val="12"/>
    <w:link w:val="5"/>
    <w:qFormat/>
    <w:uiPriority w:val="0"/>
    <w:rPr>
      <w:rFonts w:ascii="Calibri" w:hAnsi="Calibri" w:cs="宋体"/>
      <w:kern w:val="2"/>
      <w:sz w:val="18"/>
      <w:szCs w:val="18"/>
    </w:rPr>
  </w:style>
  <w:style w:type="paragraph" w:customStyle="1" w:styleId="19">
    <w:name w:val="列表段落1"/>
    <w:basedOn w:val="1"/>
    <w:qFormat/>
    <w:uiPriority w:val="99"/>
    <w:pPr>
      <w:ind w:firstLine="420" w:firstLineChars="200"/>
    </w:pPr>
  </w:style>
  <w:style w:type="character" w:customStyle="1" w:styleId="20">
    <w:name w:val="标题 3 字符3"/>
    <w:link w:val="2"/>
    <w:qFormat/>
    <w:uiPriority w:val="0"/>
    <w:rPr>
      <w:rFonts w:eastAsia="黑体"/>
      <w:sz w:val="32"/>
    </w:rPr>
  </w:style>
  <w:style w:type="character" w:customStyle="1" w:styleId="21">
    <w:name w:val="标题 3 Char"/>
    <w:link w:val="2"/>
    <w:qFormat/>
    <w:uiPriority w:val="0"/>
    <w:rPr>
      <w:rFonts w:eastAsia="黑体"/>
      <w:kern w:val="0"/>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7\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581382-5B6E-4D44-8198-2468D3A0BACA}">
  <ds:schemaRefs/>
</ds:datastoreItem>
</file>

<file path=docProps/app.xml><?xml version="1.0" encoding="utf-8"?>
<Properties xmlns="http://schemas.openxmlformats.org/officeDocument/2006/extended-properties" xmlns:vt="http://schemas.openxmlformats.org/officeDocument/2006/docPropsVTypes">
  <Template>0</Template>
  <Pages>25</Pages>
  <Words>1809</Words>
  <Characters>10313</Characters>
  <Lines>85</Lines>
  <Paragraphs>24</Paragraphs>
  <TotalTime>7</TotalTime>
  <ScaleCrop>false</ScaleCrop>
  <LinksUpToDate>false</LinksUpToDate>
  <CharactersWithSpaces>12098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2018-09-07T08:27:00Z</dcterms:created>
  <dc:creator>朱亚楠</dc:creator>
  <cp:lastModifiedBy>07</cp:lastModifiedBy>
  <cp:lastPrinted>2019-04-27T09:34:00Z</cp:lastPrinted>
  <dcterms:modified xsi:type="dcterms:W3CDTF">2019-04-29T08:33:21Z</dcterms:modified>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