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仿宋" w:hAnsi="仿宋" w:eastAsia="仿宋" w:cs="宋体"/>
          <w:b/>
          <w:sz w:val="32"/>
          <w:szCs w:val="32"/>
        </w:rPr>
      </w:pPr>
    </w:p>
    <w:p>
      <w:pPr>
        <w:spacing w:line="579" w:lineRule="exact"/>
        <w:jc w:val="center"/>
        <w:rPr>
          <w:rFonts w:hint="eastAsia" w:ascii="宋体" w:hAnsi="宋体" w:cs="宋体"/>
          <w:b/>
          <w:sz w:val="44"/>
          <w:szCs w:val="44"/>
        </w:rPr>
      </w:pPr>
      <w:r>
        <w:rPr>
          <w:rFonts w:hint="eastAsia" w:ascii="宋体" w:hAnsi="宋体" w:cs="宋体"/>
          <w:b/>
          <w:sz w:val="44"/>
          <w:szCs w:val="44"/>
        </w:rPr>
        <w:t>深圳市社会投资建设项目报建登记</w:t>
      </w:r>
    </w:p>
    <w:p>
      <w:pPr>
        <w:spacing w:line="579" w:lineRule="exact"/>
        <w:jc w:val="center"/>
        <w:rPr>
          <w:rFonts w:hint="eastAsia" w:ascii="宋体" w:hAnsi="宋体" w:cs="宋体"/>
          <w:b/>
          <w:sz w:val="44"/>
          <w:szCs w:val="44"/>
        </w:rPr>
      </w:pPr>
      <w:r>
        <w:rPr>
          <w:rFonts w:hint="eastAsia" w:ascii="宋体" w:hAnsi="宋体" w:cs="宋体"/>
          <w:b/>
          <w:sz w:val="44"/>
          <w:szCs w:val="44"/>
        </w:rPr>
        <w:t>实施办法</w:t>
      </w:r>
    </w:p>
    <w:p>
      <w:pPr>
        <w:spacing w:line="579" w:lineRule="exact"/>
        <w:jc w:val="center"/>
        <w:rPr>
          <w:rFonts w:ascii="仿宋" w:hAnsi="仿宋" w:eastAsia="仿宋" w:cs="宋体"/>
          <w:sz w:val="32"/>
          <w:szCs w:val="32"/>
        </w:rPr>
      </w:pPr>
      <w:r>
        <w:rPr>
          <w:rFonts w:hint="eastAsia" w:ascii="仿宋" w:hAnsi="仿宋" w:eastAsia="仿宋" w:cs="宋体"/>
          <w:b w:val="0"/>
          <w:sz w:val="32"/>
          <w:szCs w:val="32"/>
        </w:rPr>
        <w:t>（征求意见稿）</w:t>
      </w:r>
    </w:p>
    <w:p>
      <w:pPr>
        <w:spacing w:line="579" w:lineRule="exact"/>
        <w:rPr>
          <w:rFonts w:ascii="仿宋" w:hAnsi="仿宋" w:eastAsia="仿宋" w:cs="Noto Sans Mono CJK KR Regular"/>
          <w:b w:val="0"/>
          <w:iCs/>
          <w:kern w:val="0"/>
          <w:sz w:val="32"/>
          <w:szCs w:val="32"/>
        </w:rPr>
      </w:pPr>
    </w:p>
    <w:p>
      <w:pPr>
        <w:spacing w:before="156" w:beforeLines="50" w:after="156" w:afterLines="50" w:line="579" w:lineRule="exact"/>
        <w:jc w:val="center"/>
        <w:rPr>
          <w:rFonts w:ascii="黑体" w:hAnsi="黑体" w:eastAsia="黑体" w:cs="黑体"/>
          <w:bCs/>
          <w:iCs/>
          <w:kern w:val="0"/>
          <w:sz w:val="32"/>
          <w:szCs w:val="32"/>
        </w:rPr>
      </w:pPr>
      <w:r>
        <w:rPr>
          <w:rFonts w:hint="eastAsia" w:ascii="黑体" w:hAnsi="黑体" w:eastAsia="黑体" w:cs="黑体"/>
          <w:bCs/>
          <w:iCs/>
          <w:kern w:val="0"/>
          <w:sz w:val="32"/>
          <w:szCs w:val="32"/>
        </w:rPr>
        <w:t>第一章  总则</w:t>
      </w:r>
    </w:p>
    <w:p>
      <w:pPr>
        <w:spacing w:before="156" w:beforeLines="50" w:after="156" w:afterLines="50" w:line="579" w:lineRule="exact"/>
        <w:ind w:firstLine="640" w:firstLineChars="200"/>
        <w:rPr>
          <w:rFonts w:hint="eastAsia" w:ascii="仿宋_GB2312" w:hAnsi="仿宋" w:eastAsia="仿宋_GB2312" w:cs="仿宋"/>
          <w:sz w:val="32"/>
          <w:szCs w:val="32"/>
        </w:rPr>
      </w:pPr>
      <w:r>
        <w:rPr>
          <w:rFonts w:hint="eastAsia" w:ascii="黑体" w:hAnsi="黑体" w:eastAsia="黑体" w:cs="黑体"/>
          <w:bCs/>
          <w:iCs/>
          <w:kern w:val="0"/>
          <w:sz w:val="32"/>
          <w:szCs w:val="32"/>
        </w:rPr>
        <w:t xml:space="preserve">第一条  </w:t>
      </w:r>
      <w:r>
        <w:rPr>
          <w:rFonts w:hint="eastAsia" w:ascii="仿宋_GB2312" w:hAnsi="仿宋" w:eastAsia="仿宋_GB2312" w:cs="Noto Sans Mono CJK KR Regular"/>
          <w:iCs/>
          <w:kern w:val="0"/>
          <w:sz w:val="32"/>
          <w:szCs w:val="32"/>
        </w:rPr>
        <w:t>为营造最优营商环境，推动经济社会高质量</w:t>
      </w:r>
      <w:r>
        <w:rPr>
          <w:rFonts w:hint="eastAsia" w:ascii="仿宋_GB2312" w:hAnsi="仿宋" w:eastAsia="仿宋_GB2312" w:cs="黑体"/>
          <w:bCs/>
          <w:iCs/>
          <w:kern w:val="0"/>
          <w:sz w:val="32"/>
          <w:szCs w:val="32"/>
        </w:rPr>
        <w:t>发展</w:t>
      </w:r>
      <w:r>
        <w:rPr>
          <w:rFonts w:hint="eastAsia" w:ascii="仿宋_GB2312" w:hAnsi="仿宋" w:eastAsia="仿宋_GB2312" w:cs="Noto Sans Mono CJK KR Regular"/>
          <w:iCs/>
          <w:kern w:val="0"/>
          <w:sz w:val="32"/>
          <w:szCs w:val="32"/>
        </w:rPr>
        <w:t>，遵循</w:t>
      </w:r>
      <w:r>
        <w:rPr>
          <w:rFonts w:hint="eastAsia" w:ascii="仿宋_GB2312" w:hAnsi="仿宋" w:eastAsia="仿宋_GB2312" w:cs="仿宋_GB2312"/>
          <w:sz w:val="32"/>
          <w:szCs w:val="32"/>
        </w:rPr>
        <w:t>基本建设规律，</w:t>
      </w:r>
      <w:r>
        <w:rPr>
          <w:rFonts w:hint="eastAsia" w:ascii="仿宋_GB2312" w:hAnsi="仿宋" w:eastAsia="仿宋_GB2312" w:cs="Noto Sans Mono CJK KR Regular"/>
          <w:iCs/>
          <w:kern w:val="0"/>
          <w:sz w:val="32"/>
          <w:szCs w:val="32"/>
        </w:rPr>
        <w:t>以项目高效顺畅报建为核心，</w:t>
      </w:r>
      <w:r>
        <w:rPr>
          <w:rFonts w:hint="eastAsia" w:ascii="仿宋_GB2312" w:hAnsi="仿宋" w:eastAsia="仿宋_GB2312" w:cs="仿宋_GB2312"/>
          <w:sz w:val="32"/>
          <w:szCs w:val="32"/>
        </w:rPr>
        <w:t>着力构建便宜、高效的全覆盖</w:t>
      </w:r>
      <w:r>
        <w:rPr>
          <w:rFonts w:hint="eastAsia" w:ascii="仿宋_GB2312" w:hAnsi="仿宋" w:eastAsia="仿宋_GB2312" w:cs="仿宋"/>
          <w:sz w:val="32"/>
          <w:szCs w:val="32"/>
        </w:rPr>
        <w:t>、全流程社会投资建设项目报建登</w:t>
      </w:r>
    </w:p>
    <w:p>
      <w:pPr>
        <w:spacing w:before="156" w:beforeLines="50" w:after="156" w:afterLines="50" w:line="579" w:lineRule="exact"/>
        <w:ind w:firstLine="0" w:firstLineChars="0"/>
        <w:rPr>
          <w:rFonts w:hint="eastAsia" w:ascii="仿宋_GB2312" w:hAnsi="仿宋" w:eastAsia="仿宋_GB2312" w:cs="仿宋"/>
          <w:sz w:val="32"/>
          <w:szCs w:val="32"/>
        </w:rPr>
      </w:pPr>
      <w:r>
        <w:rPr>
          <w:rFonts w:hint="eastAsia" w:ascii="仿宋_GB2312" w:hAnsi="仿宋" w:eastAsia="仿宋_GB2312" w:cs="仿宋"/>
          <w:sz w:val="32"/>
          <w:szCs w:val="32"/>
        </w:rPr>
        <w:t>记办理流程，</w:t>
      </w:r>
      <w:r>
        <w:rPr>
          <w:rFonts w:hint="eastAsia" w:ascii="仿宋_GB2312" w:hAnsi="仿宋" w:eastAsia="仿宋_GB2312" w:cs="Noto Sans Mono CJK KR Regular"/>
          <w:iCs/>
          <w:kern w:val="0"/>
          <w:sz w:val="32"/>
          <w:szCs w:val="32"/>
        </w:rPr>
        <w:t>结合本市实际，制定本办法。</w:t>
      </w:r>
    </w:p>
    <w:p>
      <w:pPr>
        <w:spacing w:line="579" w:lineRule="exact"/>
        <w:ind w:firstLine="640" w:firstLineChars="200"/>
        <w:rPr>
          <w:rFonts w:hint="eastAsia" w:ascii="仿宋_GB2312" w:hAnsi="仿宋" w:eastAsia="仿宋_GB2312" w:cs="黑体"/>
          <w:bCs/>
          <w:sz w:val="32"/>
          <w:szCs w:val="32"/>
        </w:rPr>
      </w:pPr>
      <w:r>
        <w:rPr>
          <w:rFonts w:hint="eastAsia" w:ascii="黑体" w:hAnsi="黑体" w:eastAsia="黑体" w:cs="黑体"/>
          <w:b w:val="0"/>
          <w:bCs/>
          <w:iCs/>
          <w:kern w:val="0"/>
          <w:sz w:val="32"/>
          <w:szCs w:val="32"/>
        </w:rPr>
        <w:t>第二条</w:t>
      </w:r>
      <w:r>
        <w:rPr>
          <w:rFonts w:hint="eastAsia" w:ascii="黑体" w:hAnsi="黑体" w:eastAsia="黑体" w:cs="黑体"/>
          <w:bCs/>
          <w:iCs/>
          <w:kern w:val="0"/>
          <w:sz w:val="32"/>
          <w:szCs w:val="32"/>
        </w:rPr>
        <w:t xml:space="preserve">  </w:t>
      </w:r>
      <w:r>
        <w:rPr>
          <w:rFonts w:hint="eastAsia" w:ascii="仿宋_GB2312" w:hAnsi="仿宋" w:eastAsia="仿宋_GB2312" w:cs="黑体"/>
          <w:bCs/>
          <w:sz w:val="32"/>
          <w:szCs w:val="32"/>
        </w:rPr>
        <w:t>本办法适用于在深圳市行政区域内利用社会资本开展的新建、改建、扩建的建设项目，实行核准管理的项目除外。</w:t>
      </w:r>
    </w:p>
    <w:p>
      <w:pPr>
        <w:tabs>
          <w:tab w:val="left" w:pos="1134"/>
        </w:tabs>
        <w:spacing w:line="579" w:lineRule="exact"/>
        <w:ind w:firstLine="627" w:firstLineChars="196"/>
        <w:rPr>
          <w:rFonts w:hint="eastAsia" w:ascii="仿宋_GB2312" w:hAnsi="仿宋" w:eastAsia="仿宋_GB2312"/>
          <w:sz w:val="32"/>
          <w:szCs w:val="32"/>
        </w:rPr>
      </w:pPr>
      <w:r>
        <w:rPr>
          <w:rFonts w:hint="eastAsia" w:ascii="黑体" w:hAnsi="黑体" w:eastAsia="黑体" w:cs="黑体"/>
          <w:b w:val="0"/>
          <w:bCs/>
          <w:iCs/>
          <w:kern w:val="0"/>
          <w:sz w:val="32"/>
          <w:szCs w:val="32"/>
        </w:rPr>
        <w:t>第三条</w:t>
      </w:r>
      <w:r>
        <w:rPr>
          <w:rFonts w:hint="eastAsia" w:ascii="仿宋" w:hAnsi="仿宋" w:eastAsia="仿宋"/>
          <w:b/>
          <w:sz w:val="32"/>
          <w:szCs w:val="32"/>
        </w:rPr>
        <w:t xml:space="preserve">  </w:t>
      </w:r>
      <w:r>
        <w:rPr>
          <w:rFonts w:hint="eastAsia" w:ascii="仿宋_GB2312" w:hAnsi="仿宋" w:eastAsia="仿宋_GB2312" w:cs="黑体"/>
          <w:sz w:val="32"/>
          <w:szCs w:val="32"/>
        </w:rPr>
        <w:t>在</w:t>
      </w:r>
      <w:r>
        <w:rPr>
          <w:rFonts w:hint="eastAsia" w:ascii="仿宋_GB2312" w:hAnsi="仿宋" w:eastAsia="仿宋_GB2312" w:cs="仿宋"/>
          <w:sz w:val="32"/>
          <w:szCs w:val="32"/>
        </w:rPr>
        <w:t>社会投资</w:t>
      </w:r>
      <w:r>
        <w:rPr>
          <w:rFonts w:hint="eastAsia" w:ascii="仿宋_GB2312" w:hAnsi="仿宋" w:eastAsia="仿宋_GB2312"/>
          <w:sz w:val="32"/>
          <w:szCs w:val="32"/>
        </w:rPr>
        <w:t>建设项目报建登记办理中，政府部门应按照主动服务、优化审批、改进方式、放管并重的原则，</w:t>
      </w:r>
      <w:r>
        <w:rPr>
          <w:rFonts w:hint="eastAsia" w:ascii="仿宋_GB2312" w:hAnsi="仿宋" w:eastAsia="仿宋_GB2312" w:cs="黑体"/>
          <w:sz w:val="32"/>
          <w:szCs w:val="32"/>
        </w:rPr>
        <w:t>及时了解建设项目进展情况和相关部门发送的项目信息、需求和意见，强化咨询服务，主动指导、协同推进</w:t>
      </w:r>
      <w:r>
        <w:rPr>
          <w:rFonts w:hint="eastAsia" w:ascii="仿宋_GB2312" w:hAnsi="仿宋" w:eastAsia="仿宋_GB2312" w:cs="仿宋"/>
          <w:sz w:val="32"/>
          <w:szCs w:val="32"/>
        </w:rPr>
        <w:t>项目单位在</w:t>
      </w:r>
      <w:r>
        <w:rPr>
          <w:rFonts w:hint="eastAsia" w:ascii="仿宋_GB2312" w:hAnsi="仿宋" w:eastAsia="仿宋_GB2312" w:cs="黑体"/>
          <w:sz w:val="32"/>
          <w:szCs w:val="32"/>
        </w:rPr>
        <w:t>报建登记中的问题，涉及国家、省的审批事权要积极帮助协调</w:t>
      </w:r>
      <w:r>
        <w:rPr>
          <w:rFonts w:hint="eastAsia" w:ascii="仿宋_GB2312" w:hAnsi="仿宋" w:eastAsia="仿宋_GB2312"/>
          <w:sz w:val="32"/>
          <w:szCs w:val="32"/>
        </w:rPr>
        <w:t>。</w:t>
      </w:r>
    </w:p>
    <w:p>
      <w:pPr>
        <w:tabs>
          <w:tab w:val="left" w:pos="1134"/>
        </w:tabs>
        <w:spacing w:line="579" w:lineRule="exact"/>
        <w:ind w:firstLine="627" w:firstLineChars="196"/>
        <w:rPr>
          <w:rFonts w:hint="eastAsia" w:ascii="仿宋" w:hAnsi="仿宋" w:eastAsia="仿宋"/>
          <w:sz w:val="32"/>
          <w:szCs w:val="32"/>
        </w:rPr>
      </w:pPr>
      <w:r>
        <w:rPr>
          <w:rFonts w:hint="eastAsia" w:ascii="黑体" w:hAnsi="黑体" w:eastAsia="黑体" w:cs="黑体"/>
          <w:b w:val="0"/>
          <w:bCs/>
          <w:iCs/>
          <w:kern w:val="0"/>
          <w:sz w:val="32"/>
          <w:szCs w:val="32"/>
        </w:rPr>
        <w:t>第四条</w:t>
      </w:r>
      <w:r>
        <w:rPr>
          <w:rFonts w:hint="eastAsia" w:ascii="黑体" w:hAnsi="黑体" w:eastAsia="黑体" w:cs="黑体"/>
          <w:bCs/>
          <w:iCs/>
          <w:kern w:val="0"/>
          <w:sz w:val="32"/>
          <w:szCs w:val="32"/>
        </w:rPr>
        <w:t xml:space="preserve">  </w:t>
      </w:r>
      <w:r>
        <w:rPr>
          <w:rFonts w:hint="eastAsia" w:ascii="仿宋_GB2312" w:hAnsi="仿宋" w:eastAsia="仿宋_GB2312"/>
          <w:sz w:val="32"/>
          <w:szCs w:val="32"/>
        </w:rPr>
        <w:t>严禁在公布的审批事项目录之外擅自增加、拆分审批事项、审批条件，严禁擅自延长办理时限，严禁在审批信息系统之外业务流转、体外循环。</w:t>
      </w:r>
    </w:p>
    <w:p>
      <w:pPr>
        <w:tabs>
          <w:tab w:val="left" w:pos="1134"/>
        </w:tabs>
        <w:spacing w:line="579"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凡实行</w:t>
      </w:r>
      <w:r>
        <w:rPr>
          <w:rFonts w:hint="eastAsia" w:ascii="仿宋_GB2312" w:hAnsi="仿宋" w:eastAsia="仿宋_GB2312" w:cs="仿宋"/>
          <w:bCs/>
          <w:sz w:val="32"/>
          <w:szCs w:val="32"/>
        </w:rPr>
        <w:t>告知性备案管理的事项，实行收件确认，无需出具审批意见，项目单位对所申报备案材料的真实性、有效性负责，审批部门对备案内容承担检查管理职责。</w:t>
      </w:r>
    </w:p>
    <w:p>
      <w:pPr>
        <w:tabs>
          <w:tab w:val="left" w:pos="1134"/>
        </w:tabs>
        <w:spacing w:line="579"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改变以批代管的观念和模式，加强事中事后监管，严格违法违规惩戒，守住项目建设的质量、安全和廉洁廉政的底线。</w:t>
      </w:r>
    </w:p>
    <w:p>
      <w:pPr>
        <w:spacing w:line="579" w:lineRule="exact"/>
        <w:ind w:firstLine="640" w:firstLineChars="200"/>
        <w:rPr>
          <w:rFonts w:hint="eastAsia" w:ascii="仿宋_GB2312" w:hAnsi="仿宋" w:eastAsia="仿宋_GB2312" w:cs="仿宋"/>
          <w:bCs/>
          <w:sz w:val="32"/>
          <w:szCs w:val="32"/>
        </w:rPr>
      </w:pPr>
      <w:r>
        <w:rPr>
          <w:rFonts w:hint="eastAsia" w:ascii="黑体" w:hAnsi="黑体" w:eastAsia="黑体" w:cs="黑体"/>
          <w:b w:val="0"/>
          <w:bCs/>
          <w:iCs/>
          <w:kern w:val="0"/>
          <w:sz w:val="32"/>
          <w:szCs w:val="32"/>
        </w:rPr>
        <w:t>第五条</w:t>
      </w:r>
      <w:r>
        <w:rPr>
          <w:rFonts w:hint="eastAsia" w:ascii="黑体" w:hAnsi="黑体" w:eastAsia="黑体" w:cs="黑体"/>
          <w:bCs/>
          <w:iCs/>
          <w:kern w:val="0"/>
          <w:sz w:val="32"/>
          <w:szCs w:val="32"/>
        </w:rPr>
        <w:t xml:space="preserve"> </w:t>
      </w:r>
      <w:r>
        <w:rPr>
          <w:rFonts w:hint="eastAsia" w:ascii="仿宋_GB2312" w:hAnsi="黑体" w:eastAsia="仿宋_GB2312" w:cs="黑体"/>
          <w:bCs/>
          <w:iCs/>
          <w:kern w:val="0"/>
          <w:sz w:val="32"/>
          <w:szCs w:val="32"/>
        </w:rPr>
        <w:t xml:space="preserve"> </w:t>
      </w:r>
      <w:r>
        <w:rPr>
          <w:rFonts w:hint="eastAsia" w:ascii="仿宋_GB2312" w:hAnsi="仿宋" w:eastAsia="仿宋_GB2312" w:cs="仿宋"/>
          <w:bCs/>
          <w:sz w:val="32"/>
          <w:szCs w:val="32"/>
        </w:rPr>
        <w:t>投资项目</w:t>
      </w:r>
      <w:r>
        <w:rPr>
          <w:rFonts w:hint="eastAsia" w:ascii="仿宋_GB2312" w:hAnsi="仿宋" w:eastAsia="仿宋_GB2312"/>
          <w:sz w:val="32"/>
          <w:szCs w:val="32"/>
        </w:rPr>
        <w:t>在线审批监管平台</w:t>
      </w:r>
      <w:r>
        <w:rPr>
          <w:rFonts w:hint="eastAsia" w:ascii="仿宋_GB2312" w:hAnsi="仿宋" w:eastAsia="仿宋_GB2312" w:cs="仿宋"/>
          <w:bCs/>
          <w:sz w:val="32"/>
          <w:szCs w:val="32"/>
        </w:rPr>
        <w:t>作为广东省网上办事大厅深圳分厅的在线受理系统</w:t>
      </w:r>
      <w:r>
        <w:rPr>
          <w:rFonts w:hint="eastAsia" w:ascii="仿宋_GB2312" w:hAnsi="仿宋" w:eastAsia="仿宋_GB2312" w:cs="黑体"/>
          <w:sz w:val="32"/>
          <w:szCs w:val="32"/>
        </w:rPr>
        <w:t>，</w:t>
      </w:r>
      <w:r>
        <w:rPr>
          <w:rFonts w:hint="eastAsia" w:ascii="仿宋_GB2312" w:hAnsi="仿宋" w:eastAsia="仿宋_GB2312"/>
          <w:sz w:val="32"/>
          <w:szCs w:val="32"/>
        </w:rPr>
        <w:t>满足项目单位、审批部门、中介机构等多方共同使用的需求，</w:t>
      </w:r>
      <w:r>
        <w:rPr>
          <w:rFonts w:hint="eastAsia" w:ascii="仿宋_GB2312" w:hAnsi="仿宋" w:eastAsia="仿宋_GB2312" w:cs="仿宋"/>
          <w:bCs/>
          <w:sz w:val="32"/>
          <w:szCs w:val="32"/>
        </w:rPr>
        <w:t>是全市唯一的建设项目施工报建事项办理的跨部门协同平台，实行统一受理、并联审批、实时流转、跟踪查询、信息共享</w:t>
      </w:r>
      <w:r>
        <w:rPr>
          <w:rFonts w:hint="eastAsia" w:ascii="仿宋_GB2312" w:hAnsi="仿宋" w:eastAsia="仿宋_GB2312"/>
          <w:sz w:val="32"/>
          <w:szCs w:val="32"/>
        </w:rPr>
        <w:t>。</w:t>
      </w:r>
      <w:r>
        <w:rPr>
          <w:rFonts w:hint="eastAsia" w:ascii="仿宋_GB2312" w:hAnsi="仿宋" w:eastAsia="仿宋_GB2312" w:cs="黑体"/>
          <w:sz w:val="32"/>
          <w:szCs w:val="32"/>
        </w:rPr>
        <w:t>积极引导项目单位网上申报、在线办理</w:t>
      </w:r>
      <w:r>
        <w:rPr>
          <w:rFonts w:hint="eastAsia" w:ascii="仿宋_GB2312" w:hAnsi="仿宋" w:eastAsia="仿宋_GB2312" w:cs="仿宋"/>
          <w:bCs/>
          <w:sz w:val="32"/>
          <w:szCs w:val="32"/>
        </w:rPr>
        <w:t>。</w:t>
      </w:r>
    </w:p>
    <w:p>
      <w:pPr>
        <w:spacing w:line="579" w:lineRule="exact"/>
        <w:ind w:firstLine="640" w:firstLineChars="200"/>
        <w:rPr>
          <w:rFonts w:hint="eastAsia" w:ascii="仿宋_GB2312" w:hAnsi="仿宋" w:eastAsia="仿宋_GB2312" w:cs="黑体"/>
          <w:bCs/>
          <w:sz w:val="32"/>
          <w:szCs w:val="32"/>
        </w:rPr>
      </w:pPr>
      <w:r>
        <w:rPr>
          <w:rFonts w:hint="eastAsia" w:ascii="黑体" w:hAnsi="黑体" w:eastAsia="黑体" w:cs="黑体"/>
          <w:b w:val="0"/>
          <w:bCs/>
          <w:iCs/>
          <w:kern w:val="0"/>
          <w:sz w:val="32"/>
          <w:szCs w:val="32"/>
        </w:rPr>
        <w:t>第六条</w:t>
      </w:r>
      <w:r>
        <w:rPr>
          <w:rFonts w:hint="eastAsia" w:ascii="黑体" w:hAnsi="黑体" w:eastAsia="黑体" w:cs="黑体"/>
          <w:bCs/>
          <w:iCs/>
          <w:kern w:val="0"/>
          <w:sz w:val="32"/>
          <w:szCs w:val="32"/>
        </w:rPr>
        <w:t xml:space="preserve"> </w:t>
      </w:r>
      <w:r>
        <w:rPr>
          <w:rFonts w:hint="eastAsia" w:ascii="仿宋_GB2312" w:hAnsi="黑体" w:eastAsia="仿宋_GB2312" w:cs="黑体"/>
          <w:bCs/>
          <w:iCs/>
          <w:kern w:val="0"/>
          <w:sz w:val="32"/>
          <w:szCs w:val="32"/>
        </w:rPr>
        <w:t xml:space="preserve"> </w:t>
      </w:r>
      <w:r>
        <w:rPr>
          <w:rFonts w:hint="eastAsia" w:ascii="仿宋_GB2312" w:hAnsi="仿宋" w:eastAsia="仿宋_GB2312" w:cs="黑体"/>
          <w:bCs/>
          <w:sz w:val="32"/>
          <w:szCs w:val="32"/>
        </w:rPr>
        <w:t>社会投资建设项目报建登记流程按照项目建设的时序规律，分为土地出让及用地规划许可、工程规划许可、施工许可、竣工验收和不动产登记四个阶段。土地出让及用地规划许可、工程规划许可由市规划国土部门（城市更新项目的土地出让及用地规划许可、工程规划许可由区级城市更新部门）牵头，施工许可、竣工验收由住房建设部门牵头，牵头部门负责组织协调相关部门严格按照限定时间完成审批。</w:t>
      </w:r>
    </w:p>
    <w:p>
      <w:pPr>
        <w:snapToGrid w:val="0"/>
        <w:spacing w:line="579" w:lineRule="exact"/>
        <w:ind w:firstLine="645"/>
        <w:rPr>
          <w:rFonts w:hint="eastAsia" w:ascii="仿宋_GB2312" w:hAnsi="仿宋" w:eastAsia="仿宋_GB2312"/>
          <w:sz w:val="32"/>
          <w:szCs w:val="32"/>
        </w:rPr>
      </w:pPr>
      <w:r>
        <w:rPr>
          <w:rFonts w:hint="eastAsia" w:ascii="仿宋_GB2312" w:hAnsi="仿宋" w:eastAsia="仿宋_GB2312" w:cs="黑体"/>
          <w:bCs/>
          <w:sz w:val="32"/>
          <w:szCs w:val="32"/>
        </w:rPr>
        <w:t>每个阶段包括应办理审批事项和可能涉及办理的审批事项，两类事项并行推进。各阶段内可能涉及办理的审批事项均不互为前置，具备必要条件即可办理。</w:t>
      </w:r>
    </w:p>
    <w:p>
      <w:pPr>
        <w:snapToGrid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从签订土地使用权出让合同至不动产登记办理完成，社会投资建设项目审批时间控制在45个工作日以内。</w:t>
      </w:r>
    </w:p>
    <w:p>
      <w:pPr>
        <w:snapToGrid w:val="0"/>
        <w:spacing w:line="579" w:lineRule="exact"/>
        <w:ind w:firstLine="640" w:firstLineChars="200"/>
        <w:rPr>
          <w:rFonts w:ascii="仿宋" w:hAnsi="仿宋" w:eastAsia="仿宋" w:cs="黑体"/>
          <w:bCs/>
          <w:sz w:val="32"/>
          <w:szCs w:val="32"/>
        </w:rPr>
      </w:pPr>
    </w:p>
    <w:p>
      <w:pPr>
        <w:snapToGrid w:val="0"/>
        <w:spacing w:before="156" w:beforeLines="50" w:after="156" w:afterLines="50" w:line="579" w:lineRule="exact"/>
        <w:jc w:val="center"/>
        <w:rPr>
          <w:rFonts w:ascii="黑体" w:hAnsi="黑体" w:eastAsia="黑体" w:cs="黑体"/>
          <w:bCs/>
          <w:sz w:val="32"/>
          <w:szCs w:val="32"/>
        </w:rPr>
      </w:pPr>
      <w:r>
        <w:rPr>
          <w:rFonts w:hint="eastAsia" w:ascii="黑体" w:hAnsi="黑体" w:eastAsia="黑体" w:cs="黑体"/>
          <w:bCs/>
          <w:sz w:val="32"/>
          <w:szCs w:val="32"/>
        </w:rPr>
        <w:t>第二章  土地出让及用地规划许可</w:t>
      </w:r>
    </w:p>
    <w:p>
      <w:pPr>
        <w:spacing w:line="579" w:lineRule="exact"/>
        <w:ind w:firstLine="640" w:firstLineChars="200"/>
        <w:rPr>
          <w:rFonts w:hint="eastAsia" w:ascii="仿宋_GB2312" w:hAnsi="仿宋" w:eastAsia="仿宋_GB2312" w:cs="黑体"/>
          <w:bCs/>
          <w:sz w:val="32"/>
          <w:szCs w:val="32"/>
        </w:rPr>
      </w:pPr>
      <w:r>
        <w:rPr>
          <w:rFonts w:hint="eastAsia" w:ascii="黑体" w:hAnsi="黑体" w:eastAsia="黑体" w:cs="仿宋"/>
          <w:b w:val="0"/>
          <w:sz w:val="32"/>
          <w:szCs w:val="32"/>
        </w:rPr>
        <w:t>第七条</w:t>
      </w:r>
      <w:r>
        <w:rPr>
          <w:rFonts w:hint="eastAsia" w:ascii="黑体" w:hAnsi="黑体" w:eastAsia="黑体" w:cs="仿宋"/>
          <w:sz w:val="32"/>
          <w:szCs w:val="32"/>
        </w:rPr>
        <w:t xml:space="preserve">  </w:t>
      </w:r>
      <w:r>
        <w:rPr>
          <w:rFonts w:hint="eastAsia" w:ascii="仿宋_GB2312" w:hAnsi="仿宋" w:eastAsia="仿宋_GB2312" w:cs="黑体"/>
          <w:bCs/>
          <w:sz w:val="32"/>
          <w:szCs w:val="32"/>
        </w:rPr>
        <w:t>本阶段应办理事项包括：项目备案，签订土地使用权出让合同，发放用地规划许可证。</w:t>
      </w:r>
    </w:p>
    <w:p>
      <w:pPr>
        <w:snapToGrid w:val="0"/>
        <w:spacing w:line="579"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可能涉及办理事项包括：涉海项目海域审核，机场地区内使用规划用地及项目建设审核。</w:t>
      </w:r>
    </w:p>
    <w:p>
      <w:pPr>
        <w:snapToGrid w:val="0"/>
        <w:spacing w:line="579"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签订土地使用权出让合同（发放用地规划许可证）5个工作日内办结。</w:t>
      </w:r>
    </w:p>
    <w:p>
      <w:pPr>
        <w:snapToGrid w:val="0"/>
        <w:spacing w:line="579" w:lineRule="exact"/>
        <w:ind w:firstLine="658"/>
        <w:rPr>
          <w:rFonts w:hint="eastAsia" w:ascii="仿宋_GB2312" w:hAnsi="仿宋" w:eastAsia="仿宋_GB2312"/>
          <w:sz w:val="32"/>
          <w:szCs w:val="32"/>
        </w:rPr>
      </w:pPr>
      <w:r>
        <w:rPr>
          <w:rFonts w:hint="eastAsia" w:ascii="黑体" w:hAnsi="黑体" w:eastAsia="黑体" w:cs="仿宋"/>
          <w:b w:val="0"/>
          <w:sz w:val="32"/>
          <w:szCs w:val="32"/>
        </w:rPr>
        <w:t>第八条</w:t>
      </w:r>
      <w:r>
        <w:rPr>
          <w:rFonts w:hint="eastAsia" w:ascii="仿宋" w:hAnsi="仿宋" w:eastAsia="仿宋" w:cs="黑体"/>
          <w:b/>
          <w:sz w:val="32"/>
          <w:szCs w:val="32"/>
        </w:rPr>
        <w:t xml:space="preserve">  </w:t>
      </w:r>
      <w:r>
        <w:rPr>
          <w:rFonts w:hint="eastAsia" w:ascii="仿宋_GB2312" w:hAnsi="仿宋" w:eastAsia="仿宋_GB2312"/>
          <w:sz w:val="32"/>
          <w:szCs w:val="32"/>
        </w:rPr>
        <w:t>市发展改革部门按有关规定对社会投资建设项目进行备案，除涉及国家秘密的项目外，项目备案通过投资项目在线审批监管平台实行网上受理、办理、监管和服务。</w:t>
      </w:r>
    </w:p>
    <w:p>
      <w:pPr>
        <w:snapToGrid w:val="0"/>
        <w:spacing w:line="579" w:lineRule="exact"/>
        <w:ind w:firstLine="658"/>
        <w:rPr>
          <w:rFonts w:hint="eastAsia" w:ascii="仿宋_GB2312" w:hAnsi="仿宋" w:eastAsia="仿宋_GB2312"/>
          <w:sz w:val="32"/>
          <w:szCs w:val="32"/>
        </w:rPr>
      </w:pPr>
      <w:r>
        <w:rPr>
          <w:rFonts w:hint="eastAsia" w:ascii="仿宋_GB2312" w:hAnsi="仿宋" w:eastAsia="仿宋_GB2312"/>
          <w:sz w:val="32"/>
          <w:szCs w:val="32"/>
        </w:rPr>
        <w:t>发展改革部门对通过在线审批监管平台申报备案的社会投资建设项目赋码，作为该项目整个建设周期唯一身份标识。</w:t>
      </w:r>
    </w:p>
    <w:p>
      <w:pPr>
        <w:spacing w:line="579" w:lineRule="exact"/>
        <w:ind w:firstLine="640"/>
        <w:rPr>
          <w:rFonts w:hint="eastAsia" w:ascii="仿宋_GB2312" w:hAnsi="仿宋" w:eastAsia="仿宋_GB2312" w:cs="仿宋"/>
          <w:bCs/>
          <w:sz w:val="32"/>
          <w:szCs w:val="32"/>
        </w:rPr>
      </w:pPr>
      <w:r>
        <w:rPr>
          <w:rFonts w:hint="eastAsia" w:ascii="黑体" w:hAnsi="黑体" w:eastAsia="黑体" w:cs="黑体"/>
          <w:b w:val="0"/>
          <w:bCs/>
          <w:iCs/>
          <w:kern w:val="0"/>
          <w:sz w:val="32"/>
          <w:szCs w:val="32"/>
        </w:rPr>
        <w:t>第九条</w:t>
      </w:r>
      <w:r>
        <w:rPr>
          <w:rFonts w:hint="eastAsia" w:ascii="黑体" w:hAnsi="黑体" w:eastAsia="黑体" w:cs="黑体"/>
          <w:bCs/>
          <w:iCs/>
          <w:kern w:val="0"/>
          <w:sz w:val="32"/>
          <w:szCs w:val="32"/>
        </w:rPr>
        <w:t xml:space="preserve">   </w:t>
      </w:r>
      <w:r>
        <w:rPr>
          <w:rFonts w:hint="eastAsia" w:ascii="仿宋_GB2312" w:hAnsi="仿宋" w:eastAsia="仿宋_GB2312"/>
          <w:sz w:val="32"/>
          <w:szCs w:val="32"/>
        </w:rPr>
        <w:t>市</w:t>
      </w:r>
      <w:r>
        <w:rPr>
          <w:rFonts w:hint="eastAsia" w:ascii="仿宋_GB2312" w:hAnsi="仿宋" w:eastAsia="仿宋_GB2312" w:cs="仿宋"/>
          <w:bCs/>
          <w:sz w:val="32"/>
          <w:szCs w:val="32"/>
        </w:rPr>
        <w:t>规划国土部门应建立“多规合一”信息平台，整合规划国土、发改、交通、生态、海洋、林业、水务、海绵城市等各类空间性规划和相关规划信息，形成全市空间规划一张蓝图，实现部门协调、信息共享、评估考核、服务群众等功能。为项目论证、项目生成提供平台支撑，为在线审批监管平台提供空间数据和相关功能支撑，为项目建设所需提供信息查询。</w:t>
      </w:r>
    </w:p>
    <w:p>
      <w:pPr>
        <w:spacing w:line="579" w:lineRule="exact"/>
        <w:ind w:firstLine="640" w:firstLineChars="200"/>
        <w:rPr>
          <w:rFonts w:hint="eastAsia" w:ascii="仿宋_GB2312" w:hAnsi="仿宋" w:eastAsia="仿宋_GB2312" w:cs="仿宋"/>
          <w:sz w:val="32"/>
          <w:szCs w:val="32"/>
        </w:rPr>
      </w:pPr>
      <w:r>
        <w:rPr>
          <w:rFonts w:hint="eastAsia" w:ascii="黑体" w:hAnsi="黑体" w:eastAsia="黑体" w:cs="黑体"/>
          <w:b w:val="0"/>
          <w:bCs/>
          <w:iCs/>
          <w:kern w:val="0"/>
          <w:sz w:val="32"/>
          <w:szCs w:val="32"/>
        </w:rPr>
        <w:t>第十条</w:t>
      </w:r>
      <w:r>
        <w:rPr>
          <w:rFonts w:hint="eastAsia" w:ascii="黑体" w:hAnsi="黑体" w:eastAsia="黑体" w:cs="黑体"/>
          <w:bCs/>
          <w:iCs/>
          <w:kern w:val="0"/>
          <w:sz w:val="32"/>
          <w:szCs w:val="32"/>
        </w:rPr>
        <w:t xml:space="preserve">  </w:t>
      </w:r>
      <w:r>
        <w:rPr>
          <w:rFonts w:hint="eastAsia" w:ascii="仿宋_GB2312" w:hAnsi="仿宋" w:eastAsia="仿宋_GB2312" w:cs="仿宋"/>
          <w:sz w:val="32"/>
          <w:szCs w:val="32"/>
        </w:rPr>
        <w:t>规划国土部门拟定用地出让方案，应征求发改、水务、环保、交通、住建、文物、辖区政府、产业主管部门及其它相关部门意见，涉及代建公共服务设施的项目，辖区政府要一并明确接收部门。经市政府审定后，开展招拍挂出让工作。</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用地成交后，项目单位缴交地价款、完成资金来源核查并签订监管协议后即可申请签订土地使用权出让合同，签订土地使用权出让合同时同步领取建设用地规划许可证。</w:t>
      </w:r>
    </w:p>
    <w:p>
      <w:pPr>
        <w:spacing w:line="579" w:lineRule="exact"/>
        <w:ind w:firstLine="640" w:firstLineChars="200"/>
        <w:rPr>
          <w:rFonts w:hint="eastAsia" w:ascii="仿宋_GB2312" w:hAnsi="仿宋" w:eastAsia="仿宋_GB2312" w:cs="仿宋"/>
          <w:sz w:val="32"/>
          <w:szCs w:val="32"/>
        </w:rPr>
      </w:pPr>
      <w:r>
        <w:rPr>
          <w:rFonts w:hint="eastAsia" w:ascii="黑体" w:hAnsi="黑体" w:eastAsia="黑体" w:cs="黑体"/>
          <w:b w:val="0"/>
          <w:bCs/>
          <w:iCs/>
          <w:kern w:val="0"/>
          <w:sz w:val="32"/>
          <w:szCs w:val="32"/>
        </w:rPr>
        <w:t>第十一条</w:t>
      </w:r>
      <w:r>
        <w:rPr>
          <w:rFonts w:hint="eastAsia" w:ascii="黑体" w:hAnsi="黑体" w:eastAsia="黑体" w:cs="黑体"/>
          <w:bCs/>
          <w:iCs/>
          <w:kern w:val="0"/>
          <w:sz w:val="32"/>
          <w:szCs w:val="32"/>
        </w:rPr>
        <w:t xml:space="preserve">  </w:t>
      </w:r>
      <w:r>
        <w:rPr>
          <w:rFonts w:hint="eastAsia" w:ascii="仿宋_GB2312" w:hAnsi="仿宋" w:eastAsia="仿宋_GB2312" w:cs="仿宋"/>
          <w:sz w:val="32"/>
          <w:szCs w:val="32"/>
        </w:rPr>
        <w:t>区级城市更新部门依申请对城市更新单元规划确定的开发建设用地进行用地审查，并报区级政府批准。</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项目用地经区级政府批准并取得项目备案后，可办理建设用地规划许可证，若项目涉及地质灾害、压覆重要矿产、文物保护、机场、水务、危险品、燃气、电力、轨道交通等事项的，还应取得相关主管部门的审查意见。</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取得建设用地规划许可证并落实更新政策及更新单元规划要求后，可签订土地使用权出让合同。</w:t>
      </w:r>
    </w:p>
    <w:p>
      <w:pPr>
        <w:spacing w:line="579" w:lineRule="exact"/>
        <w:ind w:firstLine="640" w:firstLineChars="200"/>
        <w:rPr>
          <w:rFonts w:hint="eastAsia" w:ascii="仿宋" w:hAnsi="仿宋" w:eastAsia="仿宋" w:cs="仿宋"/>
          <w:sz w:val="32"/>
          <w:szCs w:val="32"/>
        </w:rPr>
      </w:pPr>
    </w:p>
    <w:p>
      <w:pPr>
        <w:spacing w:before="156" w:beforeLines="50" w:after="156" w:afterLines="50" w:line="579" w:lineRule="exact"/>
        <w:jc w:val="center"/>
        <w:rPr>
          <w:rFonts w:ascii="黑体" w:hAnsi="黑体" w:eastAsia="黑体" w:cs="黑体"/>
          <w:bCs/>
          <w:iCs/>
          <w:kern w:val="0"/>
          <w:sz w:val="32"/>
          <w:szCs w:val="32"/>
        </w:rPr>
      </w:pPr>
      <w:r>
        <w:rPr>
          <w:rFonts w:hint="eastAsia" w:ascii="黑体" w:hAnsi="黑体" w:eastAsia="黑体" w:cs="黑体"/>
          <w:bCs/>
          <w:iCs/>
          <w:kern w:val="0"/>
          <w:sz w:val="32"/>
          <w:szCs w:val="32"/>
        </w:rPr>
        <w:t>第三章  工程规划许可</w:t>
      </w:r>
    </w:p>
    <w:p>
      <w:pPr>
        <w:snapToGrid w:val="0"/>
        <w:spacing w:line="579" w:lineRule="exact"/>
        <w:ind w:firstLine="640" w:firstLineChars="200"/>
        <w:rPr>
          <w:rFonts w:hint="eastAsia" w:ascii="仿宋_GB2312" w:hAnsi="仿宋" w:eastAsia="仿宋_GB2312" w:cs="黑体"/>
          <w:b/>
          <w:sz w:val="32"/>
          <w:szCs w:val="32"/>
        </w:rPr>
      </w:pPr>
      <w:r>
        <w:rPr>
          <w:rFonts w:hint="eastAsia" w:ascii="黑体" w:hAnsi="黑体" w:eastAsia="黑体" w:cs="黑体"/>
          <w:b w:val="0"/>
          <w:bCs/>
          <w:iCs/>
          <w:kern w:val="0"/>
          <w:sz w:val="32"/>
          <w:szCs w:val="32"/>
        </w:rPr>
        <w:t>第十二条</w:t>
      </w:r>
      <w:r>
        <w:rPr>
          <w:rFonts w:hint="eastAsia" w:ascii="黑体" w:hAnsi="黑体" w:eastAsia="黑体" w:cs="黑体"/>
          <w:bCs/>
          <w:iCs/>
          <w:kern w:val="0"/>
          <w:sz w:val="32"/>
          <w:szCs w:val="32"/>
        </w:rPr>
        <w:t xml:space="preserve">  </w:t>
      </w:r>
      <w:r>
        <w:rPr>
          <w:rFonts w:hint="eastAsia" w:ascii="仿宋_GB2312" w:hAnsi="仿宋" w:eastAsia="仿宋_GB2312" w:cs="黑体"/>
          <w:bCs/>
          <w:sz w:val="32"/>
          <w:szCs w:val="32"/>
        </w:rPr>
        <w:t>本阶段应办理事项包括：建设工程方案设计核查，建设工程规划许可证核发，生产建设项目水土保持方案审批，建设项目用水节水评估报告备案。</w:t>
      </w:r>
    </w:p>
    <w:p>
      <w:pPr>
        <w:snapToGrid w:val="0"/>
        <w:spacing w:line="579"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可能涉及办理事项包括：建设工程方案设计招标备案（重点地区、重要节点项目），固定资产投资项目节能审查，地名批复（建筑物命名核准/公共设施名称核准/专业设施名称核查及备案），</w:t>
      </w:r>
      <w:r>
        <w:rPr>
          <w:rFonts w:hint="eastAsia" w:ascii="仿宋_GB2312" w:hAnsi="仿宋" w:eastAsia="仿宋_GB2312"/>
          <w:sz w:val="32"/>
          <w:szCs w:val="32"/>
        </w:rPr>
        <w:t>方案设计审查（产权移交政府的交通基础设施&lt;市政道路、行人立体过街设施等&gt;、配建公交首末站方案设计专业审查）</w:t>
      </w:r>
      <w:r>
        <w:rPr>
          <w:rFonts w:hint="eastAsia" w:ascii="仿宋_GB2312" w:hAnsi="仿宋" w:eastAsia="仿宋_GB2312" w:cs="黑体"/>
          <w:bCs/>
          <w:sz w:val="32"/>
          <w:szCs w:val="32"/>
        </w:rPr>
        <w:t>，开设路口审批，</w:t>
      </w:r>
      <w:r>
        <w:rPr>
          <w:rFonts w:hint="eastAsia" w:ascii="仿宋_GB2312" w:hAnsi="仿宋" w:eastAsia="仿宋_GB2312"/>
          <w:sz w:val="32"/>
          <w:szCs w:val="32"/>
        </w:rPr>
        <w:t>市政设施建设类审批（占用挖掘道路），市政道路开设路口（临时路口）</w:t>
      </w:r>
      <w:r>
        <w:rPr>
          <w:rFonts w:hint="eastAsia" w:ascii="仿宋_GB2312" w:hAnsi="仿宋" w:eastAsia="仿宋_GB2312" w:cs="黑体"/>
          <w:bCs/>
          <w:sz w:val="32"/>
          <w:szCs w:val="32"/>
        </w:rPr>
        <w:t>，市政管线接口审批审查意见，拆除、改动城镇排水与污水处理设施，不涉及跨市级行政区划的珠江河口滩涂开发利用工程建设方案审批，河道管理范围内工程建设方案审批，区级文物保护单位保护范围内进行其他建设工程审核，区级文物保护单位建设控制地带内的建设工程设计方案审批,市级文物保护单位建设控制地带内的建设工程设计方案审批，涉及国家安全事项许可，占用城市绿地和砍伐、迁移城市树木审批，消防设计审核，职业病危害放射防护评价报告审批，人防工程方案报建审查，防雷装置设计审核，超限高层建筑工程抗震设防审批，地铁控制线内方案设计审批，地铁控制线内施工图设计审批，地铁保护区内工程勘察作业审批，涉及铁路审批，高速审批，燃气（LNG）审批，海域审批，军事通讯审批。</w:t>
      </w:r>
    </w:p>
    <w:p>
      <w:pPr>
        <w:snapToGrid w:val="0"/>
        <w:spacing w:line="579"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本阶段方案设计核查15个工作日内办结，建设工程规划许可证核发10个工作日内办结。</w:t>
      </w:r>
    </w:p>
    <w:p>
      <w:pPr>
        <w:spacing w:line="579" w:lineRule="exact"/>
        <w:ind w:firstLine="640"/>
        <w:rPr>
          <w:rFonts w:hint="eastAsia" w:ascii="仿宋_GB2312" w:hAnsi="仿宋" w:eastAsia="仿宋_GB2312" w:cs="仿宋"/>
          <w:b/>
          <w:bCs/>
          <w:sz w:val="32"/>
          <w:szCs w:val="32"/>
        </w:rPr>
      </w:pPr>
      <w:r>
        <w:rPr>
          <w:rFonts w:hint="eastAsia" w:ascii="黑体" w:hAnsi="黑体" w:eastAsia="黑体" w:cs="黑体"/>
          <w:b w:val="0"/>
          <w:bCs/>
          <w:iCs/>
          <w:kern w:val="0"/>
          <w:sz w:val="32"/>
          <w:szCs w:val="32"/>
        </w:rPr>
        <w:t>第十三条</w:t>
      </w:r>
      <w:r>
        <w:rPr>
          <w:rFonts w:hint="eastAsia" w:ascii="黑体" w:hAnsi="黑体" w:eastAsia="黑体" w:cs="黑体"/>
          <w:bCs/>
          <w:iCs/>
          <w:kern w:val="0"/>
          <w:sz w:val="32"/>
          <w:szCs w:val="32"/>
        </w:rPr>
        <w:t xml:space="preserve">  </w:t>
      </w:r>
      <w:r>
        <w:rPr>
          <w:rFonts w:hint="eastAsia" w:ascii="仿宋_GB2312" w:hAnsi="仿宋" w:eastAsia="仿宋_GB2312" w:cs="仿宋"/>
          <w:bCs/>
          <w:sz w:val="32"/>
          <w:szCs w:val="32"/>
        </w:rPr>
        <w:t>重点地区、重要节点建设项目的方案设计实行招标，并向规划国土部门备案。</w:t>
      </w:r>
    </w:p>
    <w:p>
      <w:pPr>
        <w:spacing w:line="579"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除前款及</w:t>
      </w:r>
      <w:r>
        <w:rPr>
          <w:rFonts w:hint="eastAsia" w:ascii="仿宋_GB2312" w:hAnsi="仿宋" w:eastAsia="仿宋_GB2312" w:cs="仿宋_GB2312"/>
          <w:sz w:val="32"/>
          <w:szCs w:val="32"/>
        </w:rPr>
        <w:t>国有（含财政性资金）或者集体资金投资的建设工程达到法律、法规和规章规定限额标准的项目，项目单位可以自主决定方案设计、施工等发包方式，不再强制要求招投标。</w:t>
      </w:r>
    </w:p>
    <w:p>
      <w:pPr>
        <w:spacing w:line="579" w:lineRule="exact"/>
        <w:ind w:firstLine="640"/>
        <w:rPr>
          <w:rFonts w:hint="eastAsia" w:ascii="仿宋_GB2312" w:hAnsi="仿宋" w:eastAsia="仿宋_GB2312" w:cs="仿宋"/>
          <w:bCs/>
          <w:sz w:val="32"/>
          <w:szCs w:val="32"/>
        </w:rPr>
      </w:pPr>
      <w:r>
        <w:rPr>
          <w:rFonts w:hint="eastAsia" w:ascii="黑体" w:hAnsi="黑体" w:eastAsia="黑体" w:cs="黑体"/>
          <w:b w:val="0"/>
          <w:bCs/>
          <w:iCs/>
          <w:kern w:val="0"/>
          <w:sz w:val="32"/>
          <w:szCs w:val="32"/>
        </w:rPr>
        <w:t>第十四条</w:t>
      </w:r>
      <w:r>
        <w:rPr>
          <w:rFonts w:hint="eastAsia" w:ascii="黑体" w:hAnsi="黑体" w:eastAsia="黑体" w:cs="黑体"/>
          <w:bCs/>
          <w:iCs/>
          <w:kern w:val="0"/>
          <w:sz w:val="32"/>
          <w:szCs w:val="32"/>
        </w:rPr>
        <w:t xml:space="preserve">  </w:t>
      </w:r>
      <w:r>
        <w:rPr>
          <w:rFonts w:hint="eastAsia" w:ascii="仿宋_GB2312" w:hAnsi="仿宋" w:eastAsia="仿宋_GB2312" w:cs="仿宋"/>
          <w:bCs/>
          <w:sz w:val="32"/>
          <w:szCs w:val="32"/>
        </w:rPr>
        <w:t>项目单位依据规划国土部门出具的建设用地规划许可证开展方案设计，完成方案设计后即可申请方案设计核查。</w:t>
      </w:r>
    </w:p>
    <w:p>
      <w:pPr>
        <w:spacing w:line="579" w:lineRule="exact"/>
        <w:ind w:firstLine="640"/>
        <w:rPr>
          <w:rFonts w:hint="eastAsia" w:ascii="仿宋_GB2312" w:hAnsi="仿宋" w:eastAsia="仿宋_GB2312" w:cs="仿宋"/>
          <w:bCs/>
          <w:sz w:val="32"/>
          <w:szCs w:val="32"/>
        </w:rPr>
      </w:pPr>
      <w:r>
        <w:rPr>
          <w:rFonts w:hint="eastAsia" w:ascii="仿宋_GB2312" w:hAnsi="仿宋" w:eastAsia="仿宋_GB2312"/>
          <w:sz w:val="32"/>
          <w:szCs w:val="32"/>
        </w:rPr>
        <w:t>对于产权移交政府的交通基础设施（市政道路、行人立体过街设施等）及配建公交首末站，交通运输部门先行对方案设计进行专业审查，出具专业审查意见。</w:t>
      </w:r>
    </w:p>
    <w:p>
      <w:pPr>
        <w:spacing w:line="579" w:lineRule="exact"/>
        <w:ind w:firstLine="640"/>
        <w:rPr>
          <w:rFonts w:hint="eastAsia" w:ascii="仿宋_GB2312" w:hAnsi="仿宋" w:eastAsia="仿宋_GB2312" w:cs="仿宋"/>
          <w:bCs/>
          <w:color w:val="FF0000"/>
          <w:sz w:val="32"/>
          <w:szCs w:val="32"/>
        </w:rPr>
      </w:pPr>
      <w:r>
        <w:rPr>
          <w:rFonts w:hint="eastAsia" w:ascii="仿宋_GB2312" w:hAnsi="仿宋" w:eastAsia="仿宋_GB2312" w:cs="仿宋"/>
          <w:bCs/>
          <w:sz w:val="32"/>
          <w:szCs w:val="32"/>
        </w:rPr>
        <w:t>属于下列情形之一的项目，可免于方案设计核查：宗地内规定建筑面积不大于5000平方米、规划功能和建筑类型单一的建设项目；列入市重大项目计划的普通工业、仓储项目；临时建筑。</w:t>
      </w:r>
    </w:p>
    <w:p>
      <w:pPr>
        <w:spacing w:line="579" w:lineRule="exact"/>
        <w:ind w:firstLine="640"/>
        <w:rPr>
          <w:rFonts w:hint="eastAsia" w:ascii="仿宋_GB2312" w:hAnsi="仿宋" w:eastAsia="仿宋_GB2312" w:cs="楷体"/>
          <w:sz w:val="32"/>
          <w:szCs w:val="32"/>
        </w:rPr>
      </w:pPr>
      <w:r>
        <w:rPr>
          <w:rFonts w:hint="eastAsia" w:ascii="黑体" w:hAnsi="黑体" w:eastAsia="黑体" w:cs="黑体"/>
          <w:b w:val="0"/>
          <w:bCs/>
          <w:iCs/>
          <w:kern w:val="0"/>
          <w:sz w:val="32"/>
          <w:szCs w:val="32"/>
        </w:rPr>
        <w:t>第十五条</w:t>
      </w:r>
      <w:r>
        <w:rPr>
          <w:rFonts w:hint="eastAsia" w:ascii="黑体" w:hAnsi="黑体" w:eastAsia="黑体" w:cs="黑体"/>
          <w:bCs/>
          <w:iCs/>
          <w:kern w:val="0"/>
          <w:sz w:val="32"/>
          <w:szCs w:val="32"/>
        </w:rPr>
        <w:t xml:space="preserve"> </w:t>
      </w:r>
      <w:r>
        <w:rPr>
          <w:rFonts w:hint="eastAsia" w:ascii="仿宋_GB2312" w:hAnsi="黑体" w:eastAsia="仿宋_GB2312" w:cs="黑体"/>
          <w:bCs/>
          <w:iCs/>
          <w:kern w:val="0"/>
          <w:sz w:val="32"/>
          <w:szCs w:val="32"/>
        </w:rPr>
        <w:t xml:space="preserve"> </w:t>
      </w:r>
      <w:r>
        <w:rPr>
          <w:rFonts w:hint="eastAsia" w:ascii="仿宋_GB2312" w:hAnsi="仿宋" w:eastAsia="仿宋_GB2312" w:cs="仿宋"/>
          <w:sz w:val="32"/>
          <w:szCs w:val="32"/>
        </w:rPr>
        <w:t>除</w:t>
      </w:r>
      <w:r>
        <w:rPr>
          <w:rFonts w:hint="eastAsia" w:ascii="仿宋_GB2312" w:hAnsi="仿宋" w:eastAsia="仿宋_GB2312" w:cs="楷体"/>
          <w:sz w:val="32"/>
          <w:szCs w:val="32"/>
        </w:rPr>
        <w:t>年综合能源消费量不满1000吨标准煤，且年电力消费量不满500万千瓦时的项目，及国家明确规定不单独进行节能审查的项目外，项目单位在项目开工前取得发展改革部门出具的节能审查意见。</w:t>
      </w:r>
    </w:p>
    <w:p>
      <w:pPr>
        <w:spacing w:line="579" w:lineRule="exact"/>
        <w:ind w:firstLine="640"/>
        <w:rPr>
          <w:rFonts w:hint="eastAsia" w:ascii="仿宋_GB2312" w:hAnsi="仿宋" w:eastAsia="仿宋_GB2312" w:cs="楷体"/>
          <w:bCs/>
          <w:sz w:val="32"/>
          <w:szCs w:val="32"/>
        </w:rPr>
      </w:pPr>
      <w:r>
        <w:rPr>
          <w:rFonts w:hint="eastAsia" w:ascii="黑体" w:hAnsi="黑体" w:eastAsia="黑体" w:cs="黑体"/>
          <w:b w:val="0"/>
          <w:bCs/>
          <w:iCs/>
          <w:kern w:val="0"/>
          <w:sz w:val="32"/>
          <w:szCs w:val="32"/>
        </w:rPr>
        <w:t>第十六条</w:t>
      </w:r>
      <w:r>
        <w:rPr>
          <w:rFonts w:hint="eastAsia" w:ascii="黑体" w:hAnsi="黑体" w:eastAsia="黑体" w:cs="黑体"/>
          <w:bCs/>
          <w:iCs/>
          <w:kern w:val="0"/>
          <w:sz w:val="32"/>
          <w:szCs w:val="32"/>
        </w:rPr>
        <w:t xml:space="preserve">  </w:t>
      </w:r>
      <w:r>
        <w:rPr>
          <w:rFonts w:hint="eastAsia" w:ascii="仿宋_GB2312" w:hAnsi="仿宋" w:eastAsia="仿宋_GB2312" w:cs="楷体"/>
          <w:bCs/>
          <w:sz w:val="32"/>
          <w:szCs w:val="32"/>
        </w:rPr>
        <w:t>住房建设部门整合规划、建筑、人防、防雷、</w:t>
      </w:r>
      <w:r>
        <w:rPr>
          <w:rFonts w:hint="eastAsia" w:ascii="仿宋_GB2312" w:hAnsi="仿宋" w:eastAsia="仿宋_GB2312" w:cs="楷体"/>
          <w:sz w:val="32"/>
          <w:szCs w:val="32"/>
        </w:rPr>
        <w:t>海绵城市、城市排水</w:t>
      </w:r>
      <w:r>
        <w:rPr>
          <w:rFonts w:hint="eastAsia" w:ascii="仿宋_GB2312" w:hAnsi="仿宋" w:eastAsia="仿宋_GB2312" w:cs="楷体"/>
          <w:bCs/>
          <w:sz w:val="32"/>
          <w:szCs w:val="32"/>
        </w:rPr>
        <w:t>等相关部门施工图审查环节，将施工图技术审查内容纳入具备综合图审资格的服务机构进行统一图审。施工图设计文件统一审查推行以政府购买服务方式开展。</w:t>
      </w:r>
    </w:p>
    <w:p>
      <w:pPr>
        <w:spacing w:line="579" w:lineRule="exact"/>
        <w:ind w:firstLine="640"/>
        <w:rPr>
          <w:rFonts w:hint="eastAsia" w:ascii="仿宋_GB2312" w:hAnsi="仿宋" w:eastAsia="仿宋_GB2312" w:cs="仿宋"/>
          <w:sz w:val="32"/>
          <w:szCs w:val="32"/>
        </w:rPr>
      </w:pPr>
      <w:r>
        <w:rPr>
          <w:rFonts w:hint="eastAsia" w:ascii="黑体" w:hAnsi="黑体" w:eastAsia="黑体" w:cs="黑体"/>
          <w:b w:val="0"/>
          <w:bCs/>
          <w:iCs/>
          <w:kern w:val="0"/>
          <w:sz w:val="32"/>
          <w:szCs w:val="32"/>
        </w:rPr>
        <w:t>第十七条</w:t>
      </w:r>
      <w:r>
        <w:rPr>
          <w:rFonts w:hint="eastAsia" w:ascii="黑体" w:hAnsi="黑体" w:eastAsia="黑体" w:cs="黑体"/>
          <w:bCs/>
          <w:iCs/>
          <w:kern w:val="0"/>
          <w:sz w:val="32"/>
          <w:szCs w:val="32"/>
        </w:rPr>
        <w:t xml:space="preserve">  </w:t>
      </w:r>
      <w:r>
        <w:rPr>
          <w:rFonts w:hint="eastAsia" w:ascii="仿宋_GB2312" w:hAnsi="仿宋" w:eastAsia="仿宋_GB2312" w:cs="仿宋"/>
          <w:bCs/>
          <w:sz w:val="32"/>
          <w:szCs w:val="32"/>
        </w:rPr>
        <w:t>项目</w:t>
      </w:r>
      <w:r>
        <w:rPr>
          <w:rFonts w:hint="eastAsia" w:ascii="仿宋_GB2312" w:hAnsi="仿宋" w:eastAsia="仿宋_GB2312" w:cs="仿宋"/>
          <w:sz w:val="32"/>
          <w:szCs w:val="32"/>
        </w:rPr>
        <w:t>单位取得土地使用权出让合同、方案设计核查意见，完成施工图设计并经施工图审查机构审查合格，即可办理建设工程规划许可证。</w:t>
      </w:r>
    </w:p>
    <w:p>
      <w:pPr>
        <w:spacing w:line="579"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消防、人防、水土保持、环保等行政审批事项不作为建设工程规划许可的前置条件。</w:t>
      </w:r>
    </w:p>
    <w:p>
      <w:pPr>
        <w:spacing w:line="579"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涉及国家安全、轨道安全、文物保护、配建公共服务设施的项目，由规划国土部门根据相关主管部门和公共服务设施接收单位的意见，办理</w:t>
      </w:r>
      <w:r>
        <w:rPr>
          <w:rFonts w:hint="eastAsia" w:ascii="仿宋_GB2312" w:hAnsi="仿宋" w:eastAsia="仿宋_GB2312" w:cs="黑体"/>
          <w:bCs/>
          <w:sz w:val="32"/>
          <w:szCs w:val="32"/>
        </w:rPr>
        <w:t>建设</w:t>
      </w:r>
      <w:r>
        <w:rPr>
          <w:rFonts w:hint="eastAsia" w:ascii="仿宋_GB2312" w:hAnsi="仿宋" w:eastAsia="仿宋_GB2312" w:cs="仿宋"/>
          <w:sz w:val="32"/>
          <w:szCs w:val="32"/>
        </w:rPr>
        <w:t>工程规划许可证。</w:t>
      </w:r>
    </w:p>
    <w:p>
      <w:pPr>
        <w:spacing w:line="579" w:lineRule="exact"/>
        <w:ind w:firstLine="640"/>
        <w:rPr>
          <w:rFonts w:hint="eastAsia" w:ascii="仿宋_GB2312" w:hAnsi="仿宋" w:eastAsia="仿宋_GB2312" w:cs="仿宋"/>
          <w:sz w:val="32"/>
          <w:szCs w:val="32"/>
        </w:rPr>
      </w:pPr>
      <w:r>
        <w:rPr>
          <w:rFonts w:hint="eastAsia" w:ascii="仿宋_GB2312" w:hAnsi="仿宋" w:eastAsia="仿宋_GB2312" w:cs="黑体"/>
          <w:bCs/>
          <w:sz w:val="32"/>
          <w:szCs w:val="32"/>
        </w:rPr>
        <w:t>地名批复（建筑物命名核准/公共设施名称核准/专业设施名称核查及备案）</w:t>
      </w:r>
      <w:r>
        <w:rPr>
          <w:rFonts w:hint="eastAsia" w:ascii="仿宋_GB2312" w:hAnsi="仿宋" w:eastAsia="仿宋_GB2312" w:cs="仿宋"/>
          <w:sz w:val="32"/>
          <w:szCs w:val="32"/>
        </w:rPr>
        <w:t>与建设工程规划许可事项合并办理，分别核发相关证件；开设永久路口审批与市政管线接口审批合并办理，分别核发相关证件。</w:t>
      </w:r>
    </w:p>
    <w:p>
      <w:pPr>
        <w:spacing w:line="579"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交通运输部门不再单独办理开设永久路口审批及交通影响评价。占用挖掘道路、开设临时路口由交通运输部门征求公安交警部门意见后办理。</w:t>
      </w:r>
    </w:p>
    <w:p>
      <w:pPr>
        <w:spacing w:line="579" w:lineRule="exact"/>
        <w:ind w:firstLine="640"/>
        <w:rPr>
          <w:rFonts w:hint="eastAsia" w:ascii="仿宋_GB2312" w:hAnsi="仿宋" w:eastAsia="仿宋_GB2312" w:cs="仿宋"/>
          <w:sz w:val="32"/>
          <w:szCs w:val="32"/>
        </w:rPr>
      </w:pPr>
      <w:r>
        <w:rPr>
          <w:rFonts w:hint="eastAsia" w:ascii="黑体" w:hAnsi="黑体" w:eastAsia="黑体" w:cs="黑体"/>
          <w:b w:val="0"/>
          <w:bCs/>
          <w:iCs/>
          <w:kern w:val="0"/>
          <w:sz w:val="32"/>
          <w:szCs w:val="32"/>
        </w:rPr>
        <w:t>第十八条</w:t>
      </w:r>
      <w:r>
        <w:rPr>
          <w:rFonts w:hint="eastAsia" w:ascii="黑体" w:hAnsi="黑体" w:eastAsia="黑体" w:cs="黑体"/>
          <w:bCs/>
          <w:iCs/>
          <w:kern w:val="0"/>
          <w:sz w:val="32"/>
          <w:szCs w:val="32"/>
        </w:rPr>
        <w:t xml:space="preserve">  </w:t>
      </w:r>
      <w:r>
        <w:rPr>
          <w:rFonts w:hint="eastAsia" w:ascii="仿宋_GB2312" w:hAnsi="仿宋" w:eastAsia="仿宋_GB2312" w:cs="楷体"/>
          <w:sz w:val="32"/>
          <w:szCs w:val="32"/>
        </w:rPr>
        <w:t>项目单位完成方案设计后，人防主管部门根据项目单位申请对自建、免建及易地修建人防工程的项目提出人防工程建设要求，需建设人防工程的，相关设计纳入施工图审查。</w:t>
      </w:r>
    </w:p>
    <w:p>
      <w:pPr>
        <w:spacing w:line="579" w:lineRule="exact"/>
        <w:ind w:firstLine="640" w:firstLineChars="200"/>
        <w:rPr>
          <w:rFonts w:hint="eastAsia" w:ascii="仿宋_GB2312" w:hAnsi="仿宋" w:eastAsia="仿宋_GB2312" w:cs="仿宋"/>
          <w:sz w:val="32"/>
          <w:szCs w:val="32"/>
        </w:rPr>
      </w:pPr>
      <w:r>
        <w:rPr>
          <w:rFonts w:hint="eastAsia" w:ascii="黑体" w:hAnsi="黑体" w:eastAsia="黑体" w:cs="黑体"/>
          <w:b w:val="0"/>
          <w:bCs/>
          <w:iCs/>
          <w:kern w:val="0"/>
          <w:sz w:val="32"/>
          <w:szCs w:val="32"/>
        </w:rPr>
        <w:t>第十九条</w:t>
      </w:r>
      <w:r>
        <w:rPr>
          <w:rFonts w:hint="eastAsia" w:ascii="黑体" w:hAnsi="黑体" w:eastAsia="黑体" w:cs="黑体"/>
          <w:bCs/>
          <w:iCs/>
          <w:kern w:val="0"/>
          <w:sz w:val="32"/>
          <w:szCs w:val="32"/>
        </w:rPr>
        <w:t xml:space="preserve">  </w:t>
      </w:r>
      <w:r>
        <w:rPr>
          <w:rFonts w:hint="eastAsia" w:ascii="仿宋_GB2312" w:hAnsi="仿宋" w:eastAsia="仿宋_GB2312" w:cs="仿宋"/>
          <w:sz w:val="32"/>
          <w:szCs w:val="32"/>
        </w:rPr>
        <w:t>宾馆、饭店、商场、市场、影剧院、歌舞厅等法定大型人员密集场所和特殊建设工程项目，初步设计完成后即可办理消防设计审核。</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除前款规定外的建设项目，应在取得施工许可后7个工作日内将消防设计文件报消防部门备案。</w:t>
      </w:r>
    </w:p>
    <w:p>
      <w:pPr>
        <w:spacing w:line="579" w:lineRule="exact"/>
        <w:ind w:firstLine="640"/>
        <w:rPr>
          <w:rFonts w:hint="eastAsia" w:ascii="仿宋_GB2312" w:hAnsi="仿宋" w:eastAsia="仿宋_GB2312" w:cs="楷体"/>
          <w:sz w:val="32"/>
          <w:szCs w:val="32"/>
        </w:rPr>
      </w:pPr>
      <w:r>
        <w:rPr>
          <w:rFonts w:hint="eastAsia" w:ascii="黑体" w:hAnsi="黑体" w:eastAsia="黑体" w:cs="黑体"/>
          <w:b w:val="0"/>
          <w:bCs/>
          <w:iCs/>
          <w:kern w:val="0"/>
          <w:sz w:val="32"/>
          <w:szCs w:val="32"/>
        </w:rPr>
        <w:t>第二十条</w:t>
      </w:r>
      <w:r>
        <w:rPr>
          <w:rFonts w:hint="eastAsia" w:ascii="黑体" w:hAnsi="黑体" w:eastAsia="黑体" w:cs="黑体"/>
          <w:bCs/>
          <w:iCs/>
          <w:kern w:val="0"/>
          <w:sz w:val="32"/>
          <w:szCs w:val="32"/>
        </w:rPr>
        <w:t xml:space="preserve">  </w:t>
      </w:r>
      <w:r>
        <w:rPr>
          <w:rFonts w:hint="eastAsia" w:ascii="仿宋_GB2312" w:hAnsi="仿宋" w:eastAsia="仿宋_GB2312" w:cs="仿宋"/>
          <w:bCs/>
          <w:sz w:val="32"/>
          <w:szCs w:val="32"/>
        </w:rPr>
        <w:t>项目单位在方案设计或初步</w:t>
      </w:r>
      <w:r>
        <w:rPr>
          <w:rFonts w:hint="eastAsia" w:ascii="仿宋_GB2312" w:hAnsi="仿宋" w:eastAsia="仿宋_GB2312" w:cs="楷体"/>
          <w:sz w:val="32"/>
          <w:szCs w:val="32"/>
        </w:rPr>
        <w:t>设计完成后，即可同步申请办理建设项目水土保持方案审批、建设项目用水节水评估报告告知性备案。如涉及不跨市级行政区划的珠江河口滩涂开发利用工程建设方案审批、河道范围内工程建设方案审批、拆除改动城镇排水与污水处理设施审批的也同步办理。</w:t>
      </w:r>
    </w:p>
    <w:p>
      <w:pPr>
        <w:spacing w:line="579" w:lineRule="exact"/>
        <w:ind w:firstLine="645"/>
        <w:rPr>
          <w:rFonts w:hint="eastAsia" w:ascii="仿宋_GB2312" w:hAnsi="仿宋" w:eastAsia="仿宋_GB2312" w:cs="楷体"/>
          <w:sz w:val="32"/>
          <w:szCs w:val="32"/>
        </w:rPr>
      </w:pPr>
      <w:r>
        <w:rPr>
          <w:rFonts w:hint="eastAsia" w:ascii="黑体" w:hAnsi="黑体" w:eastAsia="黑体" w:cs="黑体"/>
          <w:b w:val="0"/>
          <w:bCs/>
          <w:iCs/>
          <w:kern w:val="0"/>
          <w:sz w:val="32"/>
          <w:szCs w:val="32"/>
        </w:rPr>
        <w:t>第二十一条</w:t>
      </w:r>
      <w:r>
        <w:rPr>
          <w:rFonts w:hint="eastAsia" w:ascii="黑体" w:hAnsi="黑体" w:eastAsia="黑体" w:cs="黑体"/>
          <w:bCs/>
          <w:iCs/>
          <w:kern w:val="0"/>
          <w:sz w:val="32"/>
          <w:szCs w:val="32"/>
        </w:rPr>
        <w:t xml:space="preserve">  </w:t>
      </w:r>
      <w:r>
        <w:rPr>
          <w:rFonts w:hint="eastAsia" w:ascii="仿宋_GB2312" w:hAnsi="仿宋" w:eastAsia="仿宋_GB2312" w:cs="楷体"/>
          <w:sz w:val="32"/>
          <w:szCs w:val="32"/>
        </w:rPr>
        <w:t>建设项目应按照水土保持技术规范和标准采取水土保持措施，预防和治理水土流失。除按规定可以免于办理水土保持审批的建设项目外，动土面积10万平方米以下、防治责任范围堆土量5000立方米以下、施工过程中造成挖填边坡高度5米以下（不包括基坑边坡）及汇水面积10万平方米以下，在水土流失重点预防区范围线外的建设项目实施告知性备案管理。</w:t>
      </w:r>
    </w:p>
    <w:p>
      <w:pPr>
        <w:spacing w:line="579" w:lineRule="exact"/>
        <w:ind w:firstLine="645"/>
        <w:rPr>
          <w:rFonts w:hint="eastAsia" w:ascii="仿宋" w:hAnsi="仿宋" w:eastAsia="仿宋" w:cs="黑体"/>
          <w:bCs/>
          <w:sz w:val="32"/>
          <w:szCs w:val="32"/>
        </w:rPr>
      </w:pPr>
    </w:p>
    <w:p>
      <w:pPr>
        <w:spacing w:before="156" w:beforeLines="50" w:after="156" w:afterLines="50" w:line="579" w:lineRule="exact"/>
        <w:jc w:val="center"/>
        <w:rPr>
          <w:rFonts w:ascii="黑体" w:hAnsi="黑体" w:eastAsia="黑体" w:cs="黑体"/>
          <w:bCs/>
          <w:iCs/>
          <w:kern w:val="0"/>
          <w:sz w:val="32"/>
          <w:szCs w:val="32"/>
        </w:rPr>
      </w:pPr>
      <w:r>
        <w:rPr>
          <w:rFonts w:hint="eastAsia" w:ascii="黑体" w:hAnsi="黑体" w:eastAsia="黑体" w:cs="黑体"/>
          <w:bCs/>
          <w:iCs/>
          <w:kern w:val="0"/>
          <w:sz w:val="32"/>
          <w:szCs w:val="32"/>
        </w:rPr>
        <w:t>第四章  施工许可</w:t>
      </w:r>
    </w:p>
    <w:p>
      <w:pPr>
        <w:snapToGrid w:val="0"/>
        <w:spacing w:line="579" w:lineRule="exact"/>
        <w:ind w:firstLine="640" w:firstLineChars="200"/>
        <w:rPr>
          <w:rFonts w:hint="eastAsia" w:ascii="仿宋_GB2312" w:hAnsi="仿宋" w:eastAsia="仿宋_GB2312" w:cs="黑体"/>
          <w:bCs/>
          <w:sz w:val="32"/>
          <w:szCs w:val="32"/>
        </w:rPr>
      </w:pPr>
      <w:r>
        <w:rPr>
          <w:rFonts w:hint="eastAsia" w:ascii="黑体" w:hAnsi="黑体" w:eastAsia="黑体" w:cs="黑体"/>
          <w:b w:val="0"/>
          <w:bCs/>
          <w:iCs/>
          <w:kern w:val="0"/>
          <w:sz w:val="32"/>
          <w:szCs w:val="32"/>
        </w:rPr>
        <w:t>第二十二条</w:t>
      </w:r>
      <w:r>
        <w:rPr>
          <w:rFonts w:hint="eastAsia" w:ascii="黑体" w:hAnsi="黑体" w:eastAsia="黑体" w:cs="黑体"/>
          <w:bCs/>
          <w:iCs/>
          <w:kern w:val="0"/>
          <w:sz w:val="32"/>
          <w:szCs w:val="32"/>
        </w:rPr>
        <w:t xml:space="preserve">  </w:t>
      </w:r>
      <w:r>
        <w:rPr>
          <w:rFonts w:hint="eastAsia" w:ascii="仿宋_GB2312" w:hAnsi="仿宋" w:eastAsia="仿宋_GB2312" w:cs="黑体"/>
          <w:bCs/>
          <w:sz w:val="32"/>
          <w:szCs w:val="32"/>
        </w:rPr>
        <w:t>阶段应办理事项包括：建设工程施工许可证，建设项目环境影响评价文件审批，环境影响评价技术审查，建设工程开工验线。</w:t>
      </w:r>
    </w:p>
    <w:p>
      <w:pPr>
        <w:snapToGrid w:val="0"/>
        <w:spacing w:line="579"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可能涉及办理事项包括：《建设工程桩基础报建证明书》核发，施工许可（专项），城市排水许可，单位用户用水计划核定或备案，供水、供电、通信等基础设施报装。</w:t>
      </w:r>
    </w:p>
    <w:p>
      <w:pPr>
        <w:snapToGrid w:val="0"/>
        <w:spacing w:line="579"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施工许可3个工作日内办结。</w:t>
      </w:r>
    </w:p>
    <w:p>
      <w:pPr>
        <w:spacing w:line="579" w:lineRule="exact"/>
        <w:ind w:firstLine="640" w:firstLineChars="200"/>
        <w:rPr>
          <w:rFonts w:hint="eastAsia" w:ascii="仿宋_GB2312" w:hAnsi="仿宋" w:eastAsia="仿宋_GB2312" w:cs="仿宋"/>
          <w:bCs/>
          <w:sz w:val="32"/>
          <w:szCs w:val="32"/>
        </w:rPr>
      </w:pPr>
      <w:r>
        <w:rPr>
          <w:rFonts w:hint="eastAsia" w:ascii="黑体" w:hAnsi="黑体" w:eastAsia="黑体" w:cs="黑体"/>
          <w:b w:val="0"/>
          <w:bCs/>
          <w:iCs/>
          <w:kern w:val="0"/>
          <w:sz w:val="32"/>
          <w:szCs w:val="32"/>
        </w:rPr>
        <w:t>第二十三条</w:t>
      </w:r>
      <w:r>
        <w:rPr>
          <w:rFonts w:hint="eastAsia" w:ascii="黑体" w:hAnsi="黑体" w:eastAsia="黑体" w:cs="黑体"/>
          <w:bCs/>
          <w:iCs/>
          <w:kern w:val="0"/>
          <w:sz w:val="32"/>
          <w:szCs w:val="32"/>
        </w:rPr>
        <w:t xml:space="preserve"> </w:t>
      </w:r>
      <w:r>
        <w:rPr>
          <w:rFonts w:hint="eastAsia" w:ascii="仿宋_GB2312" w:hAnsi="黑体" w:eastAsia="仿宋_GB2312" w:cs="黑体"/>
          <w:bCs/>
          <w:iCs/>
          <w:kern w:val="0"/>
          <w:sz w:val="32"/>
          <w:szCs w:val="32"/>
        </w:rPr>
        <w:t xml:space="preserve"> </w:t>
      </w:r>
      <w:r>
        <w:rPr>
          <w:rFonts w:hint="eastAsia" w:ascii="仿宋_GB2312" w:hAnsi="仿宋" w:eastAsia="仿宋_GB2312" w:cs="仿宋"/>
          <w:bCs/>
          <w:sz w:val="32"/>
          <w:szCs w:val="32"/>
        </w:rPr>
        <w:t>环境影响报告书（表）应在项目开工前取得环保部门批准或完成备案，在此之前可开展地质勘探、平整场地、基坑支护、桩基、拆除旧有建筑物、临时建筑、施工用临时道路、通水、通电等工作。</w:t>
      </w:r>
    </w:p>
    <w:p>
      <w:pPr>
        <w:spacing w:line="579"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对应编制环境影响报告表，但环境影响程度较轻无需配套建设污染防治设施且不涉及环境敏感区的社会投资类建设项目，实行告知性备案；对原应填报环境影响登记表的社会投资类建设项目，免于开展环境影响评价。</w:t>
      </w:r>
    </w:p>
    <w:p>
      <w:pPr>
        <w:spacing w:line="579" w:lineRule="exact"/>
        <w:ind w:firstLine="640" w:firstLineChars="200"/>
        <w:rPr>
          <w:rFonts w:hint="eastAsia" w:ascii="仿宋_GB2312" w:hAnsi="仿宋" w:eastAsia="仿宋_GB2312" w:cs="仿宋_GB2312"/>
          <w:kern w:val="0"/>
          <w:sz w:val="32"/>
          <w:szCs w:val="32"/>
        </w:rPr>
      </w:pPr>
      <w:r>
        <w:rPr>
          <w:rFonts w:hint="eastAsia" w:ascii="黑体" w:hAnsi="黑体" w:eastAsia="黑体" w:cs="黑体"/>
          <w:b w:val="0"/>
          <w:bCs/>
          <w:iCs/>
          <w:kern w:val="0"/>
          <w:sz w:val="32"/>
          <w:szCs w:val="32"/>
        </w:rPr>
        <w:t>第二十四条</w:t>
      </w:r>
      <w:r>
        <w:rPr>
          <w:rFonts w:hint="eastAsia" w:ascii="黑体" w:hAnsi="黑体" w:eastAsia="黑体" w:cs="黑体"/>
          <w:bCs/>
          <w:iCs/>
          <w:kern w:val="0"/>
          <w:sz w:val="32"/>
          <w:szCs w:val="32"/>
        </w:rPr>
        <w:t xml:space="preserve">  </w:t>
      </w:r>
      <w:r>
        <w:rPr>
          <w:rFonts w:hint="eastAsia" w:ascii="仿宋_GB2312" w:hAnsi="仿宋" w:eastAsia="仿宋_GB2312" w:cs="仿宋"/>
          <w:sz w:val="32"/>
          <w:szCs w:val="32"/>
        </w:rPr>
        <w:t>凡确定施工单位、监理单位及采取</w:t>
      </w:r>
      <w:r>
        <w:rPr>
          <w:rFonts w:hint="eastAsia" w:ascii="仿宋_GB2312" w:hAnsi="仿宋" w:eastAsia="仿宋_GB2312" w:cs="仿宋_GB2312"/>
          <w:sz w:val="32"/>
          <w:szCs w:val="32"/>
        </w:rPr>
        <w:t>保证工程质量安全措施</w:t>
      </w:r>
      <w:r>
        <w:rPr>
          <w:rFonts w:hint="eastAsia" w:ascii="仿宋_GB2312" w:hAnsi="仿宋" w:eastAsia="仿宋_GB2312" w:cs="仿宋"/>
          <w:sz w:val="32"/>
          <w:szCs w:val="32"/>
        </w:rPr>
        <w:t>，取得基坑支护、土石方工程施工图审查合格证及用地规划许可证的，住房建设部门合并办理施工许可（专项）及质量安全监督登记手续后即可开工</w:t>
      </w:r>
      <w:r>
        <w:rPr>
          <w:rFonts w:hint="eastAsia" w:ascii="仿宋_GB2312" w:hAnsi="仿宋" w:eastAsia="仿宋_GB2312" w:cs="仿宋_GB2312"/>
          <w:kern w:val="0"/>
          <w:sz w:val="32"/>
          <w:szCs w:val="32"/>
        </w:rPr>
        <w:t>。</w:t>
      </w:r>
    </w:p>
    <w:p>
      <w:pPr>
        <w:spacing w:line="579"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sz w:val="32"/>
          <w:szCs w:val="32"/>
        </w:rPr>
        <w:t>凡确定施工单位、监理单位及采取</w:t>
      </w:r>
      <w:r>
        <w:rPr>
          <w:rFonts w:hint="eastAsia" w:ascii="仿宋_GB2312" w:hAnsi="仿宋" w:eastAsia="仿宋_GB2312" w:cs="仿宋_GB2312"/>
          <w:sz w:val="32"/>
          <w:szCs w:val="32"/>
        </w:rPr>
        <w:t>保证工程质量安全措施</w:t>
      </w:r>
      <w:r>
        <w:rPr>
          <w:rFonts w:hint="eastAsia" w:ascii="仿宋_GB2312" w:hAnsi="仿宋" w:eastAsia="仿宋_GB2312" w:cs="仿宋"/>
          <w:sz w:val="32"/>
          <w:szCs w:val="32"/>
        </w:rPr>
        <w:t>，取得桩基础施工图审查合格证及桩基础报建证明书，住房建设部门合并办理施工许可（专项）及质量安全监督登记手续后即可开工</w:t>
      </w:r>
      <w:r>
        <w:rPr>
          <w:rFonts w:hint="eastAsia" w:ascii="仿宋_GB2312" w:hAnsi="仿宋" w:eastAsia="仿宋_GB2312" w:cs="仿宋_GB2312"/>
          <w:kern w:val="0"/>
          <w:sz w:val="32"/>
          <w:szCs w:val="32"/>
        </w:rPr>
        <w:t>。</w:t>
      </w:r>
    </w:p>
    <w:p>
      <w:pPr>
        <w:spacing w:line="579" w:lineRule="exact"/>
        <w:ind w:firstLine="640" w:firstLineChars="200"/>
        <w:rPr>
          <w:rFonts w:hint="eastAsia" w:ascii="仿宋" w:hAnsi="仿宋" w:eastAsia="仿宋" w:cs="仿宋"/>
          <w:b/>
          <w:sz w:val="32"/>
          <w:szCs w:val="32"/>
        </w:rPr>
      </w:pPr>
      <w:r>
        <w:rPr>
          <w:rFonts w:hint="eastAsia" w:ascii="黑体" w:hAnsi="黑体" w:eastAsia="黑体" w:cs="黑体"/>
          <w:b w:val="0"/>
          <w:bCs/>
          <w:iCs/>
          <w:kern w:val="0"/>
          <w:sz w:val="32"/>
          <w:szCs w:val="32"/>
        </w:rPr>
        <w:t>第二十五条</w:t>
      </w:r>
      <w:r>
        <w:rPr>
          <w:rFonts w:hint="eastAsia" w:ascii="黑体" w:hAnsi="黑体" w:eastAsia="黑体" w:cs="黑体"/>
          <w:bCs/>
          <w:iCs/>
          <w:kern w:val="0"/>
          <w:sz w:val="32"/>
          <w:szCs w:val="32"/>
        </w:rPr>
        <w:t xml:space="preserve">  </w:t>
      </w:r>
      <w:r>
        <w:rPr>
          <w:rFonts w:hint="eastAsia" w:ascii="仿宋_GB2312" w:hAnsi="仿宋" w:eastAsia="仿宋_GB2312" w:cs="仿宋"/>
          <w:sz w:val="32"/>
          <w:szCs w:val="32"/>
        </w:rPr>
        <w:t>凡已确定施工单位、监理单位及采取</w:t>
      </w:r>
      <w:r>
        <w:rPr>
          <w:rFonts w:hint="eastAsia" w:ascii="仿宋_GB2312" w:hAnsi="仿宋" w:eastAsia="仿宋_GB2312" w:cs="仿宋_GB2312"/>
          <w:sz w:val="32"/>
          <w:szCs w:val="32"/>
        </w:rPr>
        <w:t>保证工程质量安全措施</w:t>
      </w:r>
      <w:r>
        <w:rPr>
          <w:rFonts w:hint="eastAsia" w:ascii="仿宋_GB2312" w:hAnsi="仿宋" w:eastAsia="仿宋_GB2312" w:cs="仿宋"/>
          <w:sz w:val="32"/>
          <w:szCs w:val="32"/>
        </w:rPr>
        <w:t>，取得施工图审查合格证、工程规划许可证及消防审核意见的，住房建设部门合并办理</w:t>
      </w:r>
      <w:r>
        <w:rPr>
          <w:rFonts w:hint="eastAsia" w:ascii="仿宋_GB2312" w:hAnsi="仿宋" w:eastAsia="仿宋_GB2312" w:cs="仿宋_GB2312"/>
          <w:kern w:val="0"/>
          <w:sz w:val="32"/>
          <w:szCs w:val="32"/>
        </w:rPr>
        <w:t>施工许可证及</w:t>
      </w:r>
      <w:r>
        <w:rPr>
          <w:rFonts w:hint="eastAsia" w:ascii="仿宋_GB2312" w:hAnsi="仿宋" w:eastAsia="仿宋_GB2312" w:cs="仿宋"/>
          <w:sz w:val="32"/>
          <w:szCs w:val="32"/>
        </w:rPr>
        <w:t>质量安全监督登记手续</w:t>
      </w:r>
      <w:r>
        <w:rPr>
          <w:rFonts w:hint="eastAsia" w:ascii="仿宋_GB2312" w:hAnsi="仿宋" w:eastAsia="仿宋_GB2312" w:cs="仿宋_GB2312"/>
          <w:kern w:val="0"/>
          <w:sz w:val="32"/>
          <w:szCs w:val="32"/>
        </w:rPr>
        <w:t>。</w:t>
      </w:r>
    </w:p>
    <w:p>
      <w:pPr>
        <w:spacing w:line="579" w:lineRule="exact"/>
        <w:ind w:firstLine="640" w:firstLineChars="200"/>
        <w:rPr>
          <w:rFonts w:hint="eastAsia" w:ascii="仿宋_GB2312" w:hAnsi="仿宋" w:eastAsia="仿宋_GB2312"/>
          <w:sz w:val="32"/>
          <w:szCs w:val="32"/>
        </w:rPr>
      </w:pPr>
      <w:r>
        <w:rPr>
          <w:rFonts w:hint="eastAsia" w:ascii="黑体" w:hAnsi="黑体" w:eastAsia="黑体" w:cs="黑体"/>
          <w:b w:val="0"/>
          <w:bCs/>
          <w:iCs/>
          <w:kern w:val="0"/>
          <w:sz w:val="32"/>
          <w:szCs w:val="32"/>
        </w:rPr>
        <w:t>第二十六条</w:t>
      </w:r>
      <w:r>
        <w:rPr>
          <w:rFonts w:hint="eastAsia" w:ascii="黑体" w:hAnsi="黑体" w:eastAsia="黑体" w:cs="黑体"/>
          <w:bCs/>
          <w:iCs/>
          <w:kern w:val="0"/>
          <w:sz w:val="32"/>
          <w:szCs w:val="32"/>
        </w:rPr>
        <w:t xml:space="preserve">  </w:t>
      </w:r>
      <w:r>
        <w:rPr>
          <w:rFonts w:hint="eastAsia" w:ascii="仿宋_GB2312" w:hAnsi="仿宋" w:eastAsia="仿宋_GB2312"/>
          <w:sz w:val="32"/>
          <w:szCs w:val="32"/>
        </w:rPr>
        <w:t>办理施工许可无须提供工伤保险参保证明、劳务工工资分帐协议，无须提供安全生产许可证、人员资格证书等原件，建设单位书面承诺后即可。</w:t>
      </w:r>
    </w:p>
    <w:p>
      <w:pPr>
        <w:spacing w:line="579" w:lineRule="exact"/>
        <w:ind w:firstLine="640" w:firstLineChars="200"/>
        <w:rPr>
          <w:rFonts w:hint="eastAsia" w:ascii="仿宋" w:hAnsi="仿宋" w:eastAsia="仿宋"/>
          <w:sz w:val="32"/>
          <w:szCs w:val="32"/>
        </w:rPr>
      </w:pPr>
    </w:p>
    <w:p>
      <w:pPr>
        <w:spacing w:before="156" w:beforeLines="50" w:after="156" w:afterLines="50" w:line="579" w:lineRule="exact"/>
        <w:jc w:val="center"/>
        <w:rPr>
          <w:rFonts w:hint="eastAsia" w:ascii="黑体" w:hAnsi="黑体" w:eastAsia="黑体" w:cs="黑体"/>
          <w:bCs/>
          <w:iCs/>
          <w:kern w:val="0"/>
          <w:sz w:val="32"/>
          <w:szCs w:val="32"/>
        </w:rPr>
      </w:pPr>
      <w:r>
        <w:rPr>
          <w:rFonts w:hint="eastAsia" w:ascii="黑体" w:hAnsi="黑体" w:eastAsia="黑体" w:cs="黑体"/>
          <w:bCs/>
          <w:iCs/>
          <w:kern w:val="0"/>
          <w:sz w:val="32"/>
          <w:szCs w:val="32"/>
        </w:rPr>
        <w:t>第五章  竣工验收和不动产登记</w:t>
      </w:r>
    </w:p>
    <w:p>
      <w:pPr>
        <w:snapToGrid w:val="0"/>
        <w:spacing w:line="579" w:lineRule="exact"/>
        <w:ind w:firstLine="640" w:firstLineChars="200"/>
        <w:rPr>
          <w:rFonts w:hint="eastAsia" w:ascii="仿宋_GB2312" w:hAnsi="仿宋" w:eastAsia="仿宋_GB2312" w:cs="黑体"/>
          <w:bCs/>
          <w:sz w:val="32"/>
          <w:szCs w:val="32"/>
        </w:rPr>
      </w:pPr>
      <w:r>
        <w:rPr>
          <w:rFonts w:hint="eastAsia" w:ascii="黑体" w:hAnsi="黑体" w:eastAsia="黑体" w:cs="黑体"/>
          <w:b w:val="0"/>
          <w:bCs/>
          <w:iCs/>
          <w:kern w:val="0"/>
          <w:sz w:val="32"/>
          <w:szCs w:val="32"/>
        </w:rPr>
        <w:t>第二十七条</w:t>
      </w:r>
      <w:r>
        <w:rPr>
          <w:rFonts w:hint="eastAsia" w:ascii="黑体" w:hAnsi="黑体" w:eastAsia="黑体" w:cs="黑体"/>
          <w:bCs/>
          <w:iCs/>
          <w:kern w:val="0"/>
          <w:sz w:val="32"/>
          <w:szCs w:val="32"/>
        </w:rPr>
        <w:t xml:space="preserve">  </w:t>
      </w:r>
      <w:r>
        <w:rPr>
          <w:rFonts w:hint="eastAsia" w:ascii="仿宋_GB2312" w:hAnsi="仿宋" w:eastAsia="仿宋_GB2312" w:cs="黑体"/>
          <w:bCs/>
          <w:sz w:val="32"/>
          <w:szCs w:val="32"/>
        </w:rPr>
        <w:t>本阶段应办理事项包括：规划验收，消防验收，排水设施验收备案，水土保持设施验收备案，人防工程验收，防雷装置验收，竣工验收备案，</w:t>
      </w:r>
      <w:r>
        <w:rPr>
          <w:rFonts w:hint="eastAsia" w:ascii="仿宋_GB2312" w:hAnsi="仿宋" w:eastAsia="仿宋_GB2312"/>
          <w:sz w:val="32"/>
          <w:szCs w:val="32"/>
        </w:rPr>
        <w:t>土地使用权及房屋所有权首次登记或变更登记。</w:t>
      </w:r>
    </w:p>
    <w:p>
      <w:pPr>
        <w:snapToGrid w:val="0"/>
        <w:spacing w:line="579"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可能涉及办理事项包括：燃气验收，特种设备检验，</w:t>
      </w:r>
      <w:r>
        <w:rPr>
          <w:rFonts w:hint="eastAsia" w:ascii="仿宋_GB2312" w:hAnsi="仿宋" w:eastAsia="仿宋_GB2312"/>
          <w:sz w:val="32"/>
          <w:szCs w:val="32"/>
        </w:rPr>
        <w:t>海域使用权首次登记、海域使用权变更登记或者注销登记。</w:t>
      </w:r>
    </w:p>
    <w:p>
      <w:pPr>
        <w:snapToGrid w:val="0"/>
        <w:spacing w:line="579" w:lineRule="exact"/>
        <w:ind w:firstLine="640" w:firstLineChars="200"/>
        <w:rPr>
          <w:rFonts w:hint="eastAsia" w:ascii="仿宋_GB2312" w:hAnsi="仿宋" w:eastAsia="仿宋_GB2312" w:cs="黑体"/>
          <w:bCs/>
          <w:sz w:val="32"/>
          <w:szCs w:val="32"/>
        </w:rPr>
      </w:pPr>
      <w:r>
        <w:rPr>
          <w:rFonts w:hint="eastAsia" w:ascii="仿宋_GB2312" w:hAnsi="仿宋" w:eastAsia="仿宋_GB2312" w:cs="黑体"/>
          <w:bCs/>
          <w:sz w:val="32"/>
          <w:szCs w:val="32"/>
        </w:rPr>
        <w:t>项目单位可根据工程实际选择联合验收或分项验收，联合验收7个工作日内办结</w:t>
      </w:r>
      <w:r>
        <w:rPr>
          <w:rFonts w:hint="eastAsia" w:ascii="仿宋_GB2312" w:hAnsi="仿宋" w:eastAsia="仿宋_GB2312" w:cs="仿宋"/>
          <w:sz w:val="32"/>
          <w:szCs w:val="32"/>
        </w:rPr>
        <w:t>。</w:t>
      </w:r>
      <w:r>
        <w:rPr>
          <w:rFonts w:hint="eastAsia" w:ascii="仿宋_GB2312" w:hAnsi="仿宋" w:eastAsia="仿宋_GB2312"/>
          <w:sz w:val="32"/>
          <w:szCs w:val="32"/>
        </w:rPr>
        <w:t>土地使用权及房屋所有权首次登记或变更登记5个工作日内办结。</w:t>
      </w:r>
    </w:p>
    <w:p>
      <w:pPr>
        <w:spacing w:line="579" w:lineRule="exact"/>
        <w:ind w:firstLine="640" w:firstLineChars="200"/>
        <w:rPr>
          <w:rFonts w:hint="eastAsia" w:ascii="仿宋_GB2312" w:hAnsi="仿宋" w:eastAsia="仿宋_GB2312" w:cs="仿宋"/>
          <w:sz w:val="32"/>
          <w:szCs w:val="32"/>
        </w:rPr>
      </w:pPr>
      <w:r>
        <w:rPr>
          <w:rFonts w:hint="eastAsia" w:ascii="黑体" w:hAnsi="黑体" w:eastAsia="黑体" w:cs="黑体"/>
          <w:b w:val="0"/>
          <w:bCs/>
          <w:iCs/>
          <w:kern w:val="0"/>
          <w:sz w:val="32"/>
          <w:szCs w:val="32"/>
        </w:rPr>
        <w:t>第二十八条</w:t>
      </w:r>
      <w:r>
        <w:rPr>
          <w:rFonts w:hint="eastAsia" w:ascii="黑体" w:hAnsi="黑体" w:eastAsia="黑体" w:cs="黑体"/>
          <w:bCs/>
          <w:iCs/>
          <w:kern w:val="0"/>
          <w:sz w:val="32"/>
          <w:szCs w:val="32"/>
        </w:rPr>
        <w:t xml:space="preserve">  </w:t>
      </w:r>
      <w:r>
        <w:rPr>
          <w:rFonts w:hint="eastAsia" w:ascii="仿宋_GB2312" w:hAnsi="仿宋" w:eastAsia="仿宋_GB2312" w:cs="仿宋"/>
          <w:sz w:val="32"/>
          <w:szCs w:val="32"/>
        </w:rPr>
        <w:t>由住房建设、交通运输、水务等行业主管部门牵头实行联合验收或部分联合验收，统一验收竣工图纸、统一验收标准、统一出具验收意见。</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对于验收涉及的测量工作，实行一次委托、统一测绘、成果共享。</w:t>
      </w:r>
    </w:p>
    <w:p>
      <w:pPr>
        <w:snapToGrid w:val="0"/>
        <w:spacing w:line="579" w:lineRule="exact"/>
        <w:ind w:firstLine="640" w:firstLineChars="200"/>
        <w:rPr>
          <w:rFonts w:hint="eastAsia" w:ascii="仿宋_GB2312" w:hAnsi="仿宋" w:eastAsia="仿宋_GB2312" w:cs="楷体"/>
          <w:sz w:val="32"/>
          <w:szCs w:val="32"/>
        </w:rPr>
      </w:pPr>
      <w:r>
        <w:rPr>
          <w:rFonts w:hint="eastAsia" w:ascii="黑体" w:hAnsi="黑体" w:eastAsia="黑体" w:cs="黑体"/>
          <w:b w:val="0"/>
          <w:bCs/>
          <w:iCs/>
          <w:kern w:val="0"/>
          <w:sz w:val="32"/>
          <w:szCs w:val="32"/>
        </w:rPr>
        <w:t>第二十</w:t>
      </w:r>
      <w:r>
        <w:rPr>
          <w:rFonts w:ascii="黑体" w:hAnsi="黑体" w:eastAsia="黑体" w:cs="黑体"/>
          <w:b w:val="0"/>
          <w:bCs/>
          <w:iCs/>
          <w:kern w:val="0"/>
          <w:sz w:val="32"/>
          <w:szCs w:val="32"/>
        </w:rPr>
        <w:t>九</w:t>
      </w:r>
      <w:r>
        <w:rPr>
          <w:rFonts w:hint="eastAsia" w:ascii="黑体" w:hAnsi="黑体" w:eastAsia="黑体" w:cs="黑体"/>
          <w:b w:val="0"/>
          <w:bCs/>
          <w:iCs/>
          <w:kern w:val="0"/>
          <w:sz w:val="32"/>
          <w:szCs w:val="32"/>
        </w:rPr>
        <w:t>条</w:t>
      </w:r>
      <w:r>
        <w:rPr>
          <w:rFonts w:hint="eastAsia" w:ascii="黑体" w:hAnsi="黑体" w:eastAsia="黑体" w:cs="黑体"/>
          <w:bCs/>
          <w:iCs/>
          <w:kern w:val="0"/>
          <w:sz w:val="32"/>
          <w:szCs w:val="32"/>
        </w:rPr>
        <w:t xml:space="preserve">  </w:t>
      </w:r>
      <w:r>
        <w:rPr>
          <w:rFonts w:hint="eastAsia" w:ascii="仿宋_GB2312" w:hAnsi="仿宋" w:eastAsia="仿宋_GB2312" w:cs="楷体"/>
          <w:sz w:val="32"/>
          <w:szCs w:val="32"/>
        </w:rPr>
        <w:t>项目单位需要采取分项验收的，由各专项验收主管部门并联组织验收。</w:t>
      </w:r>
    </w:p>
    <w:p>
      <w:pPr>
        <w:snapToGrid w:val="0"/>
        <w:spacing w:line="579" w:lineRule="exact"/>
        <w:ind w:firstLine="640" w:firstLineChars="200"/>
        <w:rPr>
          <w:rFonts w:hint="eastAsia" w:ascii="仿宋_GB2312" w:hAnsi="仿宋" w:eastAsia="仿宋_GB2312" w:cs="仿宋"/>
          <w:sz w:val="32"/>
          <w:szCs w:val="32"/>
        </w:rPr>
      </w:pPr>
      <w:r>
        <w:rPr>
          <w:rFonts w:hint="eastAsia" w:ascii="黑体" w:hAnsi="黑体" w:eastAsia="黑体" w:cs="黑体"/>
          <w:b w:val="0"/>
          <w:bCs/>
          <w:iCs/>
          <w:kern w:val="0"/>
          <w:sz w:val="32"/>
          <w:szCs w:val="32"/>
        </w:rPr>
        <w:t>第三十条</w:t>
      </w:r>
      <w:r>
        <w:rPr>
          <w:rFonts w:hint="eastAsia" w:ascii="黑体" w:hAnsi="黑体" w:eastAsia="黑体" w:cs="黑体"/>
          <w:bCs/>
          <w:iCs/>
          <w:kern w:val="0"/>
          <w:sz w:val="32"/>
          <w:szCs w:val="32"/>
        </w:rPr>
        <w:t xml:space="preserve">  </w:t>
      </w:r>
      <w:r>
        <w:rPr>
          <w:rFonts w:hint="eastAsia" w:ascii="仿宋_GB2312" w:hAnsi="仿宋" w:eastAsia="仿宋_GB2312" w:cs="黑体"/>
          <w:bCs/>
          <w:sz w:val="32"/>
          <w:szCs w:val="32"/>
        </w:rPr>
        <w:t>项目单位应当在竣工验收后3个月内，向市城建档案馆移交建设工程档案。</w:t>
      </w:r>
    </w:p>
    <w:p>
      <w:pPr>
        <w:spacing w:line="579" w:lineRule="exact"/>
        <w:ind w:firstLine="640" w:firstLineChars="200"/>
        <w:rPr>
          <w:rFonts w:hint="eastAsia" w:ascii="仿宋_GB2312" w:hAnsi="仿宋" w:eastAsia="仿宋_GB2312"/>
          <w:sz w:val="32"/>
          <w:szCs w:val="32"/>
        </w:rPr>
      </w:pPr>
      <w:r>
        <w:rPr>
          <w:rFonts w:hint="eastAsia" w:ascii="黑体" w:hAnsi="黑体" w:eastAsia="黑体" w:cs="黑体"/>
          <w:b w:val="0"/>
          <w:bCs/>
          <w:iCs/>
          <w:kern w:val="0"/>
          <w:sz w:val="32"/>
          <w:szCs w:val="32"/>
        </w:rPr>
        <w:t>第三十一条</w:t>
      </w:r>
      <w:r>
        <w:rPr>
          <w:rFonts w:hint="eastAsia" w:ascii="黑体" w:hAnsi="黑体" w:eastAsia="黑体" w:cs="黑体"/>
          <w:bCs/>
          <w:iCs/>
          <w:kern w:val="0"/>
          <w:sz w:val="32"/>
          <w:szCs w:val="32"/>
        </w:rPr>
        <w:t xml:space="preserve">  </w:t>
      </w:r>
      <w:r>
        <w:rPr>
          <w:rFonts w:hint="eastAsia" w:ascii="仿宋_GB2312" w:hAnsi="仿宋" w:eastAsia="仿宋_GB2312"/>
          <w:sz w:val="32"/>
          <w:szCs w:val="32"/>
        </w:rPr>
        <w:t>项目单位签订土地使用权出让合同并取得实地测绘报告后，可以申请办理土地使用权首次登记。</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对涉及改变原土地使用权出让合同内容的，项目单位签订土地使用权出让合同补充协议后，可以申请办理土地使用权变更登记。</w:t>
      </w:r>
    </w:p>
    <w:p>
      <w:pPr>
        <w:spacing w:line="579" w:lineRule="exact"/>
        <w:ind w:firstLine="645"/>
        <w:rPr>
          <w:rFonts w:hint="eastAsia" w:ascii="仿宋_GB2312" w:hAnsi="仿宋" w:eastAsia="仿宋_GB2312"/>
          <w:sz w:val="32"/>
          <w:szCs w:val="32"/>
        </w:rPr>
      </w:pPr>
      <w:r>
        <w:rPr>
          <w:rFonts w:hint="eastAsia" w:ascii="黑体" w:hAnsi="黑体" w:eastAsia="黑体" w:cs="黑体"/>
          <w:b w:val="0"/>
          <w:bCs/>
          <w:iCs/>
          <w:kern w:val="0"/>
          <w:sz w:val="32"/>
          <w:szCs w:val="32"/>
        </w:rPr>
        <w:t>第三十二条</w:t>
      </w:r>
      <w:r>
        <w:rPr>
          <w:rFonts w:hint="eastAsia" w:ascii="黑体" w:hAnsi="黑体" w:eastAsia="黑体" w:cs="黑体"/>
          <w:bCs/>
          <w:iCs/>
          <w:kern w:val="0"/>
          <w:sz w:val="32"/>
          <w:szCs w:val="32"/>
        </w:rPr>
        <w:t xml:space="preserve">  </w:t>
      </w:r>
      <w:r>
        <w:rPr>
          <w:rFonts w:hint="eastAsia" w:ascii="仿宋_GB2312" w:hAnsi="仿宋" w:eastAsia="仿宋_GB2312"/>
          <w:sz w:val="32"/>
          <w:szCs w:val="32"/>
        </w:rPr>
        <w:t>对新建、扩建项目，项目单位取得建设工程规划验收合格证明、竣工验收合格证明、竣工测绘报告、竣工结算文件后，可以申请土地使用权及房屋所有权首次登记。土地使用权未登记的，还应一并申请办理。</w:t>
      </w:r>
    </w:p>
    <w:p>
      <w:pPr>
        <w:spacing w:line="579" w:lineRule="exact"/>
        <w:ind w:firstLine="645"/>
        <w:rPr>
          <w:rFonts w:hint="eastAsia" w:ascii="仿宋_GB2312" w:hAnsi="仿宋" w:eastAsia="仿宋_GB2312"/>
          <w:sz w:val="32"/>
          <w:szCs w:val="32"/>
        </w:rPr>
      </w:pPr>
      <w:r>
        <w:rPr>
          <w:rFonts w:hint="eastAsia" w:ascii="仿宋_GB2312" w:hAnsi="仿宋" w:eastAsia="仿宋_GB2312"/>
          <w:sz w:val="32"/>
          <w:szCs w:val="32"/>
        </w:rPr>
        <w:t>对改建项目，项目单位取得建设工程规划验收合格证明、竣工验收合格证明、竣工测绘报告后，可以申请土地使用权及房屋所有权变更登记。需要签订土地使用权出让合同补充协议的，还应提交相关协议。</w:t>
      </w:r>
    </w:p>
    <w:p>
      <w:pPr>
        <w:spacing w:line="579" w:lineRule="exact"/>
        <w:ind w:firstLine="645"/>
        <w:rPr>
          <w:rFonts w:hint="eastAsia" w:ascii="仿宋_GB2312" w:hAnsi="仿宋" w:eastAsia="仿宋_GB2312"/>
          <w:sz w:val="32"/>
          <w:szCs w:val="32"/>
        </w:rPr>
      </w:pPr>
      <w:r>
        <w:rPr>
          <w:rFonts w:hint="eastAsia" w:ascii="黑体" w:hAnsi="黑体" w:eastAsia="黑体" w:cs="黑体"/>
          <w:b w:val="0"/>
          <w:bCs/>
          <w:iCs/>
          <w:kern w:val="0"/>
          <w:sz w:val="32"/>
          <w:szCs w:val="32"/>
        </w:rPr>
        <w:t>第三十三条</w:t>
      </w:r>
      <w:r>
        <w:rPr>
          <w:rFonts w:hint="eastAsia" w:ascii="黑体" w:hAnsi="黑体" w:eastAsia="黑体" w:cs="黑体"/>
          <w:bCs/>
          <w:iCs/>
          <w:kern w:val="0"/>
          <w:sz w:val="32"/>
          <w:szCs w:val="32"/>
        </w:rPr>
        <w:t xml:space="preserve"> </w:t>
      </w:r>
      <w:r>
        <w:rPr>
          <w:rFonts w:hint="eastAsia" w:ascii="仿宋_GB2312" w:hAnsi="黑体" w:eastAsia="仿宋_GB2312" w:cs="黑体"/>
          <w:bCs/>
          <w:iCs/>
          <w:kern w:val="0"/>
          <w:sz w:val="32"/>
          <w:szCs w:val="32"/>
        </w:rPr>
        <w:t xml:space="preserve"> </w:t>
      </w:r>
      <w:r>
        <w:rPr>
          <w:rFonts w:hint="eastAsia" w:ascii="仿宋_GB2312" w:hAnsi="仿宋" w:eastAsia="仿宋_GB2312"/>
          <w:sz w:val="32"/>
          <w:szCs w:val="32"/>
        </w:rPr>
        <w:t>项目涉及海域使用的，项目单位可在取得项目用海批准文件或者签订海域使用权出让合同、宗海图以及界址点坐标材料后，申请海域使用权首次登记。</w:t>
      </w:r>
    </w:p>
    <w:p>
      <w:pPr>
        <w:spacing w:line="579" w:lineRule="exact"/>
        <w:ind w:firstLine="645"/>
        <w:rPr>
          <w:rFonts w:hint="eastAsia" w:ascii="仿宋_GB2312" w:hAnsi="仿宋" w:eastAsia="仿宋_GB2312"/>
          <w:sz w:val="32"/>
          <w:szCs w:val="32"/>
        </w:rPr>
      </w:pPr>
      <w:r>
        <w:rPr>
          <w:rFonts w:hint="eastAsia" w:ascii="仿宋_GB2312" w:hAnsi="仿宋" w:eastAsia="仿宋_GB2312"/>
          <w:sz w:val="32"/>
          <w:szCs w:val="32"/>
        </w:rPr>
        <w:t>填海造地的，项目单位可在填海项目竣工后，申请土地使用权首次登记，一并申请海域使用权变更登记或者注销登记。</w:t>
      </w:r>
    </w:p>
    <w:p>
      <w:pPr>
        <w:spacing w:line="579" w:lineRule="exact"/>
        <w:ind w:firstLine="645"/>
        <w:rPr>
          <w:rFonts w:hint="eastAsia" w:ascii="仿宋_GB2312" w:hAnsi="仿宋" w:eastAsia="仿宋_GB2312"/>
          <w:sz w:val="32"/>
          <w:szCs w:val="32"/>
        </w:rPr>
      </w:pPr>
      <w:r>
        <w:rPr>
          <w:rFonts w:hint="eastAsia" w:ascii="黑体" w:hAnsi="黑体" w:eastAsia="黑体" w:cs="黑体"/>
          <w:b w:val="0"/>
          <w:bCs/>
          <w:iCs/>
          <w:kern w:val="0"/>
          <w:sz w:val="32"/>
          <w:szCs w:val="32"/>
        </w:rPr>
        <w:t>第三十四条</w:t>
      </w:r>
      <w:r>
        <w:rPr>
          <w:rFonts w:hint="eastAsia" w:ascii="黑体" w:hAnsi="黑体" w:eastAsia="黑体" w:cs="黑体"/>
          <w:bCs/>
          <w:iCs/>
          <w:kern w:val="0"/>
          <w:sz w:val="32"/>
          <w:szCs w:val="32"/>
        </w:rPr>
        <w:t xml:space="preserve"> </w:t>
      </w:r>
      <w:r>
        <w:rPr>
          <w:rFonts w:hint="eastAsia" w:ascii="仿宋_GB2312" w:hAnsi="黑体" w:eastAsia="仿宋_GB2312" w:cs="黑体"/>
          <w:bCs/>
          <w:iCs/>
          <w:kern w:val="0"/>
          <w:sz w:val="32"/>
          <w:szCs w:val="32"/>
        </w:rPr>
        <w:t xml:space="preserve"> </w:t>
      </w:r>
      <w:r>
        <w:rPr>
          <w:rFonts w:hint="eastAsia" w:ascii="仿宋_GB2312" w:hAnsi="仿宋" w:eastAsia="仿宋_GB2312"/>
          <w:sz w:val="32"/>
          <w:szCs w:val="32"/>
        </w:rPr>
        <w:t>依法需缴交地价、缴纳海域使用金以及税费的，还应当提供相关缴纳凭证。</w:t>
      </w:r>
    </w:p>
    <w:p>
      <w:pPr>
        <w:spacing w:line="579" w:lineRule="exact"/>
        <w:ind w:firstLine="645"/>
        <w:rPr>
          <w:rFonts w:ascii="仿宋" w:hAnsi="仿宋" w:eastAsia="仿宋"/>
          <w:sz w:val="32"/>
          <w:szCs w:val="32"/>
        </w:rPr>
      </w:pPr>
    </w:p>
    <w:p>
      <w:pPr>
        <w:tabs>
          <w:tab w:val="left" w:pos="466"/>
        </w:tabs>
        <w:spacing w:before="156" w:beforeLines="50" w:after="156" w:afterLines="50" w:line="579" w:lineRule="exact"/>
        <w:jc w:val="center"/>
        <w:rPr>
          <w:rFonts w:ascii="黑体" w:hAnsi="黑体" w:eastAsia="黑体" w:cs="黑体"/>
          <w:bCs/>
          <w:iCs/>
          <w:kern w:val="0"/>
          <w:sz w:val="32"/>
          <w:szCs w:val="32"/>
        </w:rPr>
      </w:pPr>
      <w:r>
        <w:rPr>
          <w:rFonts w:hint="eastAsia" w:ascii="黑体" w:hAnsi="黑体" w:eastAsia="黑体" w:cs="黑体"/>
          <w:bCs/>
          <w:iCs/>
          <w:kern w:val="0"/>
          <w:sz w:val="32"/>
          <w:szCs w:val="32"/>
        </w:rPr>
        <w:t>第六章  附则</w:t>
      </w:r>
    </w:p>
    <w:p>
      <w:pPr>
        <w:tabs>
          <w:tab w:val="left" w:pos="466"/>
        </w:tabs>
        <w:spacing w:line="579" w:lineRule="exact"/>
        <w:ind w:firstLine="640" w:firstLineChars="200"/>
        <w:rPr>
          <w:rFonts w:hint="eastAsia" w:ascii="仿宋_GB2312" w:hAnsi="仿宋" w:eastAsia="仿宋_GB2312" w:cs="仿宋"/>
          <w:bCs/>
          <w:sz w:val="32"/>
          <w:szCs w:val="32"/>
        </w:rPr>
      </w:pPr>
      <w:r>
        <w:rPr>
          <w:rFonts w:hint="eastAsia" w:ascii="黑体" w:hAnsi="黑体" w:eastAsia="黑体" w:cs="黑体"/>
          <w:b w:val="0"/>
          <w:bCs/>
          <w:iCs/>
          <w:kern w:val="0"/>
          <w:sz w:val="32"/>
          <w:szCs w:val="32"/>
        </w:rPr>
        <w:t>第三十五条</w:t>
      </w:r>
      <w:r>
        <w:rPr>
          <w:rFonts w:hint="eastAsia" w:ascii="黑体" w:hAnsi="黑体" w:eastAsia="黑体" w:cs="黑体"/>
          <w:bCs/>
          <w:iCs/>
          <w:kern w:val="0"/>
          <w:sz w:val="32"/>
          <w:szCs w:val="32"/>
        </w:rPr>
        <w:t xml:space="preserve">  </w:t>
      </w:r>
      <w:r>
        <w:rPr>
          <w:rFonts w:hint="eastAsia" w:ascii="仿宋_GB2312" w:hAnsi="仿宋" w:eastAsia="仿宋_GB2312" w:cs="仿宋"/>
          <w:bCs/>
          <w:sz w:val="32"/>
          <w:szCs w:val="32"/>
        </w:rPr>
        <w:t>本办法没有规定的配套措施按照《深圳市公共服务类建设项目施工许可管理规定》第三十九条至第五十二条执行。</w:t>
      </w:r>
    </w:p>
    <w:p>
      <w:pPr>
        <w:tabs>
          <w:tab w:val="left" w:pos="466"/>
        </w:tabs>
        <w:spacing w:line="579" w:lineRule="exact"/>
        <w:rPr>
          <w:rFonts w:hint="eastAsia" w:ascii="仿宋_GB2312" w:hAnsi="仿宋" w:eastAsia="仿宋_GB2312" w:cs="仿宋"/>
          <w:sz w:val="32"/>
          <w:szCs w:val="32"/>
        </w:rPr>
      </w:pPr>
      <w:r>
        <w:rPr>
          <w:rFonts w:hint="eastAsia" w:ascii="黑体" w:hAnsi="黑体" w:eastAsia="黑体" w:cs="黑体"/>
          <w:bCs/>
          <w:iCs/>
          <w:kern w:val="0"/>
          <w:sz w:val="32"/>
          <w:szCs w:val="32"/>
        </w:rPr>
        <w:t xml:space="preserve">    </w:t>
      </w:r>
      <w:r>
        <w:rPr>
          <w:rFonts w:hint="eastAsia" w:ascii="黑体" w:hAnsi="黑体" w:eastAsia="黑体" w:cs="黑体"/>
          <w:b w:val="0"/>
          <w:bCs/>
          <w:iCs/>
          <w:kern w:val="0"/>
          <w:sz w:val="32"/>
          <w:szCs w:val="32"/>
        </w:rPr>
        <w:t>第三十六条</w:t>
      </w:r>
      <w:r>
        <w:rPr>
          <w:rFonts w:hint="eastAsia" w:ascii="黑体" w:hAnsi="黑体" w:eastAsia="黑体" w:cs="黑体"/>
          <w:bCs/>
          <w:iCs/>
          <w:kern w:val="0"/>
          <w:sz w:val="32"/>
          <w:szCs w:val="32"/>
        </w:rPr>
        <w:t xml:space="preserve">  </w:t>
      </w:r>
      <w:r>
        <w:rPr>
          <w:rFonts w:hint="eastAsia" w:ascii="仿宋_GB2312" w:hAnsi="仿宋" w:eastAsia="仿宋_GB2312" w:cs="仿宋"/>
          <w:sz w:val="32"/>
          <w:szCs w:val="32"/>
        </w:rPr>
        <w:t>本办法所指“重点地区、重要节点”建设项目为：</w:t>
      </w:r>
    </w:p>
    <w:p>
      <w:pPr>
        <w:tabs>
          <w:tab w:val="left" w:pos="466"/>
        </w:tabs>
        <w:spacing w:line="579"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（一）位于福田中心区、香蜜湖片区、前海深港合作区、后海中心区、深圳湾超级总部片区和深南大道、滨海大道沿线，且建筑面积不小于2万平方米的项目；</w:t>
      </w:r>
    </w:p>
    <w:p>
      <w:pPr>
        <w:tabs>
          <w:tab w:val="left" w:pos="466"/>
        </w:tabs>
        <w:spacing w:line="579"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（二）位于空港新城、留仙洞总部基地、宝安中心区、龙岗大运新城、深圳北站周边地区、光明凤凰城、坪山中心区，且建筑面积不小于5万平方米的非居住项目；</w:t>
      </w:r>
    </w:p>
    <w:p>
      <w:pPr>
        <w:tabs>
          <w:tab w:val="left" w:pos="466"/>
        </w:tabs>
        <w:spacing w:line="579" w:lineRule="exact"/>
        <w:ind w:firstLine="640"/>
        <w:rPr>
          <w:rFonts w:hint="eastAsia" w:ascii="仿宋_GB2312" w:hAnsi="仿宋" w:eastAsia="仿宋_GB2312" w:cs="仿宋"/>
          <w:b/>
          <w:sz w:val="32"/>
          <w:szCs w:val="32"/>
        </w:rPr>
      </w:pPr>
      <w:r>
        <w:rPr>
          <w:rFonts w:hint="eastAsia" w:ascii="仿宋_GB2312" w:hAnsi="仿宋" w:eastAsia="仿宋_GB2312" w:cs="仿宋"/>
          <w:sz w:val="32"/>
          <w:szCs w:val="32"/>
        </w:rPr>
        <w:t>（三）东部滨海岸线沿线范围的项目。</w:t>
      </w:r>
    </w:p>
    <w:p>
      <w:pPr>
        <w:spacing w:line="579" w:lineRule="exact"/>
        <w:ind w:firstLine="640" w:firstLineChars="200"/>
        <w:rPr>
          <w:rFonts w:hint="eastAsia" w:ascii="仿宋_GB2312" w:hAnsi="仿宋" w:eastAsia="仿宋_GB2312" w:cs="仿宋"/>
          <w:sz w:val="32"/>
          <w:szCs w:val="32"/>
        </w:rPr>
      </w:pPr>
      <w:r>
        <w:rPr>
          <w:rFonts w:hint="eastAsia" w:ascii="黑体" w:hAnsi="黑体" w:eastAsia="黑体" w:cs="黑体"/>
          <w:b w:val="0"/>
          <w:bCs/>
          <w:iCs/>
          <w:kern w:val="0"/>
          <w:sz w:val="32"/>
          <w:szCs w:val="32"/>
        </w:rPr>
        <w:t>第三十七条</w:t>
      </w:r>
      <w:r>
        <w:rPr>
          <w:rFonts w:hint="eastAsia" w:ascii="黑体" w:hAnsi="黑体" w:eastAsia="黑体" w:cs="黑体"/>
          <w:bCs/>
          <w:iCs/>
          <w:kern w:val="0"/>
          <w:sz w:val="32"/>
          <w:szCs w:val="32"/>
        </w:rPr>
        <w:t xml:space="preserve"> </w:t>
      </w:r>
      <w:r>
        <w:rPr>
          <w:rFonts w:hint="eastAsia" w:ascii="仿宋_GB2312" w:hAnsi="黑体" w:eastAsia="仿宋_GB2312" w:cs="黑体"/>
          <w:bCs/>
          <w:iCs/>
          <w:kern w:val="0"/>
          <w:sz w:val="32"/>
          <w:szCs w:val="32"/>
        </w:rPr>
        <w:t xml:space="preserve"> </w:t>
      </w:r>
      <w:r>
        <w:rPr>
          <w:rFonts w:hint="eastAsia" w:ascii="仿宋_GB2312" w:hAnsi="仿宋" w:eastAsia="仿宋_GB2312" w:cs="仿宋"/>
          <w:sz w:val="32"/>
          <w:szCs w:val="32"/>
        </w:rPr>
        <w:t>本办法自2018年  月  日起施行。</w:t>
      </w:r>
    </w:p>
    <w:p>
      <w:bookmarkStart w:id="0" w:name="_GoBack"/>
      <w:bookmarkEnd w:id="0"/>
    </w:p>
    <w:sectPr>
      <w:footerReference r:id="rId3" w:type="default"/>
      <w:pgSz w:w="11906" w:h="16838"/>
      <w:pgMar w:top="1701" w:right="1800" w:bottom="153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Noto Sans Mono CJK KR Regular">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9123C"/>
    <w:rsid w:val="0B39123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2018-06-01T12:15:00Z</dcterms:created>
  <dc:creator>好饭友</dc:creator>
  <cp:lastModifiedBy>好饭友</cp:lastModifiedBy>
  <dcterms:modified xsi:type="dcterms:W3CDTF">2018-06-01T12:16:27Z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