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黑体" w:hAnsi="黑体" w:eastAsia="黑体" w:cs="Times New Roman"/>
          <w:b w:val="0"/>
          <w:bCs/>
          <w:sz w:val="32"/>
          <w:szCs w:val="32"/>
        </w:rPr>
      </w:pPr>
      <w:bookmarkStart w:id="0" w:name="_GoBack"/>
      <w:bookmarkEnd w:id="0"/>
      <w:r>
        <w:rPr>
          <w:rFonts w:hint="eastAsia" w:ascii="黑体" w:hAnsi="黑体" w:eastAsia="黑体" w:cs="Times New Roman"/>
          <w:b w:val="0"/>
          <w:bCs/>
          <w:sz w:val="32"/>
          <w:szCs w:val="32"/>
        </w:rPr>
        <w:t>附件1</w:t>
      </w:r>
    </w:p>
    <w:p>
      <w:pPr>
        <w:jc w:val="left"/>
        <w:rPr>
          <w:rFonts w:ascii="宋体" w:hAnsi="宋体" w:eastAsia="宋体" w:cs="Times New Roman"/>
          <w:b/>
          <w:sz w:val="44"/>
          <w:szCs w:val="44"/>
        </w:rPr>
      </w:pPr>
    </w:p>
    <w:p>
      <w:pPr>
        <w:jc w:val="center"/>
        <w:rPr>
          <w:rFonts w:ascii="宋体" w:hAnsi="宋体" w:eastAsia="宋体" w:cs="Times New Roman"/>
          <w:b/>
          <w:sz w:val="44"/>
          <w:szCs w:val="44"/>
        </w:rPr>
      </w:pPr>
      <w:r>
        <w:rPr>
          <w:rFonts w:hint="eastAsia" w:ascii="宋体" w:hAnsi="宋体" w:eastAsia="宋体" w:cs="Times New Roman"/>
          <w:b/>
          <w:sz w:val="44"/>
          <w:szCs w:val="44"/>
        </w:rPr>
        <w:t>深圳市新能源汽车充电设施管理暂行办法</w:t>
      </w:r>
    </w:p>
    <w:p>
      <w:pPr>
        <w:jc w:val="center"/>
        <w:rPr>
          <w:rFonts w:ascii="宋体" w:hAnsi="宋体" w:eastAsia="宋体" w:cs="Times New Roman"/>
          <w:b/>
          <w:sz w:val="44"/>
          <w:szCs w:val="44"/>
        </w:rPr>
      </w:pPr>
      <w:r>
        <w:rPr>
          <w:rFonts w:hint="eastAsia" w:ascii="宋体" w:hAnsi="宋体" w:eastAsia="宋体" w:cs="Times New Roman"/>
          <w:b/>
          <w:sz w:val="44"/>
          <w:szCs w:val="44"/>
        </w:rPr>
        <w:t xml:space="preserve"> (</w:t>
      </w:r>
      <w:r>
        <w:rPr>
          <w:rFonts w:hint="eastAsia" w:ascii="宋体" w:hAnsi="宋体" w:eastAsia="宋体" w:cs="Times New Roman"/>
          <w:b/>
          <w:sz w:val="44"/>
          <w:szCs w:val="44"/>
          <w:lang w:eastAsia="zh-CN"/>
        </w:rPr>
        <w:t>征求意见稿</w:t>
      </w:r>
      <w:r>
        <w:rPr>
          <w:rFonts w:hint="eastAsia" w:ascii="宋体" w:hAnsi="宋体" w:eastAsia="宋体" w:cs="Times New Roman"/>
          <w:b/>
          <w:sz w:val="44"/>
          <w:szCs w:val="44"/>
        </w:rPr>
        <w:t>)</w:t>
      </w:r>
    </w:p>
    <w:p>
      <w:pPr>
        <w:spacing w:line="560" w:lineRule="exact"/>
        <w:jc w:val="center"/>
        <w:rPr>
          <w:rFonts w:ascii="方正小标宋简体" w:eastAsia="方正小标宋简体"/>
          <w:sz w:val="40"/>
          <w:szCs w:val="44"/>
        </w:rPr>
      </w:pPr>
    </w:p>
    <w:p>
      <w:pPr>
        <w:spacing w:line="560" w:lineRule="exact"/>
        <w:jc w:val="center"/>
        <w:rPr>
          <w:rFonts w:ascii="黑体" w:hAnsi="黑体" w:eastAsia="黑体"/>
          <w:sz w:val="32"/>
          <w:szCs w:val="32"/>
        </w:rPr>
      </w:pPr>
      <w:r>
        <w:rPr>
          <w:rFonts w:hint="eastAsia" w:ascii="黑体" w:hAnsi="黑体" w:eastAsia="黑体"/>
          <w:sz w:val="32"/>
          <w:szCs w:val="32"/>
        </w:rPr>
        <w:t>第一章  总  则</w:t>
      </w:r>
    </w:p>
    <w:p>
      <w:pPr>
        <w:spacing w:line="560" w:lineRule="exact"/>
        <w:jc w:val="center"/>
        <w:rPr>
          <w:rFonts w:ascii="黑体" w:hAnsi="黑体" w:eastAsia="黑体"/>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第一条  (目的和依据)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加强深圳市新能源汽车充电设施安全管理，预防和减少事故发生，保障人民群众生命和财产安全，提升我市新能源汽车充电设施公共安全水平，根据《中华人民共和国安全生产法》、《广东省电动汽车充电基础设施建设运营管理办法》、《深圳市党政部门安全管理工作职责规定》、《深圳市安委会关于加强安全生产长效机制建设工作方案的通知》等法律法规和有关规定，制定本办法。</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（充电设施分类）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办法适用的充电设施包括七类：在道路范围内和交通场站内建设的充电设施；在社会停车场建设的充电设施；在住宅区停车场建设的充电设施；在党政机关、事业单位、公共机构等内部停车场建设的充电设施；在市属国有企业内部停车场建设的充电设施；在市属公园停车场内建设的充电设施；除上述六类充电设施外的</w:t>
      </w:r>
      <w:r>
        <w:rPr>
          <w:rFonts w:hint="eastAsia" w:ascii="仿宋" w:hAnsi="仿宋" w:eastAsia="仿宋"/>
          <w:sz w:val="32"/>
          <w:szCs w:val="32"/>
          <w:lang w:eastAsia="zh-CN"/>
        </w:rPr>
        <w:t>所有</w:t>
      </w:r>
      <w:r>
        <w:rPr>
          <w:rFonts w:hint="eastAsia" w:ascii="仿宋" w:hAnsi="仿宋" w:eastAsia="仿宋"/>
          <w:sz w:val="32"/>
          <w:szCs w:val="32"/>
        </w:rPr>
        <w:t>其</w:t>
      </w:r>
      <w:r>
        <w:rPr>
          <w:rFonts w:hint="eastAsia" w:ascii="仿宋" w:hAnsi="仿宋" w:eastAsia="仿宋"/>
          <w:sz w:val="32"/>
          <w:szCs w:val="32"/>
          <w:lang w:eastAsia="zh-CN"/>
        </w:rPr>
        <w:t>它</w:t>
      </w:r>
      <w:r>
        <w:rPr>
          <w:rFonts w:hint="eastAsia" w:ascii="仿宋" w:hAnsi="仿宋" w:eastAsia="仿宋"/>
          <w:sz w:val="32"/>
          <w:szCs w:val="32"/>
        </w:rPr>
        <w:t>充电设施。</w:t>
      </w:r>
    </w:p>
    <w:p>
      <w:pPr>
        <w:numPr>
          <w:ilvl w:val="0"/>
          <w:numId w:val="2"/>
        </w:num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（适用对象范围）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凡在本市建设、运营的新能源汽车充电设施均纳入本办法</w:t>
      </w:r>
      <w:r>
        <w:rPr>
          <w:rFonts w:hint="eastAsia" w:ascii="仿宋" w:hAnsi="仿宋" w:eastAsia="仿宋"/>
          <w:sz w:val="32"/>
          <w:szCs w:val="32"/>
          <w:lang w:eastAsia="zh-CN"/>
        </w:rPr>
        <w:t>管理</w:t>
      </w:r>
      <w:r>
        <w:rPr>
          <w:rFonts w:hint="eastAsia" w:ascii="仿宋" w:hAnsi="仿宋" w:eastAsia="仿宋"/>
          <w:sz w:val="32"/>
          <w:szCs w:val="32"/>
        </w:rPr>
        <w:t>范围。</w:t>
      </w:r>
    </w:p>
    <w:p>
      <w:pPr>
        <w:spacing w:line="560" w:lineRule="exact"/>
        <w:ind w:firstLine="640" w:firstLineChars="200"/>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建设准入</w:t>
      </w:r>
    </w:p>
    <w:p>
      <w:pPr>
        <w:spacing w:line="560" w:lineRule="exact"/>
        <w:jc w:val="center"/>
        <w:rPr>
          <w:rFonts w:ascii="黑体" w:hAnsi="黑体" w:eastAsia="黑体"/>
          <w:sz w:val="32"/>
          <w:szCs w:val="32"/>
        </w:rPr>
      </w:pPr>
    </w:p>
    <w:p>
      <w:pPr>
        <w:pStyle w:val="8"/>
        <w:spacing w:before="0" w:after="0" w:line="560" w:lineRule="exact"/>
        <w:ind w:firstLine="640" w:firstLineChars="200"/>
        <w:jc w:val="both"/>
        <w:rPr>
          <w:rFonts w:ascii="仿宋" w:hAnsi="仿宋" w:eastAsia="仿宋" w:cstheme="minorBidi"/>
          <w:b w:val="0"/>
          <w:bCs w:val="0"/>
        </w:rPr>
      </w:pPr>
      <w:r>
        <w:rPr>
          <w:rFonts w:hint="eastAsia" w:ascii="仿宋" w:hAnsi="仿宋" w:eastAsia="仿宋" w:cstheme="minorBidi"/>
          <w:b w:val="0"/>
          <w:bCs w:val="0"/>
        </w:rPr>
        <w:t>第四条  （安全风险评估）</w:t>
      </w:r>
    </w:p>
    <w:p>
      <w:pPr>
        <w:pStyle w:val="8"/>
        <w:spacing w:before="0" w:after="0" w:line="560" w:lineRule="exact"/>
        <w:ind w:firstLine="640" w:firstLineChars="200"/>
        <w:jc w:val="both"/>
        <w:rPr>
          <w:rFonts w:ascii="仿宋" w:hAnsi="仿宋" w:eastAsia="仿宋" w:cstheme="minorBidi"/>
          <w:b w:val="0"/>
          <w:bCs w:val="0"/>
        </w:rPr>
      </w:pPr>
      <w:r>
        <w:rPr>
          <w:rFonts w:hint="eastAsia" w:ascii="仿宋" w:hAnsi="仿宋" w:eastAsia="仿宋" w:cstheme="minorBidi"/>
          <w:b w:val="0"/>
          <w:bCs w:val="0"/>
        </w:rPr>
        <w:t>建设单位在充电设施规划设计过程中，要严格遵循有关法律、法规和标准要求，符合充电设施专项规划、场所消防和防火安全的要求，做好安全风险评估和防控风险论证。</w:t>
      </w:r>
    </w:p>
    <w:p>
      <w:pPr>
        <w:pStyle w:val="18"/>
        <w:numPr>
          <w:ilvl w:val="0"/>
          <w:numId w:val="3"/>
        </w:numPr>
        <w:spacing w:line="560" w:lineRule="exact"/>
        <w:ind w:firstLine="640"/>
        <w:rPr>
          <w:rFonts w:ascii="仿宋" w:hAnsi="仿宋" w:eastAsia="仿宋"/>
          <w:sz w:val="32"/>
          <w:szCs w:val="32"/>
        </w:rPr>
      </w:pPr>
      <w:r>
        <w:rPr>
          <w:rFonts w:hint="eastAsia" w:ascii="仿宋" w:hAnsi="仿宋" w:eastAsia="仿宋"/>
          <w:sz w:val="32"/>
          <w:szCs w:val="32"/>
        </w:rPr>
        <w:t xml:space="preserve"> （现场技术确认）</w:t>
      </w:r>
    </w:p>
    <w:p>
      <w:pPr>
        <w:pStyle w:val="18"/>
        <w:spacing w:line="560" w:lineRule="exact"/>
        <w:ind w:firstLine="640"/>
        <w:rPr>
          <w:rFonts w:ascii="仿宋" w:hAnsi="仿宋" w:eastAsia="仿宋"/>
          <w:sz w:val="32"/>
          <w:szCs w:val="32"/>
        </w:rPr>
      </w:pPr>
      <w:r>
        <w:rPr>
          <w:rFonts w:hint="eastAsia" w:ascii="仿宋" w:hAnsi="仿宋" w:eastAsia="仿宋"/>
          <w:sz w:val="32"/>
          <w:szCs w:val="32"/>
        </w:rPr>
        <w:t>充电设施建设完工后，建设单位应自行或委托第三方</w:t>
      </w:r>
      <w:r>
        <w:rPr>
          <w:rFonts w:hint="eastAsia" w:ascii="仿宋" w:hAnsi="仿宋" w:eastAsia="仿宋"/>
          <w:sz w:val="32"/>
          <w:szCs w:val="32"/>
          <w:lang w:eastAsia="zh-CN"/>
        </w:rPr>
        <w:t>专业技术</w:t>
      </w:r>
      <w:r>
        <w:rPr>
          <w:rFonts w:hint="eastAsia" w:ascii="仿宋" w:hAnsi="仿宋" w:eastAsia="仿宋"/>
          <w:sz w:val="32"/>
          <w:szCs w:val="32"/>
        </w:rPr>
        <w:t>机构对其进行现场技术确认工作，重点验收充电设施产品质量、施工质量、电气安全、计量系统、电能质量等指标，以及与整车充电接口、通信协议的一致性检测和调试。</w:t>
      </w:r>
    </w:p>
    <w:p>
      <w:pPr>
        <w:pStyle w:val="18"/>
        <w:numPr>
          <w:ilvl w:val="0"/>
          <w:numId w:val="3"/>
        </w:numPr>
        <w:spacing w:line="560" w:lineRule="exact"/>
        <w:ind w:firstLine="640"/>
        <w:rPr>
          <w:rFonts w:ascii="仿宋" w:hAnsi="仿宋" w:eastAsia="仿宋"/>
          <w:sz w:val="32"/>
          <w:szCs w:val="32"/>
        </w:rPr>
      </w:pPr>
      <w:r>
        <w:rPr>
          <w:rFonts w:hint="eastAsia" w:ascii="仿宋" w:hAnsi="仿宋" w:eastAsia="仿宋"/>
          <w:sz w:val="32"/>
          <w:szCs w:val="32"/>
        </w:rPr>
        <w:t xml:space="preserve"> （充电设施综合验收）</w:t>
      </w:r>
    </w:p>
    <w:p>
      <w:pPr>
        <w:pStyle w:val="18"/>
        <w:spacing w:line="560" w:lineRule="exact"/>
        <w:ind w:firstLine="640"/>
        <w:rPr>
          <w:rFonts w:ascii="仿宋" w:hAnsi="仿宋" w:eastAsia="仿宋"/>
          <w:sz w:val="32"/>
          <w:szCs w:val="32"/>
        </w:rPr>
      </w:pPr>
      <w:r>
        <w:rPr>
          <w:rFonts w:hint="eastAsia" w:ascii="仿宋" w:hAnsi="仿宋" w:eastAsia="仿宋"/>
          <w:sz w:val="32"/>
          <w:szCs w:val="32"/>
        </w:rPr>
        <w:t>充电设施正式投入运营前，建设单位须分别完成消防、防雷、计量等主管部门和供电部门的单项验收，再根据安全</w:t>
      </w:r>
      <w:r>
        <w:rPr>
          <w:rFonts w:hint="eastAsia" w:ascii="仿宋" w:hAnsi="仿宋" w:eastAsia="仿宋"/>
          <w:sz w:val="32"/>
          <w:szCs w:val="32"/>
          <w:lang w:eastAsia="zh-CN"/>
        </w:rPr>
        <w:t>监管职责</w:t>
      </w:r>
      <w:r>
        <w:rPr>
          <w:rFonts w:hint="eastAsia" w:ascii="仿宋" w:hAnsi="仿宋" w:eastAsia="仿宋"/>
          <w:sz w:val="32"/>
          <w:szCs w:val="32"/>
        </w:rPr>
        <w:t>分工分别向市交通运输、公安交警、住房建设、机关事务管理、国有资产管理、城市管理等主管部门或所在区政府（新区管委会）申请进行综合验收。验收合格后方可投入运营和使用。对未验收或验收不合格的，供电部门不得装表供电。</w:t>
      </w:r>
    </w:p>
    <w:p>
      <w:pPr>
        <w:pStyle w:val="18"/>
        <w:numPr>
          <w:ilvl w:val="0"/>
          <w:numId w:val="3"/>
        </w:numPr>
        <w:spacing w:line="560" w:lineRule="exact"/>
        <w:ind w:firstLine="640"/>
        <w:rPr>
          <w:rFonts w:ascii="仿宋" w:hAnsi="仿宋" w:eastAsia="仿宋"/>
          <w:sz w:val="32"/>
          <w:szCs w:val="32"/>
        </w:rPr>
      </w:pPr>
      <w:r>
        <w:rPr>
          <w:rFonts w:hint="eastAsia" w:ascii="仿宋" w:hAnsi="仿宋" w:eastAsia="仿宋"/>
          <w:sz w:val="32"/>
          <w:szCs w:val="32"/>
        </w:rPr>
        <w:t xml:space="preserve"> （充电设施补贴申请）</w:t>
      </w:r>
    </w:p>
    <w:p>
      <w:pPr>
        <w:pStyle w:val="18"/>
        <w:spacing w:line="560" w:lineRule="exact"/>
        <w:ind w:firstLine="0" w:firstLineChars="0"/>
        <w:rPr>
          <w:rFonts w:ascii="仿宋" w:hAnsi="仿宋" w:eastAsia="仿宋"/>
          <w:sz w:val="32"/>
          <w:szCs w:val="32"/>
        </w:rPr>
      </w:pPr>
      <w:r>
        <w:rPr>
          <w:rFonts w:hint="eastAsia" w:ascii="仿宋" w:hAnsi="仿宋" w:eastAsia="仿宋"/>
          <w:sz w:val="32"/>
          <w:szCs w:val="32"/>
        </w:rPr>
        <w:t xml:space="preserve">    投入运营的充电设施，可向市发展改革部门提出充电基础设施建设补贴申请。</w:t>
      </w:r>
    </w:p>
    <w:p>
      <w:pPr>
        <w:pStyle w:val="18"/>
        <w:spacing w:line="560" w:lineRule="exact"/>
        <w:ind w:firstLine="640"/>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运营管理</w:t>
      </w:r>
    </w:p>
    <w:p>
      <w:pPr>
        <w:spacing w:line="560" w:lineRule="exact"/>
        <w:jc w:val="center"/>
        <w:rPr>
          <w:rFonts w:ascii="黑体" w:hAnsi="黑体" w:eastAsia="黑体"/>
          <w:sz w:val="32"/>
          <w:szCs w:val="32"/>
        </w:rPr>
      </w:pPr>
    </w:p>
    <w:p>
      <w:pPr>
        <w:numPr>
          <w:ilvl w:val="0"/>
          <w:numId w:val="4"/>
        </w:num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 xml:space="preserve">  （责任主体）</w:t>
      </w:r>
    </w:p>
    <w:p>
      <w:pPr>
        <w:spacing w:line="560" w:lineRule="exact"/>
        <w:ind w:firstLine="640" w:firstLineChars="200"/>
        <w:rPr>
          <w:rFonts w:ascii="仿宋_GB2312" w:hAnsi="楷体" w:eastAsia="仿宋_GB2312" w:cs="Times New Roman"/>
          <w:sz w:val="32"/>
          <w:szCs w:val="32"/>
        </w:rPr>
      </w:pPr>
      <w:r>
        <w:rPr>
          <w:rFonts w:hint="eastAsia" w:ascii="仿宋" w:hAnsi="仿宋" w:eastAsia="仿宋"/>
          <w:sz w:val="32"/>
          <w:szCs w:val="32"/>
        </w:rPr>
        <w:t>充电设施的安全生产责任主体为其权属人。权属人可以委托第三方（包括但不限于运营企业、物业企业）对充电设施进行管理并签订安全生产管理协议。</w:t>
      </w:r>
    </w:p>
    <w:p>
      <w:pPr>
        <w:numPr>
          <w:ilvl w:val="0"/>
          <w:numId w:val="4"/>
        </w:num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 xml:space="preserve"> （安全生产责任制）</w:t>
      </w:r>
    </w:p>
    <w:p>
      <w:p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充电设施安全生产责任主体应建立健全管理制度及安全规范，设置安全管理组织，配备专职的安全员，运营各环节应明确安全责任人，将运营服务安全管理贯穿于运营服务全过程。</w:t>
      </w:r>
    </w:p>
    <w:p>
      <w:pPr>
        <w:numPr>
          <w:ilvl w:val="0"/>
          <w:numId w:val="4"/>
        </w:num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 xml:space="preserve"> （教育培训上岗）</w:t>
      </w:r>
    </w:p>
    <w:p>
      <w:p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充电设施安全生产责任主体应开展对管理人员和作业人员的安全生产教育和岗位技能培训，使其掌握新能源汽车充电安全知识、用电安全规范、新能源汽车充电发生紧急情况的处理方法和触电急救法等，经考核合格后方可上岗。</w:t>
      </w:r>
    </w:p>
    <w:p>
      <w:pPr>
        <w:numPr>
          <w:ilvl w:val="0"/>
          <w:numId w:val="4"/>
        </w:num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 xml:space="preserve"> （日常运行管理）</w:t>
      </w:r>
    </w:p>
    <w:p>
      <w:p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充电设施安全生产责任主体每月应定期开展电气安全、技术防控、运维操作、消防及防雷设施安全检查和隐患排查，落实整改责任、措施、资金、时限、预案，及时消除安全隐患，保障充电设备、设施及系统安全平稳运行。同时做好相应台账，以备相关主管部门日常检查。</w:t>
      </w:r>
    </w:p>
    <w:p>
      <w:pPr>
        <w:pStyle w:val="7"/>
        <w:numPr>
          <w:ilvl w:val="0"/>
          <w:numId w:val="4"/>
        </w:numPr>
        <w:spacing w:before="0" w:beforeAutospacing="0" w:after="0" w:afterAutospacing="0" w:line="560" w:lineRule="exact"/>
        <w:ind w:firstLine="640" w:firstLineChars="200"/>
        <w:rPr>
          <w:rFonts w:ascii="仿宋_GB2312" w:hAnsi="楷体" w:eastAsia="仿宋_GB2312" w:cs="Times New Roman"/>
          <w:kern w:val="2"/>
          <w:sz w:val="32"/>
          <w:szCs w:val="32"/>
        </w:rPr>
      </w:pPr>
      <w:r>
        <w:rPr>
          <w:rFonts w:hint="eastAsia" w:ascii="仿宋_GB2312" w:hAnsi="楷体" w:eastAsia="仿宋_GB2312" w:cs="Times New Roman"/>
          <w:kern w:val="2"/>
          <w:sz w:val="32"/>
          <w:szCs w:val="32"/>
        </w:rPr>
        <w:t xml:space="preserve"> （应急处置措施）</w:t>
      </w:r>
    </w:p>
    <w:p>
      <w:pPr>
        <w:pStyle w:val="7"/>
        <w:spacing w:before="0" w:beforeAutospacing="0" w:after="0" w:afterAutospacing="0" w:line="560" w:lineRule="exact"/>
        <w:ind w:firstLine="640" w:firstLineChars="200"/>
        <w:rPr>
          <w:rFonts w:ascii="仿宋" w:hAnsi="仿宋" w:eastAsia="仿宋"/>
          <w:sz w:val="32"/>
          <w:szCs w:val="32"/>
        </w:rPr>
      </w:pPr>
      <w:r>
        <w:rPr>
          <w:rFonts w:hint="eastAsia" w:ascii="仿宋_GB2312" w:hAnsi="楷体" w:eastAsia="仿宋_GB2312" w:cs="Times New Roman"/>
          <w:kern w:val="2"/>
          <w:sz w:val="32"/>
          <w:szCs w:val="32"/>
        </w:rPr>
        <w:t>充电设施安全生产责任主体应设置应急组织，建立突发事件应急预案，进行应急培训、演练和评估，包括火灾、车辆故障、电池破损燃烧爆炸、供电系统故障、人员触电、电池故障、设备故障等。</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（安全监控系统）</w:t>
      </w:r>
    </w:p>
    <w:p>
      <w:pPr>
        <w:pStyle w:val="2"/>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充电设施运营企业应建立企业级充电设施安全监控系统，具备数据采集、控制调节、数据处理与存储、事件记录、报警处理、设备运行管理、用户管理与权限管理、报表管理与打印等功能。该系统必须接入市级统一的充电设施安全监控平台，实时上传相关数据，未接入市级安全监控平台的，不得投入运营。</w:t>
      </w:r>
    </w:p>
    <w:p>
      <w:pPr>
        <w:pStyle w:val="18"/>
        <w:spacing w:line="560" w:lineRule="exact"/>
        <w:ind w:firstLine="0" w:firstLineChars="0"/>
        <w:rPr>
          <w:rFonts w:ascii="仿宋" w:hAnsi="仿宋" w:eastAsia="仿宋" w:cstheme="minorBidi"/>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安全监管</w:t>
      </w:r>
    </w:p>
    <w:p>
      <w:pPr>
        <w:spacing w:line="560" w:lineRule="exact"/>
        <w:jc w:val="center"/>
        <w:rPr>
          <w:rFonts w:ascii="黑体" w:hAnsi="黑体" w:eastAsia="黑体"/>
          <w:sz w:val="32"/>
          <w:szCs w:val="32"/>
        </w:rPr>
      </w:pP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（监管职责分工）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市发展改革部门负责全市新能源汽车充电行业安全生产监督管理。市交通运输部门负责在道路范围内和交通场站内建设的充电设施的安全监督管理；市公安交警部门负责在社会停车场建设的充电设施的安全监督管理；市住房建设部门负责在住宅区停车场建设的充电设施的安全监督管理；市机关事务管理部门负责在党政机关、事业单位、公共机构等内部停车场建设的充电设施的安全监督管理；市国有资产管理部门负责在市属国有企业内部停车场建设的充电设施的安全监督管理；市城市管理部门负责在市属公园停车场内建设的充电设施的安全监督管理；各区政府（新区管委会）负责所在辖区内其他充电设施的安全监督管理。市安全生产监管部门负责全市新能源汽车充电设施的综合安全监督管理。</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（准入安全监管责任）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市公安消防、住房建设、市场和质量监管、供电</w:t>
      </w:r>
      <w:r>
        <w:rPr>
          <w:rFonts w:hint="eastAsia" w:ascii="仿宋" w:hAnsi="仿宋" w:eastAsia="仿宋"/>
          <w:sz w:val="32"/>
          <w:szCs w:val="32"/>
          <w:lang w:eastAsia="zh-CN"/>
        </w:rPr>
        <w:t>等</w:t>
      </w:r>
      <w:r>
        <w:rPr>
          <w:rFonts w:hint="eastAsia" w:ascii="仿宋" w:hAnsi="仿宋" w:eastAsia="仿宋"/>
          <w:sz w:val="32"/>
          <w:szCs w:val="32"/>
        </w:rPr>
        <w:t>部门分别负责充电基础设施的消防、防雷、计量、供电</w:t>
      </w:r>
      <w:r>
        <w:rPr>
          <w:rFonts w:hint="eastAsia" w:ascii="仿宋" w:hAnsi="仿宋" w:eastAsia="仿宋"/>
          <w:sz w:val="32"/>
          <w:szCs w:val="32"/>
          <w:lang w:eastAsia="zh-CN"/>
        </w:rPr>
        <w:t>的</w:t>
      </w:r>
      <w:r>
        <w:rPr>
          <w:rFonts w:hint="eastAsia" w:ascii="仿宋" w:hAnsi="仿宋" w:eastAsia="仿宋"/>
          <w:sz w:val="32"/>
          <w:szCs w:val="32"/>
        </w:rPr>
        <w:t>安全监督管理。</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（安全监管责任制）</w:t>
      </w:r>
    </w:p>
    <w:p>
      <w:pPr>
        <w:pStyle w:val="18"/>
        <w:spacing w:line="560" w:lineRule="exact"/>
        <w:ind w:firstLine="640"/>
        <w:rPr>
          <w:rFonts w:ascii="仿宋" w:hAnsi="仿宋" w:eastAsia="仿宋"/>
          <w:sz w:val="32"/>
          <w:szCs w:val="32"/>
        </w:rPr>
      </w:pPr>
      <w:r>
        <w:rPr>
          <w:rFonts w:hint="eastAsia" w:ascii="仿宋_GB2312" w:hAnsi="楷体" w:eastAsia="仿宋_GB2312"/>
          <w:sz w:val="32"/>
          <w:szCs w:val="32"/>
        </w:rPr>
        <w:t>市发展改革、交通运输、公安交警、住房建设、机关事务管理、国有资产监管、城市管理等主管部门</w:t>
      </w:r>
      <w:r>
        <w:rPr>
          <w:rFonts w:hint="eastAsia" w:ascii="仿宋" w:hAnsi="仿宋" w:eastAsia="仿宋"/>
          <w:sz w:val="32"/>
          <w:szCs w:val="32"/>
        </w:rPr>
        <w:t>和各区政府（新区管委会）要建立健全安全生产责任制，明确安全生产管理责任部门和责任人员，督促充电设施权属人或其委托的第三方企业落实安全生产主体责任。</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（例行安全检查）</w:t>
      </w:r>
    </w:p>
    <w:p>
      <w:pPr>
        <w:pStyle w:val="18"/>
        <w:spacing w:line="560" w:lineRule="exact"/>
        <w:ind w:firstLine="640"/>
        <w:rPr>
          <w:rFonts w:ascii="仿宋_GB2312" w:hAnsi="楷体" w:eastAsia="仿宋_GB2312"/>
          <w:sz w:val="32"/>
          <w:szCs w:val="32"/>
        </w:rPr>
      </w:pPr>
      <w:r>
        <w:rPr>
          <w:rFonts w:hint="eastAsia" w:ascii="仿宋" w:hAnsi="仿宋" w:eastAsia="仿宋"/>
          <w:sz w:val="32"/>
          <w:szCs w:val="32"/>
        </w:rPr>
        <w:t>根据《深圳市新能源汽车充电设施安全检查工作导则（试行）》，市</w:t>
      </w:r>
      <w:r>
        <w:rPr>
          <w:rFonts w:hint="eastAsia" w:ascii="仿宋_GB2312" w:hAnsi="楷体" w:eastAsia="仿宋_GB2312"/>
          <w:sz w:val="32"/>
          <w:szCs w:val="32"/>
        </w:rPr>
        <w:t>交通运输、公安交警、住房建设、机关事务管理、国有资产管理、城市管理等主管部门和各区政府（新区管委会）每季度对各自管理范围内的充电设施开展安全检查，对检查发现的安全隐患督促充电设施安全</w:t>
      </w:r>
      <w:r>
        <w:rPr>
          <w:rFonts w:hint="eastAsia" w:ascii="仿宋_GB2312" w:hAnsi="楷体" w:eastAsia="仿宋_GB2312"/>
          <w:sz w:val="32"/>
          <w:szCs w:val="32"/>
          <w:lang w:eastAsia="zh-CN"/>
        </w:rPr>
        <w:t>生产</w:t>
      </w:r>
      <w:r>
        <w:rPr>
          <w:rFonts w:hint="eastAsia" w:ascii="仿宋_GB2312" w:hAnsi="楷体" w:eastAsia="仿宋_GB2312"/>
          <w:sz w:val="32"/>
          <w:szCs w:val="32"/>
        </w:rPr>
        <w:t>责任主体限期整改；市发展改革部门不定期组织第三方专业技术机构对全市充电设施进行安全抽查，并将检查结果通报相关主管部门或区政府（新区管委会）。</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（安全监控平台）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市发展改革部门负责建立市级新能源汽车</w:t>
      </w:r>
      <w:r>
        <w:rPr>
          <w:rFonts w:ascii="仿宋" w:hAnsi="仿宋" w:eastAsia="仿宋"/>
          <w:sz w:val="32"/>
          <w:szCs w:val="32"/>
        </w:rPr>
        <w:t>充电设施安全监控平台</w:t>
      </w:r>
      <w:r>
        <w:rPr>
          <w:rFonts w:hint="eastAsia" w:ascii="仿宋" w:hAnsi="仿宋" w:eastAsia="仿宋"/>
          <w:sz w:val="32"/>
          <w:szCs w:val="32"/>
        </w:rPr>
        <w:t>，</w:t>
      </w:r>
      <w:r>
        <w:rPr>
          <w:rFonts w:ascii="仿宋" w:hAnsi="仿宋" w:eastAsia="仿宋"/>
          <w:sz w:val="32"/>
          <w:szCs w:val="32"/>
        </w:rPr>
        <w:t>与企业</w:t>
      </w:r>
      <w:r>
        <w:rPr>
          <w:rFonts w:hint="eastAsia" w:ascii="仿宋" w:hAnsi="仿宋" w:eastAsia="仿宋"/>
          <w:sz w:val="32"/>
          <w:szCs w:val="32"/>
        </w:rPr>
        <w:t>级</w:t>
      </w:r>
      <w:r>
        <w:rPr>
          <w:rFonts w:ascii="仿宋" w:hAnsi="仿宋" w:eastAsia="仿宋"/>
          <w:sz w:val="32"/>
          <w:szCs w:val="32"/>
        </w:rPr>
        <w:t>监控平台</w:t>
      </w:r>
      <w:r>
        <w:rPr>
          <w:rFonts w:hint="eastAsia" w:ascii="仿宋" w:hAnsi="仿宋" w:eastAsia="仿宋"/>
          <w:sz w:val="32"/>
          <w:szCs w:val="32"/>
        </w:rPr>
        <w:t>实现</w:t>
      </w:r>
      <w:r>
        <w:rPr>
          <w:rFonts w:ascii="仿宋" w:hAnsi="仿宋" w:eastAsia="仿宋"/>
          <w:sz w:val="32"/>
          <w:szCs w:val="32"/>
        </w:rPr>
        <w:t>信息</w:t>
      </w:r>
      <w:r>
        <w:rPr>
          <w:rFonts w:hint="eastAsia" w:ascii="仿宋" w:hAnsi="仿宋" w:eastAsia="仿宋"/>
          <w:sz w:val="32"/>
          <w:szCs w:val="32"/>
        </w:rPr>
        <w:t>对接。实现充电设施动态运行状态监控、充电设施异常报警信息记录与跟踪、充电设施档案信息库建立、充电设施运行风险评估分析、充电设施风险预警预案、充电设施安全运行情况通报等。</w:t>
      </w:r>
    </w:p>
    <w:p>
      <w:pPr>
        <w:spacing w:line="560" w:lineRule="exact"/>
        <w:ind w:firstLine="640" w:firstLineChars="200"/>
        <w:rPr>
          <w:rFonts w:ascii="仿宋" w:hAnsi="仿宋" w:eastAsia="仿宋"/>
          <w:sz w:val="32"/>
          <w:szCs w:val="32"/>
        </w:rPr>
      </w:pPr>
    </w:p>
    <w:p>
      <w:pPr>
        <w:numPr>
          <w:ilvl w:val="0"/>
          <w:numId w:val="5"/>
        </w:numPr>
        <w:spacing w:line="560" w:lineRule="exact"/>
        <w:jc w:val="center"/>
        <w:rPr>
          <w:rFonts w:ascii="黑体" w:hAnsi="黑体" w:eastAsia="黑体"/>
          <w:sz w:val="32"/>
          <w:szCs w:val="32"/>
        </w:rPr>
      </w:pPr>
      <w:r>
        <w:rPr>
          <w:rFonts w:hint="eastAsia" w:ascii="黑体" w:hAnsi="黑体" w:eastAsia="黑体"/>
          <w:sz w:val="32"/>
          <w:szCs w:val="32"/>
        </w:rPr>
        <w:t xml:space="preserve"> 保障和处置措施</w:t>
      </w:r>
    </w:p>
    <w:p>
      <w:pPr>
        <w:spacing w:line="560" w:lineRule="exact"/>
        <w:rPr>
          <w:rFonts w:ascii="黑体" w:hAnsi="黑体" w:eastAsia="黑体"/>
          <w:sz w:val="32"/>
          <w:szCs w:val="32"/>
        </w:rPr>
      </w:pP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（会商联络机制）</w:t>
      </w:r>
    </w:p>
    <w:p>
      <w:pPr>
        <w:spacing w:line="560" w:lineRule="exact"/>
        <w:ind w:firstLine="640"/>
        <w:rPr>
          <w:rFonts w:ascii="黑体" w:hAnsi="黑体" w:eastAsia="黑体"/>
          <w:sz w:val="32"/>
          <w:szCs w:val="32"/>
        </w:rPr>
      </w:pPr>
      <w:r>
        <w:rPr>
          <w:rFonts w:hint="eastAsia" w:ascii="仿宋" w:hAnsi="仿宋" w:eastAsia="仿宋"/>
          <w:sz w:val="32"/>
          <w:szCs w:val="32"/>
        </w:rPr>
        <w:t>由市发展改革部门会同市安全监管、交通运输、公安交警、住房建设、机关事务管理、国有资产管理、城市管理、公安消防、市场和质量监管、各区政府（新区管委会）、供电局等部门和单位，成立市新能源汽车充电设施安全生产专项工作小组，建立工作会商和日常联络机制，共同推动全市新能源汽车充电设施安全管理工作。</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（警示约谈机制）</w:t>
      </w:r>
    </w:p>
    <w:p>
      <w:pPr>
        <w:spacing w:line="560" w:lineRule="exact"/>
        <w:ind w:firstLine="640" w:firstLineChars="200"/>
        <w:rPr>
          <w:rFonts w:ascii="仿宋_GB2312" w:hAnsi="黑体" w:eastAsia="仿宋_GB2312" w:cs="仿宋_GB2312"/>
          <w:sz w:val="32"/>
          <w:szCs w:val="32"/>
        </w:rPr>
      </w:pPr>
      <w:r>
        <w:rPr>
          <w:rFonts w:hint="eastAsia" w:ascii="仿宋" w:hAnsi="仿宋" w:eastAsia="仿宋"/>
          <w:sz w:val="32"/>
          <w:szCs w:val="32"/>
        </w:rPr>
        <w:t>对未能正确履行充电行业安全生产工作职责的充电设施安全责任主体，由各</w:t>
      </w:r>
      <w:r>
        <w:rPr>
          <w:rFonts w:hint="eastAsia" w:ascii="仿宋" w:hAnsi="仿宋" w:eastAsia="仿宋"/>
          <w:sz w:val="32"/>
          <w:szCs w:val="32"/>
          <w:lang w:eastAsia="zh-CN"/>
        </w:rPr>
        <w:t>相关</w:t>
      </w:r>
      <w:r>
        <w:rPr>
          <w:rFonts w:hint="eastAsia" w:ascii="仿宋" w:hAnsi="仿宋" w:eastAsia="仿宋"/>
          <w:sz w:val="32"/>
          <w:szCs w:val="32"/>
        </w:rPr>
        <w:t>主管部门或区政府（新区管委会）对相关负责人</w:t>
      </w:r>
      <w:r>
        <w:rPr>
          <w:rFonts w:hint="eastAsia" w:ascii="仿宋_GB2312" w:eastAsia="仿宋_GB2312"/>
          <w:sz w:val="32"/>
          <w:szCs w:val="32"/>
        </w:rPr>
        <w:t>进行警示提醒、告诫指导、约见谈话</w:t>
      </w:r>
      <w:r>
        <w:rPr>
          <w:rFonts w:hint="eastAsia" w:ascii="仿宋_GB2312" w:hAnsi="黑体" w:eastAsia="仿宋_GB2312" w:cs="仿宋_GB2312"/>
          <w:sz w:val="32"/>
          <w:szCs w:val="32"/>
        </w:rPr>
        <w:t>，认真分析充电设施安全生产工作中存在的问题，提出整改要求，督促责任落实。</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（公众举报机制）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社会公众可以通过投诉电话“12350”、电子邮件、书信等方式，向市安全监管部门举报新能源汽车充电行业安全事故重大隐患和违法行为。</w:t>
      </w:r>
    </w:p>
    <w:p>
      <w:pPr>
        <w:pStyle w:val="2"/>
        <w:numPr>
          <w:ilvl w:val="0"/>
          <w:numId w:val="4"/>
        </w:numPr>
        <w:spacing w:line="560" w:lineRule="exact"/>
        <w:ind w:firstLine="640"/>
        <w:rPr>
          <w:rFonts w:ascii="仿宋_GB2312" w:hAnsi="楷体" w:eastAsia="仿宋_GB2312" w:cs="Times New Roman"/>
          <w:bCs w:val="0"/>
          <w:sz w:val="32"/>
        </w:rPr>
      </w:pPr>
      <w:r>
        <w:rPr>
          <w:rFonts w:ascii="仿宋_GB2312" w:hAnsi="楷体" w:eastAsia="仿宋_GB2312" w:cs="Times New Roman"/>
          <w:bCs w:val="0"/>
          <w:sz w:val="32"/>
        </w:rPr>
        <w:t xml:space="preserve">  </w:t>
      </w:r>
      <w:r>
        <w:rPr>
          <w:rFonts w:hint="eastAsia" w:ascii="仿宋_GB2312" w:hAnsi="楷体" w:eastAsia="仿宋_GB2312" w:cs="Times New Roman"/>
          <w:bCs w:val="0"/>
          <w:sz w:val="32"/>
        </w:rPr>
        <w:t>（问题处置机制）</w:t>
      </w:r>
    </w:p>
    <w:p>
      <w:pPr>
        <w:pStyle w:val="18"/>
        <w:spacing w:line="560" w:lineRule="exact"/>
        <w:ind w:firstLine="640"/>
        <w:rPr>
          <w:rFonts w:ascii="仿宋_GB2312" w:hAnsi="楷体" w:eastAsia="仿宋_GB2312"/>
          <w:sz w:val="32"/>
          <w:szCs w:val="32"/>
        </w:rPr>
      </w:pPr>
      <w:r>
        <w:rPr>
          <w:rFonts w:hint="eastAsia" w:ascii="仿宋_GB2312" w:hAnsi="楷体" w:eastAsia="仿宋_GB2312"/>
          <w:sz w:val="32"/>
          <w:szCs w:val="32"/>
        </w:rPr>
        <w:t>依据安全检查结果，由相关主管部门或区政府（新区管委会）会同市安全监管部门对充电设施安全责任主体存在的问题采取限期整改、停业整顿、责令关闭等处置措施。</w:t>
      </w:r>
    </w:p>
    <w:p>
      <w:pPr>
        <w:pStyle w:val="18"/>
        <w:numPr>
          <w:ilvl w:val="0"/>
          <w:numId w:val="6"/>
        </w:numPr>
        <w:spacing w:line="560" w:lineRule="exact"/>
        <w:ind w:firstLine="640" w:firstLineChars="0"/>
        <w:rPr>
          <w:rFonts w:ascii="仿宋_GB2312" w:hAnsi="楷体" w:eastAsia="仿宋_GB2312"/>
          <w:sz w:val="32"/>
          <w:szCs w:val="32"/>
        </w:rPr>
      </w:pPr>
      <w:r>
        <w:rPr>
          <w:rFonts w:hint="eastAsia" w:ascii="仿宋_GB2312" w:hAnsi="楷体" w:eastAsia="仿宋_GB2312"/>
          <w:sz w:val="32"/>
          <w:szCs w:val="32"/>
        </w:rPr>
        <w:t>充电设施安全责任主体出现下列情况的：根据《深圳市新能源汽车充电设施安全检查工作导则（试行）》，充电设施例行检查中其风险等级评估为黄色风险或橙色风险的；充电设施安全责任主体自身管理制度不健全，落实不到位的。由相关主管部门会同市安全监管部门出具</w:t>
      </w:r>
      <w:r>
        <w:rPr>
          <w:rFonts w:ascii="仿宋_GB2312" w:hAnsi="楷体" w:eastAsia="仿宋_GB2312"/>
          <w:sz w:val="32"/>
          <w:szCs w:val="32"/>
        </w:rPr>
        <w:t>1</w:t>
      </w:r>
      <w:r>
        <w:rPr>
          <w:rFonts w:hint="eastAsia" w:ascii="仿宋_GB2312" w:hAnsi="楷体" w:eastAsia="仿宋_GB2312"/>
          <w:sz w:val="32"/>
          <w:szCs w:val="32"/>
        </w:rPr>
        <w:t>至</w:t>
      </w:r>
      <w:r>
        <w:rPr>
          <w:rFonts w:ascii="仿宋_GB2312" w:hAnsi="楷体" w:eastAsia="仿宋_GB2312"/>
          <w:sz w:val="32"/>
          <w:szCs w:val="32"/>
        </w:rPr>
        <w:t>3</w:t>
      </w:r>
      <w:r>
        <w:rPr>
          <w:rFonts w:hint="eastAsia" w:ascii="仿宋_GB2312" w:hAnsi="楷体" w:eastAsia="仿宋_GB2312"/>
          <w:sz w:val="32"/>
          <w:szCs w:val="32"/>
        </w:rPr>
        <w:t>个月的限期整改通知书，责令其限期整改。</w:t>
      </w:r>
    </w:p>
    <w:p>
      <w:pPr>
        <w:pStyle w:val="18"/>
        <w:numPr>
          <w:ilvl w:val="0"/>
          <w:numId w:val="6"/>
        </w:numPr>
        <w:spacing w:line="560" w:lineRule="exact"/>
        <w:ind w:firstLine="640" w:firstLineChars="0"/>
        <w:rPr>
          <w:rFonts w:ascii="仿宋_GB2312" w:hAnsi="楷体" w:eastAsia="仿宋_GB2312"/>
          <w:sz w:val="32"/>
          <w:szCs w:val="32"/>
        </w:rPr>
      </w:pPr>
      <w:r>
        <w:rPr>
          <w:rFonts w:hint="eastAsia" w:ascii="仿宋_GB2312" w:hAnsi="楷体" w:eastAsia="仿宋_GB2312"/>
          <w:sz w:val="32"/>
          <w:szCs w:val="32"/>
        </w:rPr>
        <w:t>充电设施安全责任主体出现下列情况的：本条所列第一种情形未能如期整改完成的；根据《深圳市新能源汽车充电设施安全检查工作导则（试行）》，充电设施例行检查中其风险等级评估为红色风险的；在运营过程中，因管理不到位、处置不当等造成充电设施及车辆发生重大财产损失，或造成人员伤害的。由相关主管部门会同市安全监管部门出具</w:t>
      </w:r>
      <w:r>
        <w:rPr>
          <w:rFonts w:ascii="仿宋_GB2312" w:hAnsi="楷体" w:eastAsia="仿宋_GB2312"/>
          <w:sz w:val="32"/>
          <w:szCs w:val="32"/>
        </w:rPr>
        <w:t>1</w:t>
      </w:r>
      <w:r>
        <w:rPr>
          <w:rFonts w:hint="eastAsia" w:ascii="仿宋_GB2312" w:hAnsi="楷体" w:eastAsia="仿宋_GB2312"/>
          <w:sz w:val="32"/>
          <w:szCs w:val="32"/>
        </w:rPr>
        <w:t>至</w:t>
      </w:r>
      <w:r>
        <w:rPr>
          <w:rFonts w:ascii="仿宋_GB2312" w:hAnsi="楷体" w:eastAsia="仿宋_GB2312"/>
          <w:sz w:val="32"/>
          <w:szCs w:val="32"/>
        </w:rPr>
        <w:t>6</w:t>
      </w:r>
      <w:r>
        <w:rPr>
          <w:rFonts w:hint="eastAsia" w:ascii="仿宋_GB2312" w:hAnsi="楷体" w:eastAsia="仿宋_GB2312"/>
          <w:sz w:val="32"/>
          <w:szCs w:val="32"/>
        </w:rPr>
        <w:t>个月的停业整顿通知书，责令其停业整顿。</w:t>
      </w:r>
    </w:p>
    <w:p>
      <w:pPr>
        <w:pStyle w:val="18"/>
        <w:spacing w:line="560" w:lineRule="exact"/>
        <w:ind w:firstLine="640"/>
        <w:rPr>
          <w:rFonts w:ascii="仿宋_GB2312" w:hAnsi="楷体" w:eastAsia="仿宋_GB2312"/>
          <w:sz w:val="32"/>
          <w:szCs w:val="32"/>
        </w:rPr>
      </w:pPr>
      <w:r>
        <w:rPr>
          <w:rFonts w:hint="eastAsia" w:ascii="仿宋_GB2312" w:hAnsi="楷体" w:eastAsia="仿宋_GB2312"/>
          <w:sz w:val="32"/>
          <w:szCs w:val="32"/>
        </w:rPr>
        <w:t>（三）充电设施安全责任主体出现下列情况的：本条所列第二种情形停业整顿结束后未能完成整改的；停业整顿完成后，因管理不到位、处置不当等再次造成充电设施及车辆发生重大财产损失，或造成人员伤害的。由相关主管部门会同市安全监管部门责令关闭相应的充电设施。</w:t>
      </w:r>
    </w:p>
    <w:p>
      <w:pPr>
        <w:pStyle w:val="18"/>
        <w:spacing w:line="560" w:lineRule="exact"/>
        <w:ind w:firstLine="640"/>
        <w:rPr>
          <w:rFonts w:ascii="仿宋_GB2312" w:hAnsi="楷体" w:eastAsia="仿宋_GB2312"/>
          <w:sz w:val="32"/>
          <w:szCs w:val="32"/>
        </w:rPr>
      </w:pPr>
      <w:r>
        <w:rPr>
          <w:rFonts w:hint="eastAsia" w:ascii="仿宋_GB2312" w:hAnsi="楷体" w:eastAsia="仿宋_GB2312"/>
          <w:sz w:val="32"/>
          <w:szCs w:val="32"/>
        </w:rPr>
        <w:t>（四）处于限期整改和停业整顿期间的充电设施，不得享受全市统一的充电服务费优惠政策；对于责令关闭的充电设施，其运营企业自关闭之日起半年内不得申请任何充电设施建设财政补贴。</w:t>
      </w:r>
    </w:p>
    <w:p>
      <w:pPr>
        <w:pStyle w:val="18"/>
        <w:spacing w:line="560" w:lineRule="exact"/>
        <w:ind w:firstLine="640"/>
        <w:jc w:val="center"/>
        <w:rPr>
          <w:rFonts w:ascii="仿宋_GB2312" w:hAnsi="楷体" w:eastAsia="仿宋_GB2312"/>
          <w:sz w:val="32"/>
          <w:szCs w:val="32"/>
        </w:rPr>
      </w:pPr>
    </w:p>
    <w:p>
      <w:pPr>
        <w:numPr>
          <w:ilvl w:val="0"/>
          <w:numId w:val="5"/>
        </w:numPr>
        <w:spacing w:line="560" w:lineRule="exact"/>
        <w:jc w:val="cente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附  则</w:t>
      </w:r>
    </w:p>
    <w:p>
      <w:pPr>
        <w:spacing w:line="560" w:lineRule="exact"/>
        <w:rPr>
          <w:rFonts w:ascii="黑体" w:hAnsi="黑体" w:eastAsia="黑体"/>
          <w:sz w:val="32"/>
          <w:szCs w:val="32"/>
        </w:rPr>
      </w:pPr>
    </w:p>
    <w:p>
      <w:pPr>
        <w:pStyle w:val="2"/>
        <w:numPr>
          <w:ilvl w:val="0"/>
          <w:numId w:val="4"/>
        </w:numPr>
        <w:spacing w:line="560" w:lineRule="exact"/>
        <w:ind w:firstLine="640"/>
        <w:rPr>
          <w:rFonts w:ascii="仿宋_GB2312" w:hAnsi="楷体" w:eastAsia="仿宋_GB2312" w:cs="Times New Roman"/>
          <w:bCs w:val="0"/>
          <w:sz w:val="32"/>
        </w:rPr>
      </w:pPr>
      <w:r>
        <w:rPr>
          <w:rFonts w:ascii="仿宋_GB2312" w:hAnsi="楷体" w:eastAsia="仿宋_GB2312" w:cs="Times New Roman"/>
          <w:bCs w:val="0"/>
          <w:sz w:val="32"/>
        </w:rPr>
        <w:t xml:space="preserve">  </w:t>
      </w:r>
      <w:r>
        <w:rPr>
          <w:rFonts w:hint="eastAsia" w:ascii="仿宋_GB2312" w:hAnsi="楷体" w:eastAsia="仿宋_GB2312" w:cs="Times New Roman"/>
          <w:bCs w:val="0"/>
          <w:sz w:val="32"/>
        </w:rPr>
        <w:t>（有效期）</w:t>
      </w:r>
    </w:p>
    <w:p>
      <w:pPr>
        <w:pStyle w:val="18"/>
        <w:spacing w:line="560" w:lineRule="exact"/>
        <w:ind w:firstLine="640"/>
        <w:rPr>
          <w:rFonts w:ascii="楷体" w:eastAsia="楷体"/>
        </w:rPr>
      </w:pPr>
      <w:r>
        <w:rPr>
          <w:rFonts w:hint="eastAsia" w:ascii="仿宋_GB2312" w:hAnsi="楷体" w:eastAsia="仿宋_GB2312"/>
          <w:sz w:val="32"/>
          <w:szCs w:val="32"/>
        </w:rPr>
        <w:t>本管理办法自发布之日起实施，有效期一年。本管理办法由深圳市发展和改革委员会负责解释。</w:t>
      </w:r>
    </w:p>
    <w:p>
      <w:pPr>
        <w:jc w:val="center"/>
        <w:rPr>
          <w:rFonts w:ascii="宋体" w:hAnsi="宋体" w:cs="Arial"/>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8D46"/>
    <w:multiLevelType w:val="singleLevel"/>
    <w:tmpl w:val="5AA78D46"/>
    <w:lvl w:ilvl="0" w:tentative="0">
      <w:start w:val="5"/>
      <w:numFmt w:val="chineseCounting"/>
      <w:suff w:val="space"/>
      <w:lvlText w:val="第%1章"/>
      <w:lvlJc w:val="left"/>
    </w:lvl>
  </w:abstractNum>
  <w:abstractNum w:abstractNumId="1">
    <w:nsid w:val="5AB1B3C8"/>
    <w:multiLevelType w:val="singleLevel"/>
    <w:tmpl w:val="5AB1B3C8"/>
    <w:lvl w:ilvl="0" w:tentative="0">
      <w:start w:val="2"/>
      <w:numFmt w:val="chineseCounting"/>
      <w:suff w:val="space"/>
      <w:lvlText w:val="第%1条"/>
      <w:lvlJc w:val="left"/>
    </w:lvl>
  </w:abstractNum>
  <w:abstractNum w:abstractNumId="2">
    <w:nsid w:val="5AB1B3E1"/>
    <w:multiLevelType w:val="singleLevel"/>
    <w:tmpl w:val="5AB1B3E1"/>
    <w:lvl w:ilvl="0" w:tentative="0">
      <w:start w:val="3"/>
      <w:numFmt w:val="chineseCounting"/>
      <w:suff w:val="space"/>
      <w:lvlText w:val="第%1条"/>
      <w:lvlJc w:val="left"/>
    </w:lvl>
  </w:abstractNum>
  <w:abstractNum w:abstractNumId="3">
    <w:nsid w:val="5AB1B464"/>
    <w:multiLevelType w:val="singleLevel"/>
    <w:tmpl w:val="5AB1B464"/>
    <w:lvl w:ilvl="0" w:tentative="0">
      <w:start w:val="5"/>
      <w:numFmt w:val="chineseCounting"/>
      <w:suff w:val="space"/>
      <w:lvlText w:val="第%1条"/>
      <w:lvlJc w:val="left"/>
    </w:lvl>
  </w:abstractNum>
  <w:abstractNum w:abstractNumId="4">
    <w:nsid w:val="5AB1B752"/>
    <w:multiLevelType w:val="singleLevel"/>
    <w:tmpl w:val="5AB1B752"/>
    <w:lvl w:ilvl="0" w:tentative="0">
      <w:start w:val="8"/>
      <w:numFmt w:val="chineseCounting"/>
      <w:suff w:val="space"/>
      <w:lvlText w:val="第%1条"/>
      <w:lvlJc w:val="left"/>
    </w:lvl>
  </w:abstractNum>
  <w:abstractNum w:abstractNumId="5">
    <w:nsid w:val="5AB1BAC2"/>
    <w:multiLevelType w:val="singleLevel"/>
    <w:tmpl w:val="5AB1BAC2"/>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2E"/>
    <w:rsid w:val="0000639F"/>
    <w:rsid w:val="00044D52"/>
    <w:rsid w:val="0007654A"/>
    <w:rsid w:val="000D7714"/>
    <w:rsid w:val="001122D1"/>
    <w:rsid w:val="0017433A"/>
    <w:rsid w:val="0017542F"/>
    <w:rsid w:val="001946DD"/>
    <w:rsid w:val="001A0923"/>
    <w:rsid w:val="001C1E09"/>
    <w:rsid w:val="001C7CE9"/>
    <w:rsid w:val="001E09BF"/>
    <w:rsid w:val="001F0C8C"/>
    <w:rsid w:val="002B1BC9"/>
    <w:rsid w:val="00314FB6"/>
    <w:rsid w:val="0037232D"/>
    <w:rsid w:val="00373AC6"/>
    <w:rsid w:val="00397B11"/>
    <w:rsid w:val="003C2449"/>
    <w:rsid w:val="0041244C"/>
    <w:rsid w:val="0042495B"/>
    <w:rsid w:val="00425E28"/>
    <w:rsid w:val="004E0FA8"/>
    <w:rsid w:val="0052792E"/>
    <w:rsid w:val="00555EB4"/>
    <w:rsid w:val="005729DE"/>
    <w:rsid w:val="0057728D"/>
    <w:rsid w:val="005B0590"/>
    <w:rsid w:val="00682467"/>
    <w:rsid w:val="00686F4A"/>
    <w:rsid w:val="006871E1"/>
    <w:rsid w:val="00691BC0"/>
    <w:rsid w:val="00693B2B"/>
    <w:rsid w:val="006B3F72"/>
    <w:rsid w:val="006B580A"/>
    <w:rsid w:val="00704467"/>
    <w:rsid w:val="00745F57"/>
    <w:rsid w:val="00775185"/>
    <w:rsid w:val="00780541"/>
    <w:rsid w:val="007D28D7"/>
    <w:rsid w:val="007D7483"/>
    <w:rsid w:val="007E7C79"/>
    <w:rsid w:val="00817017"/>
    <w:rsid w:val="008413C1"/>
    <w:rsid w:val="00865D94"/>
    <w:rsid w:val="00867DE5"/>
    <w:rsid w:val="00870DB6"/>
    <w:rsid w:val="0090295A"/>
    <w:rsid w:val="00923F85"/>
    <w:rsid w:val="0096308A"/>
    <w:rsid w:val="009C055A"/>
    <w:rsid w:val="009E5B24"/>
    <w:rsid w:val="00A35EB3"/>
    <w:rsid w:val="00A42259"/>
    <w:rsid w:val="00AA71DA"/>
    <w:rsid w:val="00AB5EA1"/>
    <w:rsid w:val="00AB5FF5"/>
    <w:rsid w:val="00AF5D18"/>
    <w:rsid w:val="00B2363E"/>
    <w:rsid w:val="00B56BC7"/>
    <w:rsid w:val="00B922B2"/>
    <w:rsid w:val="00BA7C99"/>
    <w:rsid w:val="00BB7F77"/>
    <w:rsid w:val="00C171A5"/>
    <w:rsid w:val="00C40A76"/>
    <w:rsid w:val="00C45A8F"/>
    <w:rsid w:val="00C61FC3"/>
    <w:rsid w:val="00D44D74"/>
    <w:rsid w:val="00DC4495"/>
    <w:rsid w:val="00DE69DF"/>
    <w:rsid w:val="00DE73F8"/>
    <w:rsid w:val="00E36E6E"/>
    <w:rsid w:val="00EA5A24"/>
    <w:rsid w:val="00ED1413"/>
    <w:rsid w:val="00EE5876"/>
    <w:rsid w:val="00EE625E"/>
    <w:rsid w:val="00EF4587"/>
    <w:rsid w:val="00F12218"/>
    <w:rsid w:val="00F67885"/>
    <w:rsid w:val="0E312A5F"/>
    <w:rsid w:val="15D245E2"/>
    <w:rsid w:val="173B2A93"/>
    <w:rsid w:val="22473762"/>
    <w:rsid w:val="274808C0"/>
    <w:rsid w:val="2D072038"/>
    <w:rsid w:val="51B716E8"/>
    <w:rsid w:val="5E1C4553"/>
    <w:rsid w:val="6A100096"/>
    <w:rsid w:val="7042624B"/>
    <w:rsid w:val="7D96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6"/>
    <w:unhideWhenUsed/>
    <w:qFormat/>
    <w:uiPriority w:val="99"/>
    <w:pPr>
      <w:spacing w:line="360" w:lineRule="auto"/>
      <w:ind w:firstLine="480" w:firstLineChars="200"/>
    </w:pPr>
    <w:rPr>
      <w:rFonts w:ascii="宋体" w:hAnsi="宋体"/>
      <w:bCs/>
      <w:sz w:val="24"/>
      <w:szCs w:val="32"/>
    </w:rPr>
  </w:style>
  <w:style w:type="paragraph" w:styleId="3">
    <w:name w:val="Date"/>
    <w:basedOn w:val="1"/>
    <w:next w:val="1"/>
    <w:link w:val="15"/>
    <w:unhideWhenUsed/>
    <w:qFormat/>
    <w:uiPriority w:val="99"/>
    <w:pPr>
      <w:ind w:left="100" w:leftChars="2500"/>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日期 Char"/>
    <w:basedOn w:val="9"/>
    <w:link w:val="3"/>
    <w:semiHidden/>
    <w:qFormat/>
    <w:uiPriority w:val="99"/>
  </w:style>
  <w:style w:type="character" w:customStyle="1" w:styleId="16">
    <w:name w:val="正文文本缩进 Char"/>
    <w:basedOn w:val="9"/>
    <w:link w:val="2"/>
    <w:qFormat/>
    <w:uiPriority w:val="99"/>
    <w:rPr>
      <w:rFonts w:ascii="宋体" w:hAnsi="宋体"/>
      <w:bCs/>
      <w:sz w:val="24"/>
      <w:szCs w:val="32"/>
    </w:rPr>
  </w:style>
  <w:style w:type="character" w:customStyle="1" w:styleId="17">
    <w:name w:val="标题 Char"/>
    <w:basedOn w:val="9"/>
    <w:link w:val="8"/>
    <w:qFormat/>
    <w:uiPriority w:val="10"/>
    <w:rPr>
      <w:rFonts w:eastAsia="宋体" w:asciiTheme="majorHAnsi" w:hAnsiTheme="majorHAnsi" w:cstheme="majorBidi"/>
      <w:b/>
      <w:bCs/>
      <w:sz w:val="32"/>
      <w:szCs w:val="32"/>
    </w:rPr>
  </w:style>
  <w:style w:type="paragraph" w:customStyle="1" w:styleId="18">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514</Words>
  <Characters>2931</Characters>
  <Lines>24</Lines>
  <Paragraphs>6</Paragraphs>
  <ScaleCrop>false</ScaleCrop>
  <LinksUpToDate>false</LinksUpToDate>
  <CharactersWithSpaces>3439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2015-11-24T11:24:00Z</dcterms:created>
  <dc:creator>Microsoft</dc:creator>
  <cp:lastModifiedBy>管理员</cp:lastModifiedBy>
  <cp:lastPrinted>2018-04-19T02:31:00Z</cp:lastPrinted>
  <dcterms:modified xsi:type="dcterms:W3CDTF">2018-04-23T03:49:57Z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