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方正小标宋_GBK"/>
          <w:bCs/>
          <w:sz w:val="30"/>
          <w:szCs w:val="30"/>
        </w:rPr>
      </w:pPr>
      <w:r>
        <w:rPr>
          <w:rFonts w:hint="eastAsia" w:ascii="黑体" w:hAnsi="黑体" w:eastAsia="黑体" w:cs="方正小标宋_GBK"/>
          <w:bCs/>
          <w:sz w:val="30"/>
          <w:szCs w:val="30"/>
        </w:rPr>
        <w:t>附件2</w:t>
      </w:r>
    </w:p>
    <w:p>
      <w:pPr>
        <w:jc w:val="center"/>
        <w:rPr>
          <w:rFonts w:hint="eastAsia" w:ascii="宋体" w:hAnsi="宋体" w:cs="方正小标宋_GBK"/>
          <w:bCs/>
          <w:sz w:val="44"/>
          <w:szCs w:val="44"/>
        </w:rPr>
      </w:pPr>
      <w:r>
        <w:rPr>
          <w:rFonts w:hint="eastAsia" w:ascii="宋体" w:hAnsi="宋体" w:cs="方正小标宋_GBK"/>
          <w:bCs/>
          <w:sz w:val="44"/>
          <w:szCs w:val="44"/>
        </w:rPr>
        <w:t>关于</w:t>
      </w:r>
      <w:r>
        <w:rPr>
          <w:rFonts w:hint="eastAsia" w:ascii="宋体" w:hAnsi="宋体"/>
          <w:sz w:val="44"/>
          <w:szCs w:val="44"/>
        </w:rPr>
        <w:t>《</w:t>
      </w:r>
      <w:r>
        <w:rPr>
          <w:rFonts w:hint="eastAsia" w:ascii="宋体" w:hAnsi="宋体" w:cs="方正小标宋_GBK"/>
          <w:bCs/>
          <w:sz w:val="44"/>
          <w:szCs w:val="44"/>
        </w:rPr>
        <w:t>深圳市交通运输委员会 深圳市人居环境委员会 深圳海事局关于</w:t>
      </w:r>
      <w:r>
        <w:rPr>
          <w:rFonts w:ascii="宋体" w:hAnsi="宋体" w:cs="方正小标宋_GBK"/>
          <w:bCs/>
          <w:sz w:val="44"/>
          <w:szCs w:val="44"/>
        </w:rPr>
        <w:t>船</w:t>
      </w:r>
      <w:r>
        <w:rPr>
          <w:rFonts w:hint="eastAsia" w:ascii="宋体" w:hAnsi="宋体" w:cs="方正小标宋_GBK"/>
          <w:bCs/>
          <w:sz w:val="44"/>
          <w:szCs w:val="44"/>
        </w:rPr>
        <w:t>舶进入</w:t>
      </w:r>
    </w:p>
    <w:p>
      <w:pPr>
        <w:jc w:val="center"/>
        <w:rPr>
          <w:rFonts w:hint="eastAsia" w:ascii="宋体" w:hAnsi="宋体" w:cs="方正小标宋_GBK"/>
          <w:bCs/>
          <w:sz w:val="44"/>
          <w:szCs w:val="44"/>
        </w:rPr>
      </w:pPr>
      <w:r>
        <w:rPr>
          <w:rFonts w:hint="eastAsia" w:ascii="宋体" w:hAnsi="宋体" w:cs="方正小标宋_GBK"/>
          <w:bCs/>
          <w:sz w:val="44"/>
          <w:szCs w:val="44"/>
        </w:rPr>
        <w:t>珠三角水域排放控制区使用低硫燃油</w:t>
      </w:r>
    </w:p>
    <w:p>
      <w:pPr>
        <w:jc w:val="center"/>
        <w:rPr>
          <w:rFonts w:ascii="宋体" w:hAnsi="宋体"/>
          <w:sz w:val="44"/>
          <w:szCs w:val="44"/>
        </w:rPr>
      </w:pPr>
      <w:r>
        <w:rPr>
          <w:rFonts w:hint="eastAsia" w:ascii="宋体" w:hAnsi="宋体" w:cs="方正小标宋_GBK"/>
          <w:bCs/>
          <w:sz w:val="44"/>
          <w:szCs w:val="44"/>
        </w:rPr>
        <w:t>及泊岸使用岸电的通告</w:t>
      </w:r>
      <w:r>
        <w:rPr>
          <w:rFonts w:hint="eastAsia" w:ascii="宋体" w:hAnsi="宋体"/>
          <w:sz w:val="44"/>
          <w:szCs w:val="44"/>
        </w:rPr>
        <w:t>》的编制说明</w:t>
      </w:r>
    </w:p>
    <w:p>
      <w:pPr>
        <w:rPr>
          <w:rFonts w:eastAsia="仿宋_GB2312"/>
          <w:b/>
          <w:sz w:val="44"/>
          <w:szCs w:val="44"/>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rPr>
        <w:t>为贯彻落实</w:t>
      </w:r>
      <w:r>
        <w:rPr>
          <w:rFonts w:hint="eastAsia" w:ascii="仿宋_GB2312" w:hAnsi="仿宋" w:eastAsia="仿宋_GB2312"/>
          <w:color w:val="000000"/>
          <w:sz w:val="32"/>
          <w:szCs w:val="32"/>
        </w:rPr>
        <w:t>《2018 年“深圳蓝”可持续行动计划》的工作任务</w:t>
      </w:r>
      <w:r>
        <w:rPr>
          <w:rFonts w:hint="eastAsia" w:ascii="仿宋_GB2312" w:eastAsia="仿宋_GB2312"/>
          <w:sz w:val="32"/>
        </w:rPr>
        <w:t>，减少船舶在珠三角水域排放控制区的大气污染物排放</w:t>
      </w:r>
      <w:r>
        <w:rPr>
          <w:rFonts w:hint="eastAsia" w:ascii="仿宋_GB2312" w:eastAsia="仿宋_GB2312"/>
          <w:sz w:val="32"/>
          <w:szCs w:val="32"/>
        </w:rPr>
        <w:t>，市人居环境委、深圳海事局和市交通运输委研究起草了</w:t>
      </w:r>
      <w:r>
        <w:rPr>
          <w:rFonts w:hint="eastAsia" w:ascii="仿宋_GB2312" w:eastAsia="仿宋_GB2312"/>
          <w:sz w:val="32"/>
        </w:rPr>
        <w:t>《船舶进入珠三角水域排放控制区使用低硫油及泊岸使用岸电设施的通告》，现就有关情况说明如下：</w:t>
      </w:r>
    </w:p>
    <w:p>
      <w:pPr>
        <w:spacing w:line="560" w:lineRule="exact"/>
        <w:ind w:firstLine="640" w:firstLineChars="200"/>
        <w:rPr>
          <w:rFonts w:ascii="黑体" w:hAnsi="黑体" w:eastAsia="黑体"/>
          <w:sz w:val="32"/>
          <w:szCs w:val="32"/>
        </w:rPr>
      </w:pPr>
      <w:bookmarkStart w:id="0" w:name="_Toc374472430"/>
      <w:r>
        <w:rPr>
          <w:rFonts w:hint="eastAsia" w:ascii="黑体" w:hAnsi="黑体" w:eastAsia="黑体"/>
          <w:sz w:val="32"/>
          <w:szCs w:val="32"/>
        </w:rPr>
        <w:t>一、</w:t>
      </w:r>
      <w:bookmarkEnd w:id="0"/>
      <w:r>
        <w:rPr>
          <w:rFonts w:hint="eastAsia" w:ascii="黑体" w:hAnsi="黑体" w:eastAsia="黑体"/>
          <w:sz w:val="32"/>
          <w:szCs w:val="32"/>
        </w:rPr>
        <w:t>编制依据</w:t>
      </w:r>
    </w:p>
    <w:p>
      <w:pPr>
        <w:widowControl/>
        <w:spacing w:line="560" w:lineRule="exact"/>
        <w:ind w:firstLine="663"/>
        <w:outlineLvl w:val="0"/>
        <w:rPr>
          <w:rFonts w:hint="eastAsia" w:ascii="仿宋_GB2312" w:hAnsi="仿宋" w:eastAsia="仿宋_GB2312"/>
          <w:color w:val="000000"/>
          <w:sz w:val="32"/>
          <w:szCs w:val="32"/>
        </w:rPr>
      </w:pPr>
      <w:r>
        <w:rPr>
          <w:rFonts w:hint="eastAsia" w:ascii="仿宋_GB2312" w:hAnsi="仿宋" w:eastAsia="仿宋_GB2312"/>
          <w:color w:val="000000"/>
          <w:sz w:val="32"/>
          <w:szCs w:val="32"/>
        </w:rPr>
        <w:t>（一）《交通运输部关于印发珠三角、长三角、环渤海(京津冀)水域船舶排放控制区实施方案的通知》（交海发〔2015〕177号）要求“自2019年1月1日起，船舶进入排放控制区应使用硫含量≤0.5% m/m的燃油”。</w:t>
      </w:r>
    </w:p>
    <w:p>
      <w:pPr>
        <w:spacing w:line="560" w:lineRule="exact"/>
        <w:ind w:firstLine="643"/>
        <w:rPr>
          <w:rFonts w:hint="eastAsia" w:ascii="仿宋_GB2312" w:hAnsi="仿宋" w:eastAsia="仿宋_GB2312"/>
          <w:color w:val="000000"/>
          <w:sz w:val="32"/>
          <w:szCs w:val="32"/>
        </w:rPr>
      </w:pPr>
      <w:r>
        <w:rPr>
          <w:rFonts w:hint="eastAsia" w:ascii="仿宋_GB2312" w:hAnsi="仿宋" w:eastAsia="仿宋_GB2312"/>
          <w:color w:val="000000"/>
          <w:sz w:val="32"/>
          <w:szCs w:val="32"/>
        </w:rPr>
        <w:t>（二）</w:t>
      </w:r>
      <w:r>
        <w:rPr>
          <w:rFonts w:hint="eastAsia" w:ascii="仿宋_GB2312" w:eastAsia="仿宋_GB2312"/>
          <w:sz w:val="32"/>
          <w:szCs w:val="32"/>
        </w:rPr>
        <w:t>《深圳市人民政府办公厅关于印发2018 年“深圳蓝”可持续行动计划的通知》</w:t>
      </w:r>
      <w:r>
        <w:rPr>
          <w:rFonts w:hint="eastAsia" w:ascii="仿宋_GB2312" w:hAnsi="仿宋" w:eastAsia="仿宋_GB2312"/>
          <w:color w:val="000000"/>
          <w:sz w:val="32"/>
          <w:szCs w:val="32"/>
        </w:rPr>
        <w:t>（深府办规〔2018〕6号，以下简称《深圳蓝计划》）要求“制定鼓励性政策，2018 年7 月1 日起，推动靠泊深圳港的船舶在珠三角排放控制区航行期间使用含硫量≤0.1%m/m 的低硫油。”和“2018年7月1日起，加大对靠泊船舶使用岸电的补贴力度，全年远洋集装箱船舶靠泊深圳港使用岸电的艘次数，占远洋集装箱船舶靠泊总艘次的5%以上。”</w:t>
      </w:r>
    </w:p>
    <w:p>
      <w:pPr>
        <w:spacing w:line="560" w:lineRule="exact"/>
        <w:ind w:firstLine="640"/>
        <w:rPr>
          <w:rFonts w:ascii="黑体" w:hAnsi="黑体" w:eastAsia="黑体"/>
          <w:sz w:val="32"/>
          <w:szCs w:val="32"/>
        </w:rPr>
      </w:pPr>
      <w:r>
        <w:rPr>
          <w:rFonts w:hint="eastAsia" w:ascii="黑体" w:hAnsi="黑体" w:eastAsia="黑体"/>
          <w:sz w:val="32"/>
          <w:szCs w:val="32"/>
        </w:rPr>
        <w:t>二、公告内容</w:t>
      </w:r>
    </w:p>
    <w:p>
      <w:pPr>
        <w:spacing w:line="56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（一）实施时间。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2018年8月1日至2018年12月31日</w:t>
      </w:r>
    </w:p>
    <w:p>
      <w:pPr>
        <w:spacing w:line="560" w:lineRule="exact"/>
        <w:ind w:firstLine="640"/>
        <w:rPr>
          <w:rFonts w:ascii="楷体_GB2312" w:hAnsi="黑体" w:eastAsia="楷体_GB2312"/>
          <w:b/>
          <w:sz w:val="32"/>
          <w:szCs w:val="32"/>
        </w:rPr>
      </w:pPr>
      <w:r>
        <w:rPr>
          <w:rFonts w:hint="eastAsia" w:ascii="楷体_GB2312" w:hAnsi="黑体" w:eastAsia="楷体_GB2312"/>
          <w:b/>
          <w:sz w:val="32"/>
          <w:szCs w:val="32"/>
        </w:rPr>
        <w:t>（二）实施范围。</w:t>
      </w:r>
    </w:p>
    <w:p>
      <w:pPr>
        <w:autoSpaceDE w:val="0"/>
        <w:autoSpaceDN w:val="0"/>
        <w:spacing w:line="560" w:lineRule="exact"/>
        <w:ind w:firstLine="640"/>
        <w:rPr>
          <w:rFonts w:ascii="仿宋" w:hAnsi="仿宋" w:eastAsia="仿宋"/>
          <w:color w:val="000000"/>
          <w:sz w:val="32"/>
          <w:szCs w:val="32"/>
        </w:rPr>
      </w:pPr>
      <w:r>
        <w:rPr>
          <w:rFonts w:ascii="仿宋" w:hAnsi="仿宋" w:eastAsia="仿宋"/>
          <w:color w:val="000000"/>
          <w:sz w:val="32"/>
          <w:szCs w:val="32"/>
        </w:rPr>
        <w:t>实施范围</w:t>
      </w:r>
      <w:r>
        <w:rPr>
          <w:rFonts w:hint="eastAsia" w:ascii="仿宋" w:hAnsi="仿宋" w:eastAsia="仿宋"/>
          <w:color w:val="000000"/>
          <w:sz w:val="32"/>
          <w:szCs w:val="32"/>
        </w:rPr>
        <w:t>为</w:t>
      </w:r>
      <w:r>
        <w:rPr>
          <w:rFonts w:ascii="仿宋" w:hAnsi="仿宋" w:eastAsia="仿宋"/>
          <w:color w:val="000000"/>
          <w:sz w:val="32"/>
          <w:szCs w:val="32"/>
        </w:rPr>
        <w:t>珠三角水域船舶排放控制区</w:t>
      </w:r>
      <w:r>
        <w:rPr>
          <w:rFonts w:hint="eastAsia" w:ascii="仿宋" w:hAnsi="仿宋" w:eastAsia="仿宋"/>
          <w:color w:val="000000"/>
          <w:sz w:val="32"/>
          <w:szCs w:val="32"/>
        </w:rPr>
        <w:t>。</w:t>
      </w:r>
    </w:p>
    <w:p>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（三）实施对象。</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实施对象为靠泊深圳港的船舶。</w:t>
      </w:r>
    </w:p>
    <w:p>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（四）实施内容。</w:t>
      </w:r>
    </w:p>
    <w:p>
      <w:pPr>
        <w:spacing w:line="560" w:lineRule="exact"/>
        <w:ind w:firstLine="640" w:firstLineChars="200"/>
        <w:rPr>
          <w:rFonts w:ascii="仿宋" w:hAnsi="仿宋" w:eastAsia="仿宋"/>
          <w:color w:val="000000"/>
          <w:sz w:val="32"/>
          <w:szCs w:val="32"/>
        </w:rPr>
      </w:pPr>
      <w:r>
        <w:rPr>
          <w:rFonts w:hint="eastAsia" w:ascii="仿宋_GB2312" w:hAnsi="黑体" w:eastAsia="仿宋_GB2312"/>
          <w:sz w:val="32"/>
          <w:szCs w:val="32"/>
        </w:rPr>
        <w:t>鼓励船舶进入珠三角水域船舶排放控制区自愿使用</w:t>
      </w:r>
      <w:r>
        <w:rPr>
          <w:rFonts w:hint="eastAsia" w:ascii="仿宋" w:hAnsi="仿宋" w:eastAsia="仿宋"/>
          <w:color w:val="000000"/>
          <w:sz w:val="32"/>
          <w:szCs w:val="32"/>
        </w:rPr>
        <w:t>含硫量≤</w:t>
      </w:r>
      <w:r>
        <w:rPr>
          <w:rFonts w:ascii="仿宋" w:hAnsi="仿宋" w:eastAsia="仿宋"/>
          <w:color w:val="000000"/>
          <w:sz w:val="32"/>
          <w:szCs w:val="32"/>
        </w:rPr>
        <w:t xml:space="preserve">0.1%m/m </w:t>
      </w:r>
      <w:r>
        <w:rPr>
          <w:rFonts w:hint="eastAsia" w:ascii="仿宋" w:hAnsi="仿宋" w:eastAsia="仿宋"/>
          <w:color w:val="000000"/>
          <w:sz w:val="32"/>
          <w:szCs w:val="32"/>
        </w:rPr>
        <w:t>的低硫燃油和在靠港期间使用岸电。</w:t>
      </w:r>
    </w:p>
    <w:p>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（五）部门职责。</w:t>
      </w:r>
    </w:p>
    <w:p>
      <w:pPr>
        <w:pStyle w:val="3"/>
        <w:spacing w:line="560" w:lineRule="exact"/>
        <w:ind w:firstLine="640" w:firstLineChars="200"/>
        <w:jc w:val="both"/>
        <w:rPr>
          <w:rFonts w:ascii="仿宋_GB2312" w:eastAsia="仿宋_GB2312"/>
          <w:kern w:val="2"/>
          <w:sz w:val="32"/>
          <w:szCs w:val="32"/>
          <w:lang w:val="zh-CN"/>
        </w:rPr>
      </w:pPr>
      <w:r>
        <w:rPr>
          <w:rFonts w:hint="eastAsia" w:ascii="仿宋_GB2312" w:hAnsi="仿宋" w:eastAsia="仿宋_GB2312"/>
          <w:sz w:val="32"/>
          <w:szCs w:val="32"/>
        </w:rPr>
        <w:t>深圳市交通运输委</w:t>
      </w:r>
      <w:r>
        <w:rPr>
          <w:rFonts w:hint="eastAsia" w:ascii="仿宋_GB2312" w:eastAsia="仿宋_GB2312"/>
          <w:sz w:val="32"/>
          <w:szCs w:val="32"/>
        </w:rPr>
        <w:t>员会</w:t>
      </w:r>
      <w:r>
        <w:rPr>
          <w:rFonts w:hint="eastAsia" w:ascii="仿宋_GB2312" w:hAnsi="仿宋" w:eastAsia="仿宋_GB2312"/>
          <w:sz w:val="32"/>
          <w:szCs w:val="32"/>
        </w:rPr>
        <w:t>负责</w:t>
      </w:r>
      <w:r>
        <w:rPr>
          <w:rFonts w:eastAsia="仿宋_GB2312"/>
          <w:sz w:val="32"/>
        </w:rPr>
        <w:t>船</w:t>
      </w:r>
      <w:r>
        <w:rPr>
          <w:rFonts w:hint="eastAsia" w:eastAsia="仿宋_GB2312"/>
          <w:sz w:val="32"/>
        </w:rPr>
        <w:t>舶进入珠三角水域排放控制区使用低硫油及泊岸使用岸电设施</w:t>
      </w:r>
      <w:r>
        <w:rPr>
          <w:rFonts w:hint="eastAsia" w:ascii="仿宋_GB2312" w:hAnsi="仿宋" w:eastAsia="仿宋_GB2312"/>
          <w:sz w:val="32"/>
          <w:szCs w:val="32"/>
        </w:rPr>
        <w:t>补贴资金的申请受理、审核和发放工作。</w:t>
      </w:r>
    </w:p>
    <w:p>
      <w:pPr>
        <w:pStyle w:val="3"/>
        <w:spacing w:line="560" w:lineRule="exact"/>
        <w:ind w:firstLine="640" w:firstLineChars="200"/>
        <w:jc w:val="both"/>
        <w:rPr>
          <w:rFonts w:ascii="仿宋_GB2312" w:eastAsia="仿宋_GB2312"/>
          <w:kern w:val="2"/>
          <w:sz w:val="32"/>
          <w:szCs w:val="32"/>
          <w:lang w:val="zh-CN"/>
        </w:rPr>
      </w:pPr>
      <w:r>
        <w:rPr>
          <w:rFonts w:hint="eastAsia" w:ascii="仿宋_GB2312" w:eastAsia="仿宋_GB2312"/>
          <w:kern w:val="2"/>
          <w:sz w:val="32"/>
          <w:szCs w:val="32"/>
          <w:lang w:val="zh-CN"/>
        </w:rPr>
        <w:t>深圳市人居环境委员会配合深圳海事局对进</w:t>
      </w:r>
      <w:r>
        <w:rPr>
          <w:rFonts w:hint="eastAsia" w:eastAsia="仿宋_GB2312"/>
          <w:sz w:val="32"/>
        </w:rPr>
        <w:t>入珠三角水域排放控制区</w:t>
      </w:r>
      <w:r>
        <w:rPr>
          <w:rFonts w:hint="eastAsia" w:ascii="仿宋_GB2312" w:eastAsia="仿宋_GB2312"/>
          <w:kern w:val="2"/>
          <w:sz w:val="32"/>
          <w:szCs w:val="32"/>
          <w:lang w:val="zh-CN"/>
        </w:rPr>
        <w:t>深圳水域船舶</w:t>
      </w:r>
      <w:r>
        <w:rPr>
          <w:rFonts w:hint="eastAsia" w:eastAsia="仿宋_GB2312"/>
          <w:sz w:val="32"/>
        </w:rPr>
        <w:t>使用低硫油及船舶排放进行抽检。</w:t>
      </w:r>
    </w:p>
    <w:p>
      <w:pPr>
        <w:pStyle w:val="3"/>
        <w:spacing w:line="560" w:lineRule="exact"/>
        <w:ind w:firstLine="640" w:firstLineChars="200"/>
        <w:jc w:val="both"/>
        <w:rPr>
          <w:rFonts w:ascii="仿宋_GB2312" w:eastAsia="仿宋_GB2312"/>
          <w:kern w:val="2"/>
          <w:sz w:val="32"/>
          <w:szCs w:val="32"/>
          <w:lang w:val="zh-CN"/>
        </w:rPr>
      </w:pPr>
      <w:r>
        <w:rPr>
          <w:rFonts w:hint="eastAsia" w:ascii="仿宋_GB2312" w:eastAsia="仿宋_GB2312"/>
          <w:kern w:val="2"/>
          <w:sz w:val="32"/>
          <w:szCs w:val="32"/>
          <w:lang w:val="zh-CN"/>
        </w:rPr>
        <w:t>深圳海事局负责对进入珠三角水域排放控制区深圳水域船舶的监管。</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三、补贴政策</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对于靠泊深圳港的船舶，在</w:t>
      </w:r>
      <w:r>
        <w:rPr>
          <w:rFonts w:hint="eastAsia" w:ascii="仿宋_GB2312" w:eastAsia="仿宋_GB2312"/>
          <w:sz w:val="32"/>
          <w:szCs w:val="32"/>
          <w:lang w:val="zh-CN"/>
        </w:rPr>
        <w:t>进入珠三角水域排放控制区使用硫含</w:t>
      </w:r>
      <w:r>
        <w:rPr>
          <w:rFonts w:hint="eastAsia" w:ascii="仿宋_GB2312" w:eastAsia="仿宋_GB2312"/>
          <w:sz w:val="32"/>
          <w:szCs w:val="32"/>
        </w:rPr>
        <w:t>量≤0.</w:t>
      </w:r>
      <w:r>
        <w:rPr>
          <w:rFonts w:ascii="仿宋_GB2312" w:eastAsia="仿宋_GB2312"/>
          <w:sz w:val="32"/>
          <w:szCs w:val="32"/>
        </w:rPr>
        <w:t xml:space="preserve">1% </w:t>
      </w:r>
      <w:r>
        <w:rPr>
          <w:rFonts w:hint="eastAsia" w:ascii="仿宋_GB2312" w:eastAsia="仿宋_GB2312"/>
          <w:sz w:val="32"/>
          <w:szCs w:val="32"/>
        </w:rPr>
        <w:t>m/m的</w:t>
      </w:r>
      <w:r>
        <w:rPr>
          <w:rFonts w:hint="eastAsia" w:ascii="仿宋_GB2312" w:eastAsia="仿宋_GB2312"/>
          <w:sz w:val="32"/>
          <w:szCs w:val="32"/>
          <w:lang w:val="zh-CN"/>
        </w:rPr>
        <w:t>低硫</w:t>
      </w:r>
      <w:r>
        <w:rPr>
          <w:rFonts w:hint="eastAsia" w:ascii="仿宋_GB2312" w:eastAsia="仿宋_GB2312"/>
          <w:sz w:val="32"/>
          <w:szCs w:val="32"/>
        </w:rPr>
        <w:t>燃油或靠泊期间使用岸电，给予相应补贴。</w:t>
      </w:r>
    </w:p>
    <w:p>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（一）低硫油补贴标准的计算。</w:t>
      </w:r>
    </w:p>
    <w:p>
      <w:pPr>
        <w:spacing w:line="560" w:lineRule="exact"/>
        <w:ind w:firstLine="560"/>
        <w:rPr>
          <w:rFonts w:hint="eastAsia" w:ascii="仿宋_GB2312" w:hAnsi="仿宋" w:eastAsia="仿宋_GB2312"/>
          <w:b/>
          <w:color w:val="000000"/>
          <w:sz w:val="32"/>
          <w:szCs w:val="32"/>
        </w:rPr>
      </w:pPr>
      <w:r>
        <w:rPr>
          <w:rFonts w:hint="eastAsia" w:ascii="仿宋_GB2312" w:hAnsi="仿宋" w:eastAsia="仿宋_GB2312"/>
          <w:b/>
          <w:color w:val="000000"/>
          <w:sz w:val="32"/>
          <w:szCs w:val="32"/>
        </w:rPr>
        <w:t>1．排放控制区船舶航行状态分析</w:t>
      </w:r>
    </w:p>
    <w:p>
      <w:pPr>
        <w:spacing w:line="560" w:lineRule="exact"/>
        <w:ind w:firstLine="560"/>
        <w:rPr>
          <w:rFonts w:hint="eastAsia" w:ascii="仿宋_GB2312" w:hAnsi="仿宋" w:eastAsia="仿宋_GB2312"/>
          <w:color w:val="000000"/>
          <w:sz w:val="32"/>
          <w:szCs w:val="32"/>
        </w:rPr>
      </w:pPr>
      <w:r>
        <w:rPr>
          <w:rFonts w:hint="eastAsia" w:ascii="仿宋_GB2312" w:hAnsi="仿宋" w:eastAsia="仿宋_GB2312"/>
          <w:color w:val="000000"/>
          <w:sz w:val="32"/>
          <w:szCs w:val="32"/>
        </w:rPr>
        <w:t>（1）各航线船舶进入排放控制区至登轮点航行及引航距离：</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a.</w:t>
      </w:r>
      <w:r>
        <w:rPr>
          <w:rFonts w:hint="eastAsia" w:ascii="仿宋" w:hAnsi="仿宋" w:eastAsia="仿宋"/>
          <w:color w:val="000000"/>
          <w:sz w:val="32"/>
          <w:szCs w:val="32"/>
        </w:rPr>
        <w:t>到东部盐田港区的船舶，进入排放控制区航行至黑崖角对开引航员登轮点约43海里，引航员在黑崖角对开引航员登轮点登轮引航，引航距离12海里。</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b.大部分船舶从马湾水道进出西部港区，进入排放控制区航行至烂角咀登轮点约需航行50海里，引航距离2-7.6海里。烂角咀距离蛇口港区2-3海里；赤湾港区最近2.4-4.5海里；大铲湾港区最近6.7-7.6海里。</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c.小部分船舶进入排放控制区航行至蜘洲锚地登轮点约需航行30海里，引航距离约22.4-27.6海里，蜘洲锚地经铜鼓口航行21.1海里，然后航行至蛇口港区1.3-3海里；赤湾港区1.6-3.3海里；大铲湾港区5.4-6.5海里。</w:t>
      </w:r>
    </w:p>
    <w:p>
      <w:pPr>
        <w:spacing w:line="560" w:lineRule="exact"/>
        <w:ind w:firstLine="560"/>
        <w:rPr>
          <w:rFonts w:hint="eastAsia" w:ascii="仿宋_GB2312" w:hAnsi="仿宋" w:eastAsia="仿宋_GB2312"/>
          <w:color w:val="000000"/>
          <w:sz w:val="32"/>
          <w:szCs w:val="32"/>
        </w:rPr>
      </w:pPr>
      <w:r>
        <w:rPr>
          <w:rFonts w:hint="eastAsia" w:ascii="仿宋_GB2312" w:hAnsi="仿宋" w:eastAsia="仿宋_GB2312"/>
          <w:color w:val="000000"/>
          <w:sz w:val="32"/>
          <w:szCs w:val="32"/>
        </w:rPr>
        <w:t>（2）船舶往返排放控制区航行：</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a.巡航状态</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船舶进入排放控制区后，在进入深圳市海域之前，以16节的速度航行。</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b.航道低速巡航状态及进出港状态</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船舶进入深圳市海域开始，沿航道行驶至锚地；船舶从锚地被引航进入港口至距泊位约1km处，船舶航速保持在较低的状态，低速出港过程与低速进港过程类似。此过程中船速取11节。</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c.拖轮拖曳进出港状态</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船舶行驶至距泊位约1km处，需要进一步降低航速，该过程中小型船舶由于自身动力小，可以依靠自身动力完成，因此不需要拖轮进行拖曳；而大型船舶可能需要拖轮进行顶推或是拖曳，拖轮拖曳出港过程与拖轮拖曳进港过程类似。根据调研，该过程时间约为1小时。</w:t>
      </w:r>
    </w:p>
    <w:p>
      <w:pPr>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2.补贴标准测算</w:t>
      </w:r>
    </w:p>
    <w:p>
      <w:pPr>
        <w:spacing w:line="560" w:lineRule="exact"/>
        <w:ind w:firstLine="480"/>
        <w:jc w:val="center"/>
        <w:rPr>
          <w:rFonts w:hint="eastAsia" w:ascii="仿宋_GB2312" w:hAnsi="仿宋" w:eastAsia="仿宋_GB2312"/>
          <w:color w:val="000000"/>
          <w:sz w:val="32"/>
          <w:szCs w:val="32"/>
        </w:rPr>
      </w:pPr>
    </w:p>
    <w:p>
      <w:pPr>
        <w:shd w:val="clear" w:color="auto" w:fill="FFFFFF"/>
        <w:spacing w:line="560" w:lineRule="exact"/>
        <w:jc w:val="center"/>
        <w:rPr>
          <w:rFonts w:ascii="仿宋_GB2312" w:eastAsia="仿宋_GB2312"/>
          <w:b/>
          <w:sz w:val="32"/>
          <w:szCs w:val="32"/>
        </w:rPr>
      </w:pPr>
      <w:r>
        <w:rPr>
          <w:rFonts w:hint="eastAsia" w:ascii="仿宋_GB2312" w:hAnsi="宋体" w:eastAsia="仿宋_GB2312"/>
          <w:b/>
          <w:sz w:val="32"/>
          <w:szCs w:val="32"/>
        </w:rPr>
        <w:t xml:space="preserve">    补贴额</w:t>
      </w:r>
      <w:r>
        <w:rPr>
          <w:rFonts w:hint="eastAsia" w:ascii="仿宋_GB2312" w:eastAsia="仿宋_GB2312"/>
          <w:b/>
          <w:sz w:val="32"/>
          <w:szCs w:val="32"/>
        </w:rPr>
        <w:t>S= NT *[L</w:t>
      </w:r>
      <w:r>
        <w:rPr>
          <w:rFonts w:hint="eastAsia" w:ascii="仿宋_GB2312" w:eastAsia="仿宋_GB2312"/>
          <w:b/>
          <w:sz w:val="32"/>
          <w:szCs w:val="32"/>
          <w:vertAlign w:val="subscript"/>
        </w:rPr>
        <w:t>1</w:t>
      </w:r>
      <w:r>
        <w:rPr>
          <w:rFonts w:hint="eastAsia" w:ascii="仿宋_GB2312" w:eastAsia="仿宋_GB2312"/>
          <w:b/>
          <w:sz w:val="32"/>
          <w:szCs w:val="32"/>
        </w:rPr>
        <w:t>*α</w:t>
      </w:r>
      <w:r>
        <w:rPr>
          <w:rFonts w:hint="eastAsia" w:ascii="仿宋_GB2312" w:eastAsia="仿宋_GB2312"/>
          <w:b/>
          <w:sz w:val="32"/>
          <w:szCs w:val="32"/>
          <w:vertAlign w:val="subscript"/>
        </w:rPr>
        <w:t>1</w:t>
      </w:r>
      <w:r>
        <w:rPr>
          <w:rFonts w:hint="eastAsia" w:ascii="仿宋_GB2312" w:eastAsia="仿宋_GB2312"/>
          <w:sz w:val="32"/>
          <w:szCs w:val="32"/>
        </w:rPr>
        <w:t>+</w:t>
      </w:r>
      <w:r>
        <w:rPr>
          <w:rFonts w:hint="eastAsia" w:ascii="仿宋_GB2312" w:eastAsia="仿宋_GB2312"/>
          <w:b/>
          <w:sz w:val="32"/>
          <w:szCs w:val="32"/>
        </w:rPr>
        <w:t xml:space="preserve"> L</w:t>
      </w:r>
      <w:r>
        <w:rPr>
          <w:rFonts w:hint="eastAsia" w:ascii="仿宋_GB2312" w:eastAsia="仿宋_GB2312"/>
          <w:b/>
          <w:sz w:val="32"/>
          <w:szCs w:val="32"/>
          <w:vertAlign w:val="subscript"/>
        </w:rPr>
        <w:t>2</w:t>
      </w:r>
      <w:r>
        <w:rPr>
          <w:rFonts w:hint="eastAsia" w:ascii="仿宋_GB2312" w:eastAsia="仿宋_GB2312"/>
          <w:b/>
          <w:sz w:val="32"/>
          <w:szCs w:val="32"/>
        </w:rPr>
        <w:t>*α</w:t>
      </w:r>
      <w:r>
        <w:rPr>
          <w:rFonts w:hint="eastAsia" w:ascii="仿宋_GB2312" w:eastAsia="仿宋_GB2312"/>
          <w:b/>
          <w:sz w:val="32"/>
          <w:szCs w:val="32"/>
          <w:vertAlign w:val="subscript"/>
        </w:rPr>
        <w:t>2</w:t>
      </w:r>
      <w:r>
        <w:rPr>
          <w:rFonts w:hint="eastAsia" w:ascii="仿宋_GB2312" w:eastAsia="仿宋_GB2312"/>
          <w:b/>
          <w:sz w:val="32"/>
          <w:szCs w:val="32"/>
        </w:rPr>
        <w:t>+( L</w:t>
      </w:r>
      <w:r>
        <w:rPr>
          <w:rFonts w:hint="eastAsia" w:ascii="仿宋_GB2312" w:eastAsia="仿宋_GB2312"/>
          <w:b/>
          <w:sz w:val="32"/>
          <w:szCs w:val="32"/>
          <w:vertAlign w:val="subscript"/>
        </w:rPr>
        <w:t>1</w:t>
      </w:r>
      <w:r>
        <w:rPr>
          <w:rFonts w:hint="eastAsia" w:ascii="仿宋_GB2312" w:eastAsia="仿宋_GB2312"/>
          <w:b/>
          <w:sz w:val="32"/>
          <w:szCs w:val="32"/>
        </w:rPr>
        <w:t>/16+ L</w:t>
      </w:r>
      <w:r>
        <w:rPr>
          <w:rFonts w:hint="eastAsia" w:ascii="仿宋_GB2312" w:eastAsia="仿宋_GB2312"/>
          <w:b/>
          <w:sz w:val="32"/>
          <w:szCs w:val="32"/>
          <w:vertAlign w:val="subscript"/>
        </w:rPr>
        <w:t>2</w:t>
      </w:r>
      <w:r>
        <w:rPr>
          <w:rFonts w:hint="eastAsia" w:ascii="仿宋_GB2312" w:eastAsia="仿宋_GB2312"/>
          <w:b/>
          <w:sz w:val="32"/>
          <w:szCs w:val="32"/>
        </w:rPr>
        <w:t>/11+1)*</w:t>
      </w:r>
      <w:r>
        <w:rPr>
          <w:rFonts w:hint="eastAsia" w:ascii="仿宋_GB2312" w:eastAsia="仿宋_GB2312"/>
          <w:color w:val="000000"/>
          <w:sz w:val="32"/>
          <w:szCs w:val="32"/>
        </w:rPr>
        <w:t xml:space="preserve"> </w:t>
      </w:r>
      <w:r>
        <w:rPr>
          <w:rFonts w:hint="eastAsia" w:ascii="仿宋_GB2312" w:eastAsia="仿宋_GB2312"/>
          <w:b/>
          <w:sz w:val="32"/>
          <w:szCs w:val="32"/>
        </w:rPr>
        <w:t>β</w:t>
      </w:r>
      <w:r>
        <w:rPr>
          <w:rFonts w:hint="eastAsia" w:ascii="仿宋_GB2312" w:eastAsia="仿宋_GB2312"/>
          <w:color w:val="000000"/>
          <w:sz w:val="32"/>
          <w:szCs w:val="32"/>
        </w:rPr>
        <w:t>]</w:t>
      </w:r>
      <w:r>
        <w:rPr>
          <w:rFonts w:hint="eastAsia" w:ascii="仿宋_GB2312" w:eastAsia="仿宋_GB2312"/>
          <w:b/>
          <w:sz w:val="32"/>
          <w:szCs w:val="32"/>
        </w:rPr>
        <w:t xml:space="preserve">* </w:t>
      </w:r>
      <w:r>
        <w:rPr>
          <w:rFonts w:hint="eastAsia" w:ascii="仿宋_GB2312" w:hAnsi="Cambria Math" w:eastAsia="仿宋_GB2312" w:cs="Cambria Math"/>
          <w:b/>
          <w:sz w:val="32"/>
          <w:szCs w:val="32"/>
        </w:rPr>
        <w:t>△</w:t>
      </w:r>
      <w:r>
        <w:rPr>
          <w:rFonts w:hint="eastAsia" w:ascii="仿宋_GB2312" w:eastAsia="仿宋_GB2312"/>
          <w:b/>
          <w:sz w:val="32"/>
          <w:szCs w:val="32"/>
        </w:rPr>
        <w:t xml:space="preserve"> * E /（220* 6.3</w:t>
      </w:r>
      <w:r>
        <w:rPr>
          <w:rFonts w:hint="eastAsia" w:ascii="仿宋_GB2312" w:hAnsi="宋体" w:eastAsia="仿宋_GB2312"/>
          <w:b/>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式中：</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S：航行期间使用</w:t>
      </w:r>
      <w:r>
        <w:rPr>
          <w:rFonts w:hint="eastAsia" w:ascii="仿宋_GB2312" w:eastAsia="仿宋_GB2312"/>
          <w:color w:val="000000"/>
          <w:sz w:val="32"/>
          <w:szCs w:val="32"/>
        </w:rPr>
        <w:t>低硫油LSMGO补贴额，元；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NT：船舶净吨，单位为净吨；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L</w:t>
      </w:r>
      <w:r>
        <w:rPr>
          <w:rFonts w:hint="eastAsia" w:ascii="仿宋_GB2312" w:eastAsia="仿宋_GB2312"/>
          <w:sz w:val="32"/>
          <w:szCs w:val="32"/>
          <w:vertAlign w:val="subscript"/>
        </w:rPr>
        <w:t>1</w:t>
      </w:r>
      <w:r>
        <w:rPr>
          <w:rFonts w:hint="eastAsia" w:ascii="仿宋_GB2312" w:eastAsia="仿宋_GB2312"/>
          <w:sz w:val="32"/>
          <w:szCs w:val="32"/>
        </w:rPr>
        <w:t>：船舶进入排放控制区到深圳市海域航行距离，海里；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L</w:t>
      </w:r>
      <w:r>
        <w:rPr>
          <w:rFonts w:hint="eastAsia" w:ascii="仿宋_GB2312" w:eastAsia="仿宋_GB2312"/>
          <w:sz w:val="32"/>
          <w:szCs w:val="32"/>
          <w:vertAlign w:val="subscript"/>
        </w:rPr>
        <w:t>2</w:t>
      </w:r>
      <w:r>
        <w:rPr>
          <w:rFonts w:hint="eastAsia" w:ascii="仿宋_GB2312" w:eastAsia="仿宋_GB2312"/>
          <w:sz w:val="32"/>
          <w:szCs w:val="32"/>
        </w:rPr>
        <w:t>：船舶进入深圳市海域到距港口1km处航行距离，海里；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α</w:t>
      </w:r>
      <w:r>
        <w:rPr>
          <w:rFonts w:hint="eastAsia" w:ascii="仿宋_GB2312" w:eastAsia="仿宋_GB2312"/>
          <w:sz w:val="32"/>
          <w:szCs w:val="32"/>
          <w:vertAlign w:val="subscript"/>
        </w:rPr>
        <w:t>1</w:t>
      </w:r>
      <w:r>
        <w:rPr>
          <w:rFonts w:hint="eastAsia" w:ascii="仿宋_GB2312" w:eastAsia="仿宋_GB2312"/>
          <w:sz w:val="32"/>
          <w:szCs w:val="32"/>
        </w:rPr>
        <w:t>: 巡航主机补贴系数，元/(NT*海里）；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α</w:t>
      </w:r>
      <w:r>
        <w:rPr>
          <w:rFonts w:hint="eastAsia" w:ascii="仿宋_GB2312" w:eastAsia="仿宋_GB2312"/>
          <w:sz w:val="32"/>
          <w:szCs w:val="32"/>
          <w:vertAlign w:val="subscript"/>
        </w:rPr>
        <w:t>2</w:t>
      </w:r>
      <w:r>
        <w:rPr>
          <w:rFonts w:hint="eastAsia" w:ascii="仿宋_GB2312" w:eastAsia="仿宋_GB2312"/>
          <w:sz w:val="32"/>
          <w:szCs w:val="32"/>
        </w:rPr>
        <w:t xml:space="preserve">: </w:t>
      </w:r>
      <w:r>
        <w:rPr>
          <w:rFonts w:hint="eastAsia" w:ascii="仿宋_GB2312" w:eastAsia="仿宋_GB2312"/>
          <w:color w:val="000000"/>
          <w:sz w:val="32"/>
          <w:szCs w:val="32"/>
        </w:rPr>
        <w:t>低速巡航及进出港主机补贴系数</w:t>
      </w:r>
      <w:r>
        <w:rPr>
          <w:rFonts w:hint="eastAsia" w:ascii="仿宋_GB2312" w:eastAsia="仿宋_GB2312"/>
          <w:sz w:val="32"/>
          <w:szCs w:val="32"/>
        </w:rPr>
        <w:t>，元/(NT*海里）；</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β</w:t>
      </w:r>
      <w:r>
        <w:rPr>
          <w:rFonts w:hint="eastAsia" w:ascii="仿宋_GB2312" w:eastAsia="仿宋_GB2312"/>
          <w:color w:val="000000"/>
          <w:sz w:val="32"/>
          <w:szCs w:val="32"/>
        </w:rPr>
        <w:t>：航行时辅机补贴系数，元/（</w:t>
      </w:r>
      <w:r>
        <w:rPr>
          <w:rFonts w:hint="eastAsia" w:ascii="仿宋_GB2312" w:eastAsia="仿宋_GB2312"/>
          <w:sz w:val="32"/>
          <w:szCs w:val="32"/>
        </w:rPr>
        <w:t>NT</w:t>
      </w:r>
      <w:r>
        <w:rPr>
          <w:rFonts w:hint="eastAsia" w:ascii="仿宋_GB2312" w:eastAsia="仿宋_GB2312"/>
          <w:color w:val="000000"/>
          <w:sz w:val="32"/>
          <w:szCs w:val="32"/>
        </w:rPr>
        <w:t xml:space="preserve"> *小时）；</w:t>
      </w:r>
    </w:p>
    <w:p>
      <w:pPr>
        <w:spacing w:line="560" w:lineRule="exact"/>
        <w:ind w:firstLine="640" w:firstLineChars="200"/>
        <w:rPr>
          <w:rFonts w:ascii="仿宋_GB2312" w:eastAsia="仿宋_GB2312"/>
          <w:color w:val="000000"/>
          <w:sz w:val="32"/>
          <w:szCs w:val="32"/>
        </w:rPr>
      </w:pPr>
      <w:r>
        <w:rPr>
          <w:rFonts w:hint="eastAsia" w:ascii="仿宋_GB2312" w:hAnsi="Cambria Math" w:eastAsia="仿宋_GB2312" w:cs="Cambria Math"/>
          <w:sz w:val="32"/>
          <w:szCs w:val="32"/>
        </w:rPr>
        <w:t>△</w:t>
      </w:r>
      <w:r>
        <w:rPr>
          <w:rFonts w:hint="eastAsia" w:ascii="仿宋_GB2312" w:eastAsia="仿宋_GB2312"/>
          <w:color w:val="000000"/>
          <w:sz w:val="32"/>
          <w:szCs w:val="32"/>
        </w:rPr>
        <w:t>：燃油差价，由交委及其委托的第三方机构根据当月新加坡重油（IFO380）与低硫油（LSMGO）月均差价确定，单位为美元/吨；</w:t>
      </w:r>
    </w:p>
    <w:p>
      <w:pPr>
        <w:spacing w:line="560" w:lineRule="exact"/>
        <w:ind w:firstLine="640" w:firstLineChars="200"/>
        <w:rPr>
          <w:rFonts w:ascii="仿宋_GB2312" w:hAnsi="Cambria Math" w:eastAsia="仿宋_GB2312" w:cs="Cambria Math"/>
          <w:sz w:val="32"/>
          <w:szCs w:val="32"/>
        </w:rPr>
      </w:pPr>
      <w:r>
        <w:rPr>
          <w:rFonts w:hint="eastAsia" w:ascii="仿宋_GB2312" w:hAnsi="Cambria Math" w:eastAsia="仿宋_GB2312" w:cs="Cambria Math"/>
          <w:sz w:val="32"/>
          <w:szCs w:val="32"/>
        </w:rPr>
        <w:t>E：汇率，下同，由交委及其委托的第三方机构根据中行外汇牌价中行折算价月均数据确定，单位为元/美元。</w:t>
      </w:r>
    </w:p>
    <w:p>
      <w:pPr>
        <w:spacing w:line="560" w:lineRule="exact"/>
        <w:ind w:firstLine="643" w:firstLineChars="200"/>
        <w:rPr>
          <w:rFonts w:ascii="仿宋_GB2312" w:eastAsia="仿宋_GB2312"/>
          <w:b/>
          <w:color w:val="000000"/>
          <w:sz w:val="32"/>
          <w:szCs w:val="32"/>
        </w:rPr>
      </w:pPr>
      <w:r>
        <w:rPr>
          <w:rFonts w:hint="eastAsia" w:ascii="仿宋_GB2312" w:eastAsia="仿宋_GB2312"/>
          <w:b/>
          <w:color w:val="000000"/>
          <w:sz w:val="32"/>
          <w:szCs w:val="32"/>
        </w:rPr>
        <w:t>3.</w:t>
      </w:r>
      <w:r>
        <w:rPr>
          <w:rFonts w:ascii="仿宋_GB2312" w:eastAsia="仿宋_GB2312"/>
          <w:b/>
          <w:color w:val="000000"/>
          <w:sz w:val="32"/>
          <w:szCs w:val="32"/>
        </w:rPr>
        <w:t>航行时</w:t>
      </w:r>
      <w:r>
        <w:rPr>
          <w:rFonts w:hint="eastAsia" w:ascii="仿宋_GB2312" w:eastAsia="仿宋_GB2312"/>
          <w:b/>
          <w:color w:val="000000"/>
          <w:sz w:val="32"/>
          <w:szCs w:val="32"/>
        </w:rPr>
        <w:t>补贴额度</w:t>
      </w:r>
    </w:p>
    <w:p>
      <w:pPr>
        <w:spacing w:line="560" w:lineRule="exact"/>
        <w:ind w:firstLine="640" w:firstLineChars="200"/>
        <w:rPr>
          <w:rFonts w:ascii="仿宋_GB2312" w:hAnsi="Cambria Math" w:eastAsia="仿宋_GB2312" w:cs="Cambria Math"/>
          <w:sz w:val="32"/>
          <w:szCs w:val="32"/>
        </w:rPr>
      </w:pPr>
      <w:r>
        <w:rPr>
          <w:rFonts w:hint="eastAsia" w:ascii="仿宋_GB2312" w:hAnsi="Cambria Math" w:eastAsia="仿宋_GB2312" w:cs="Cambria Math"/>
          <w:sz w:val="32"/>
          <w:szCs w:val="32"/>
        </w:rPr>
        <w:t>2018年4月，重油价格为</w:t>
      </w:r>
      <w:r>
        <w:rPr>
          <w:rFonts w:ascii="仿宋_GB2312" w:hAnsi="Cambria Math" w:eastAsia="仿宋_GB2312" w:cs="Cambria Math"/>
          <w:sz w:val="32"/>
          <w:szCs w:val="32"/>
        </w:rPr>
        <w:t>393.28美元</w:t>
      </w:r>
      <w:r>
        <w:rPr>
          <w:rFonts w:hint="eastAsia" w:ascii="仿宋_GB2312" w:hAnsi="Cambria Math" w:eastAsia="仿宋_GB2312" w:cs="Cambria Math"/>
          <w:sz w:val="32"/>
          <w:szCs w:val="32"/>
        </w:rPr>
        <w:t>/吨，低硫油LSMGO价格为631.76美元/吨，两者差价为</w:t>
      </w:r>
      <w:r>
        <w:rPr>
          <w:rFonts w:ascii="仿宋_GB2312" w:hAnsi="Cambria Math" w:eastAsia="仿宋_GB2312" w:cs="Cambria Math"/>
          <w:sz w:val="32"/>
          <w:szCs w:val="32"/>
        </w:rPr>
        <w:t>238.48</w:t>
      </w:r>
      <w:r>
        <w:rPr>
          <w:rFonts w:hint="eastAsia" w:ascii="仿宋_GB2312" w:hAnsi="Cambria Math" w:eastAsia="仿宋_GB2312" w:cs="Cambria Math"/>
          <w:sz w:val="32"/>
          <w:szCs w:val="32"/>
        </w:rPr>
        <w:t>美元/吨，人民币对美元汇率</w:t>
      </w:r>
      <w:r>
        <w:rPr>
          <w:rFonts w:ascii="仿宋_GB2312" w:hAnsi="Cambria Math" w:eastAsia="仿宋_GB2312" w:cs="Cambria Math"/>
          <w:sz w:val="32"/>
          <w:szCs w:val="32"/>
        </w:rPr>
        <w:t>为6.29元</w:t>
      </w:r>
      <w:r>
        <w:rPr>
          <w:rFonts w:hint="eastAsia" w:ascii="仿宋_GB2312" w:hAnsi="Cambria Math" w:eastAsia="仿宋_GB2312" w:cs="Cambria Math"/>
          <w:sz w:val="32"/>
          <w:szCs w:val="32"/>
        </w:rPr>
        <w:t>/美元。在不同净吨范围内均取该范围的中间值作为净吨计算。</w:t>
      </w:r>
    </w:p>
    <w:p>
      <w:pPr>
        <w:spacing w:line="560" w:lineRule="exact"/>
        <w:ind w:firstLine="640" w:firstLineChars="200"/>
        <w:rPr>
          <w:rFonts w:ascii="仿宋_GB2312" w:hAnsi="Cambria Math" w:eastAsia="仿宋_GB2312" w:cs="Cambria Math"/>
          <w:sz w:val="32"/>
          <w:szCs w:val="32"/>
        </w:rPr>
      </w:pPr>
      <w:r>
        <w:rPr>
          <w:rFonts w:hint="eastAsia" w:ascii="仿宋_GB2312" w:hAnsi="Cambria Math" w:eastAsia="仿宋_GB2312" w:cs="Cambria Math"/>
          <w:sz w:val="32"/>
          <w:szCs w:val="32"/>
        </w:rPr>
        <w:t>船舶进入深圳市海域到距港口1km（0.54海里）处航行距离L2取20海里（在距离泊位1km处</w:t>
      </w:r>
      <w:r>
        <w:rPr>
          <w:rFonts w:ascii="仿宋_GB2312" w:hAnsi="Cambria Math" w:eastAsia="仿宋_GB2312" w:cs="Cambria Math"/>
          <w:sz w:val="32"/>
          <w:szCs w:val="32"/>
        </w:rPr>
        <w:t>拖轮拖曳运输船舶进出港</w:t>
      </w:r>
      <w:r>
        <w:rPr>
          <w:rFonts w:hint="eastAsia" w:ascii="仿宋_GB2312" w:hAnsi="Cambria Math" w:eastAsia="仿宋_GB2312" w:cs="Cambria Math"/>
          <w:sz w:val="32"/>
          <w:szCs w:val="32"/>
        </w:rPr>
        <w:t>），船舶进入排放控制区到深圳市海域航行距离L1则取29.46海里。计算后结果见表1。</w:t>
      </w:r>
    </w:p>
    <w:p>
      <w:pPr>
        <w:spacing w:line="560" w:lineRule="exact"/>
        <w:jc w:val="center"/>
        <w:rPr>
          <w:color w:val="000000"/>
          <w:kern w:val="0"/>
          <w:sz w:val="24"/>
        </w:rPr>
      </w:pPr>
      <w:r>
        <w:rPr>
          <w:color w:val="000000"/>
          <w:kern w:val="0"/>
          <w:sz w:val="24"/>
        </w:rPr>
        <w:t>表</w:t>
      </w:r>
      <w:r>
        <w:rPr>
          <w:rFonts w:hint="eastAsia"/>
          <w:color w:val="000000"/>
          <w:kern w:val="0"/>
          <w:sz w:val="24"/>
        </w:rPr>
        <w:t>1</w:t>
      </w:r>
      <w:r>
        <w:rPr>
          <w:color w:val="000000"/>
          <w:kern w:val="0"/>
          <w:sz w:val="24"/>
        </w:rPr>
        <w:t xml:space="preserve"> 不同吨级船舶往返排放控制区（往返</w:t>
      </w:r>
      <w:r>
        <w:rPr>
          <w:rFonts w:hint="eastAsia"/>
          <w:sz w:val="24"/>
        </w:rPr>
        <w:t>航距</w:t>
      </w:r>
      <w:r>
        <w:rPr>
          <w:rFonts w:hint="eastAsia"/>
          <w:color w:val="000000"/>
          <w:kern w:val="0"/>
          <w:sz w:val="24"/>
        </w:rPr>
        <w:t>100</w:t>
      </w:r>
      <w:r>
        <w:rPr>
          <w:color w:val="000000"/>
          <w:kern w:val="0"/>
          <w:sz w:val="24"/>
        </w:rPr>
        <w:t>海里）补贴金额</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spacing w:line="560" w:lineRule="exact"/>
              <w:jc w:val="center"/>
              <w:rPr>
                <w:color w:val="000000"/>
                <w:kern w:val="0"/>
                <w:sz w:val="22"/>
              </w:rPr>
            </w:pPr>
            <w:r>
              <w:rPr>
                <w:color w:val="000000"/>
                <w:kern w:val="0"/>
                <w:sz w:val="22"/>
              </w:rPr>
              <w:t>序号</w:t>
            </w:r>
          </w:p>
        </w:tc>
        <w:tc>
          <w:tcPr>
            <w:tcW w:w="2841" w:type="dxa"/>
            <w:vAlign w:val="top"/>
          </w:tcPr>
          <w:p>
            <w:pPr>
              <w:spacing w:line="560" w:lineRule="exact"/>
              <w:jc w:val="center"/>
              <w:rPr>
                <w:color w:val="000000"/>
                <w:kern w:val="0"/>
                <w:sz w:val="22"/>
              </w:rPr>
            </w:pPr>
            <w:r>
              <w:rPr>
                <w:color w:val="000000"/>
                <w:kern w:val="0"/>
                <w:sz w:val="22"/>
              </w:rPr>
              <w:t>平均净吨（</w:t>
            </w:r>
            <w:r>
              <w:t>NT</w:t>
            </w:r>
            <w:r>
              <w:rPr>
                <w:color w:val="000000"/>
                <w:kern w:val="0"/>
                <w:sz w:val="22"/>
              </w:rPr>
              <w:t>）</w:t>
            </w:r>
          </w:p>
        </w:tc>
        <w:tc>
          <w:tcPr>
            <w:tcW w:w="2841" w:type="dxa"/>
            <w:vAlign w:val="top"/>
          </w:tcPr>
          <w:p>
            <w:pPr>
              <w:spacing w:line="560" w:lineRule="exact"/>
              <w:jc w:val="center"/>
              <w:rPr>
                <w:color w:val="000000"/>
                <w:kern w:val="0"/>
                <w:sz w:val="22"/>
              </w:rPr>
            </w:pPr>
            <w:r>
              <w:rPr>
                <w:color w:val="000000"/>
                <w:kern w:val="0"/>
                <w:sz w:val="22"/>
              </w:rPr>
              <w:t>补贴金额（万元）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bottom"/>
          </w:tcPr>
          <w:p>
            <w:pPr>
              <w:spacing w:line="560" w:lineRule="exact"/>
              <w:ind w:firstLine="440"/>
              <w:jc w:val="center"/>
              <w:rPr>
                <w:color w:val="000000"/>
                <w:sz w:val="22"/>
              </w:rPr>
            </w:pPr>
            <w:r>
              <w:rPr>
                <w:color w:val="000000"/>
                <w:sz w:val="22"/>
              </w:rPr>
              <w:t>1</w:t>
            </w:r>
          </w:p>
        </w:tc>
        <w:tc>
          <w:tcPr>
            <w:tcW w:w="2841" w:type="dxa"/>
            <w:vAlign w:val="bottom"/>
          </w:tcPr>
          <w:p>
            <w:pPr>
              <w:spacing w:line="560" w:lineRule="exact"/>
              <w:ind w:firstLine="440"/>
              <w:jc w:val="center"/>
              <w:rPr>
                <w:color w:val="000000"/>
                <w:sz w:val="22"/>
              </w:rPr>
            </w:pPr>
            <w:r>
              <w:rPr>
                <w:color w:val="000000"/>
                <w:sz w:val="22"/>
              </w:rPr>
              <w:t>≤9999</w:t>
            </w:r>
          </w:p>
        </w:tc>
        <w:tc>
          <w:tcPr>
            <w:tcW w:w="2841" w:type="dxa"/>
            <w:vAlign w:val="center"/>
          </w:tcPr>
          <w:p>
            <w:pPr>
              <w:spacing w:line="560" w:lineRule="exact"/>
              <w:ind w:firstLine="440"/>
              <w:jc w:val="center"/>
              <w:rPr>
                <w:rFonts w:ascii="宋体" w:hAnsi="宋体" w:cs="宋体"/>
                <w:color w:val="000000"/>
                <w:sz w:val="22"/>
              </w:rPr>
            </w:pPr>
            <w:r>
              <w:rPr>
                <w:rFonts w:hint="eastAsia"/>
                <w:color w:val="000000"/>
                <w:sz w:val="22"/>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bottom"/>
          </w:tcPr>
          <w:p>
            <w:pPr>
              <w:spacing w:line="560" w:lineRule="exact"/>
              <w:ind w:firstLine="440"/>
              <w:jc w:val="center"/>
              <w:rPr>
                <w:color w:val="000000"/>
                <w:sz w:val="22"/>
              </w:rPr>
            </w:pPr>
            <w:r>
              <w:rPr>
                <w:color w:val="000000"/>
                <w:sz w:val="22"/>
              </w:rPr>
              <w:t>2</w:t>
            </w:r>
          </w:p>
        </w:tc>
        <w:tc>
          <w:tcPr>
            <w:tcW w:w="2841" w:type="dxa"/>
            <w:vAlign w:val="bottom"/>
          </w:tcPr>
          <w:p>
            <w:pPr>
              <w:spacing w:line="560" w:lineRule="exact"/>
              <w:ind w:firstLine="440"/>
              <w:jc w:val="center"/>
              <w:rPr>
                <w:color w:val="000000"/>
                <w:sz w:val="22"/>
              </w:rPr>
            </w:pPr>
            <w:r>
              <w:rPr>
                <w:color w:val="000000"/>
                <w:sz w:val="22"/>
              </w:rPr>
              <w:t>10000-19999</w:t>
            </w:r>
          </w:p>
        </w:tc>
        <w:tc>
          <w:tcPr>
            <w:tcW w:w="2841" w:type="dxa"/>
            <w:vAlign w:val="center"/>
          </w:tcPr>
          <w:p>
            <w:pPr>
              <w:spacing w:line="560" w:lineRule="exact"/>
              <w:ind w:firstLine="440"/>
              <w:jc w:val="center"/>
              <w:rPr>
                <w:rFonts w:ascii="宋体" w:hAnsi="宋体" w:cs="宋体"/>
                <w:color w:val="000000"/>
                <w:sz w:val="22"/>
              </w:rPr>
            </w:pPr>
            <w:r>
              <w:rPr>
                <w:rFonts w:hint="eastAsia"/>
                <w:color w:val="000000"/>
                <w:sz w:val="22"/>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bottom"/>
          </w:tcPr>
          <w:p>
            <w:pPr>
              <w:spacing w:line="560" w:lineRule="exact"/>
              <w:ind w:firstLine="440"/>
              <w:jc w:val="center"/>
              <w:rPr>
                <w:color w:val="000000"/>
                <w:sz w:val="22"/>
              </w:rPr>
            </w:pPr>
            <w:r>
              <w:rPr>
                <w:color w:val="000000"/>
                <w:sz w:val="22"/>
              </w:rPr>
              <w:t>3</w:t>
            </w:r>
          </w:p>
        </w:tc>
        <w:tc>
          <w:tcPr>
            <w:tcW w:w="2841" w:type="dxa"/>
            <w:vAlign w:val="bottom"/>
          </w:tcPr>
          <w:p>
            <w:pPr>
              <w:spacing w:line="560" w:lineRule="exact"/>
              <w:ind w:firstLine="440"/>
              <w:jc w:val="center"/>
              <w:rPr>
                <w:color w:val="000000"/>
                <w:sz w:val="22"/>
              </w:rPr>
            </w:pPr>
            <w:r>
              <w:rPr>
                <w:color w:val="000000"/>
                <w:sz w:val="22"/>
              </w:rPr>
              <w:t>20000-29999</w:t>
            </w:r>
          </w:p>
        </w:tc>
        <w:tc>
          <w:tcPr>
            <w:tcW w:w="2841" w:type="dxa"/>
            <w:vAlign w:val="center"/>
          </w:tcPr>
          <w:p>
            <w:pPr>
              <w:spacing w:line="560" w:lineRule="exact"/>
              <w:ind w:firstLine="440"/>
              <w:jc w:val="center"/>
              <w:rPr>
                <w:rFonts w:ascii="宋体" w:hAnsi="宋体" w:cs="宋体"/>
                <w:color w:val="000000"/>
                <w:sz w:val="22"/>
              </w:rPr>
            </w:pPr>
            <w:r>
              <w:rPr>
                <w:rFonts w:hint="eastAsia"/>
                <w:color w:val="000000"/>
                <w:sz w:val="22"/>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bottom"/>
          </w:tcPr>
          <w:p>
            <w:pPr>
              <w:spacing w:line="560" w:lineRule="exact"/>
              <w:ind w:firstLine="440"/>
              <w:jc w:val="center"/>
              <w:rPr>
                <w:color w:val="000000"/>
                <w:sz w:val="22"/>
              </w:rPr>
            </w:pPr>
            <w:r>
              <w:rPr>
                <w:color w:val="000000"/>
                <w:sz w:val="22"/>
              </w:rPr>
              <w:t>4</w:t>
            </w:r>
          </w:p>
        </w:tc>
        <w:tc>
          <w:tcPr>
            <w:tcW w:w="2841" w:type="dxa"/>
            <w:vAlign w:val="bottom"/>
          </w:tcPr>
          <w:p>
            <w:pPr>
              <w:spacing w:line="560" w:lineRule="exact"/>
              <w:ind w:firstLine="440"/>
              <w:jc w:val="center"/>
              <w:rPr>
                <w:color w:val="000000"/>
                <w:sz w:val="22"/>
              </w:rPr>
            </w:pPr>
            <w:r>
              <w:rPr>
                <w:color w:val="000000"/>
                <w:sz w:val="22"/>
              </w:rPr>
              <w:t>30000-</w:t>
            </w:r>
            <w:r>
              <w:rPr>
                <w:rFonts w:hint="eastAsia"/>
                <w:color w:val="000000"/>
                <w:sz w:val="22"/>
              </w:rPr>
              <w:t>39999</w:t>
            </w:r>
          </w:p>
        </w:tc>
        <w:tc>
          <w:tcPr>
            <w:tcW w:w="2841" w:type="dxa"/>
            <w:vAlign w:val="center"/>
          </w:tcPr>
          <w:p>
            <w:pPr>
              <w:spacing w:line="560" w:lineRule="exact"/>
              <w:ind w:firstLine="440"/>
              <w:jc w:val="center"/>
              <w:rPr>
                <w:rFonts w:ascii="宋体" w:hAnsi="宋体" w:cs="宋体"/>
                <w:color w:val="000000"/>
                <w:sz w:val="22"/>
              </w:rPr>
            </w:pPr>
            <w:r>
              <w:rPr>
                <w:rFonts w:hint="eastAsia"/>
                <w:color w:val="000000"/>
                <w:sz w:val="22"/>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bottom"/>
          </w:tcPr>
          <w:p>
            <w:pPr>
              <w:spacing w:line="560" w:lineRule="exact"/>
              <w:ind w:firstLine="440"/>
              <w:jc w:val="center"/>
              <w:rPr>
                <w:color w:val="000000"/>
                <w:sz w:val="22"/>
              </w:rPr>
            </w:pPr>
            <w:r>
              <w:rPr>
                <w:color w:val="000000"/>
                <w:sz w:val="22"/>
              </w:rPr>
              <w:t>5</w:t>
            </w:r>
          </w:p>
        </w:tc>
        <w:tc>
          <w:tcPr>
            <w:tcW w:w="2841" w:type="dxa"/>
            <w:vAlign w:val="bottom"/>
          </w:tcPr>
          <w:p>
            <w:pPr>
              <w:spacing w:line="560" w:lineRule="exact"/>
              <w:ind w:firstLine="440"/>
              <w:jc w:val="center"/>
              <w:rPr>
                <w:color w:val="000000"/>
                <w:sz w:val="22"/>
              </w:rPr>
            </w:pPr>
            <w:r>
              <w:rPr>
                <w:color w:val="000000"/>
                <w:sz w:val="22"/>
              </w:rPr>
              <w:t>4000</w:t>
            </w:r>
            <w:r>
              <w:rPr>
                <w:rFonts w:hint="eastAsia"/>
                <w:color w:val="000000"/>
                <w:sz w:val="22"/>
              </w:rPr>
              <w:t>0</w:t>
            </w:r>
            <w:r>
              <w:rPr>
                <w:color w:val="000000"/>
                <w:sz w:val="22"/>
              </w:rPr>
              <w:t>-48999</w:t>
            </w:r>
          </w:p>
        </w:tc>
        <w:tc>
          <w:tcPr>
            <w:tcW w:w="2841" w:type="dxa"/>
            <w:vAlign w:val="center"/>
          </w:tcPr>
          <w:p>
            <w:pPr>
              <w:spacing w:line="560" w:lineRule="exact"/>
              <w:ind w:firstLine="440"/>
              <w:jc w:val="center"/>
              <w:rPr>
                <w:rFonts w:ascii="宋体" w:hAnsi="宋体" w:cs="宋体"/>
                <w:color w:val="000000"/>
                <w:sz w:val="22"/>
              </w:rPr>
            </w:pPr>
            <w:r>
              <w:rPr>
                <w:rFonts w:hint="eastAsia"/>
                <w:color w:val="000000"/>
                <w:sz w:val="22"/>
              </w:rPr>
              <w:t>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bottom"/>
          </w:tcPr>
          <w:p>
            <w:pPr>
              <w:spacing w:line="560" w:lineRule="exact"/>
              <w:ind w:firstLine="440"/>
              <w:jc w:val="center"/>
              <w:rPr>
                <w:color w:val="000000"/>
                <w:sz w:val="22"/>
              </w:rPr>
            </w:pPr>
            <w:r>
              <w:rPr>
                <w:color w:val="000000"/>
                <w:sz w:val="22"/>
              </w:rPr>
              <w:t>6</w:t>
            </w:r>
          </w:p>
        </w:tc>
        <w:tc>
          <w:tcPr>
            <w:tcW w:w="2841" w:type="dxa"/>
            <w:vAlign w:val="bottom"/>
          </w:tcPr>
          <w:p>
            <w:pPr>
              <w:spacing w:line="560" w:lineRule="exact"/>
              <w:ind w:firstLine="440"/>
              <w:jc w:val="center"/>
              <w:rPr>
                <w:color w:val="000000"/>
                <w:sz w:val="22"/>
              </w:rPr>
            </w:pPr>
            <w:r>
              <w:rPr>
                <w:color w:val="000000"/>
                <w:sz w:val="22"/>
              </w:rPr>
              <w:t>49000-57999</w:t>
            </w:r>
          </w:p>
        </w:tc>
        <w:tc>
          <w:tcPr>
            <w:tcW w:w="2841" w:type="dxa"/>
            <w:vAlign w:val="center"/>
          </w:tcPr>
          <w:p>
            <w:pPr>
              <w:spacing w:line="560" w:lineRule="exact"/>
              <w:ind w:firstLine="440"/>
              <w:jc w:val="center"/>
              <w:rPr>
                <w:rFonts w:ascii="宋体" w:hAnsi="宋体" w:cs="宋体"/>
                <w:color w:val="000000"/>
                <w:sz w:val="22"/>
              </w:rPr>
            </w:pPr>
            <w:r>
              <w:rPr>
                <w:rFonts w:hint="eastAsia"/>
                <w:color w:val="000000"/>
                <w:sz w:val="22"/>
              </w:rPr>
              <w:t>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bottom"/>
          </w:tcPr>
          <w:p>
            <w:pPr>
              <w:spacing w:line="560" w:lineRule="exact"/>
              <w:ind w:firstLine="440"/>
              <w:jc w:val="center"/>
              <w:rPr>
                <w:color w:val="000000"/>
                <w:sz w:val="22"/>
              </w:rPr>
            </w:pPr>
            <w:r>
              <w:rPr>
                <w:color w:val="000000"/>
                <w:sz w:val="22"/>
              </w:rPr>
              <w:t>7</w:t>
            </w:r>
          </w:p>
        </w:tc>
        <w:tc>
          <w:tcPr>
            <w:tcW w:w="2841" w:type="dxa"/>
            <w:vAlign w:val="bottom"/>
          </w:tcPr>
          <w:p>
            <w:pPr>
              <w:spacing w:line="560" w:lineRule="exact"/>
              <w:ind w:firstLine="440"/>
              <w:jc w:val="center"/>
              <w:rPr>
                <w:color w:val="000000"/>
                <w:sz w:val="22"/>
              </w:rPr>
            </w:pPr>
            <w:r>
              <w:rPr>
                <w:color w:val="000000"/>
                <w:sz w:val="22"/>
              </w:rPr>
              <w:t>58000-66999</w:t>
            </w:r>
          </w:p>
        </w:tc>
        <w:tc>
          <w:tcPr>
            <w:tcW w:w="2841" w:type="dxa"/>
            <w:vAlign w:val="center"/>
          </w:tcPr>
          <w:p>
            <w:pPr>
              <w:spacing w:line="560" w:lineRule="exact"/>
              <w:ind w:firstLine="440"/>
              <w:jc w:val="center"/>
              <w:rPr>
                <w:rFonts w:ascii="宋体" w:hAnsi="宋体" w:cs="宋体"/>
                <w:color w:val="000000"/>
                <w:sz w:val="22"/>
              </w:rPr>
            </w:pPr>
            <w:r>
              <w:rPr>
                <w:rFonts w:hint="eastAsia"/>
                <w:color w:val="000000"/>
                <w:sz w:val="22"/>
              </w:rPr>
              <w:t>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bottom"/>
          </w:tcPr>
          <w:p>
            <w:pPr>
              <w:spacing w:line="560" w:lineRule="exact"/>
              <w:ind w:firstLine="440"/>
              <w:jc w:val="center"/>
              <w:rPr>
                <w:color w:val="000000"/>
                <w:sz w:val="22"/>
              </w:rPr>
            </w:pPr>
            <w:r>
              <w:rPr>
                <w:color w:val="000000"/>
                <w:sz w:val="22"/>
              </w:rPr>
              <w:t>8</w:t>
            </w:r>
          </w:p>
        </w:tc>
        <w:tc>
          <w:tcPr>
            <w:tcW w:w="2841" w:type="dxa"/>
            <w:vAlign w:val="bottom"/>
          </w:tcPr>
          <w:p>
            <w:pPr>
              <w:spacing w:line="560" w:lineRule="exact"/>
              <w:ind w:firstLine="440"/>
              <w:jc w:val="center"/>
              <w:rPr>
                <w:color w:val="000000"/>
                <w:sz w:val="22"/>
              </w:rPr>
            </w:pPr>
            <w:r>
              <w:rPr>
                <w:color w:val="000000"/>
                <w:sz w:val="22"/>
              </w:rPr>
              <w:t>67000-75999</w:t>
            </w:r>
          </w:p>
        </w:tc>
        <w:tc>
          <w:tcPr>
            <w:tcW w:w="2841" w:type="dxa"/>
            <w:vAlign w:val="center"/>
          </w:tcPr>
          <w:p>
            <w:pPr>
              <w:spacing w:line="560" w:lineRule="exact"/>
              <w:ind w:firstLine="440"/>
              <w:jc w:val="center"/>
              <w:rPr>
                <w:rFonts w:ascii="宋体" w:hAnsi="宋体" w:cs="宋体"/>
                <w:color w:val="000000"/>
                <w:sz w:val="22"/>
              </w:rPr>
            </w:pPr>
            <w:r>
              <w:rPr>
                <w:rFonts w:hint="eastAsia"/>
                <w:color w:val="000000"/>
                <w:sz w:val="22"/>
              </w:rPr>
              <w:t>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bottom"/>
          </w:tcPr>
          <w:p>
            <w:pPr>
              <w:spacing w:line="560" w:lineRule="exact"/>
              <w:ind w:firstLine="440"/>
              <w:jc w:val="center"/>
              <w:rPr>
                <w:color w:val="000000"/>
                <w:sz w:val="22"/>
              </w:rPr>
            </w:pPr>
            <w:r>
              <w:rPr>
                <w:color w:val="000000"/>
                <w:sz w:val="22"/>
              </w:rPr>
              <w:t>9</w:t>
            </w:r>
          </w:p>
        </w:tc>
        <w:tc>
          <w:tcPr>
            <w:tcW w:w="2841" w:type="dxa"/>
            <w:vAlign w:val="bottom"/>
          </w:tcPr>
          <w:p>
            <w:pPr>
              <w:spacing w:line="560" w:lineRule="exact"/>
              <w:ind w:firstLine="440"/>
              <w:jc w:val="center"/>
              <w:rPr>
                <w:color w:val="000000"/>
                <w:sz w:val="22"/>
              </w:rPr>
            </w:pPr>
            <w:r>
              <w:rPr>
                <w:color w:val="000000"/>
                <w:sz w:val="22"/>
              </w:rPr>
              <w:t>76000</w:t>
            </w:r>
            <w:r>
              <w:rPr>
                <w:rFonts w:hint="eastAsia"/>
                <w:color w:val="000000"/>
                <w:sz w:val="22"/>
              </w:rPr>
              <w:t>-80000</w:t>
            </w:r>
          </w:p>
        </w:tc>
        <w:tc>
          <w:tcPr>
            <w:tcW w:w="2841" w:type="dxa"/>
            <w:vAlign w:val="center"/>
          </w:tcPr>
          <w:p>
            <w:pPr>
              <w:spacing w:line="560" w:lineRule="exact"/>
              <w:ind w:firstLine="440"/>
              <w:jc w:val="center"/>
              <w:rPr>
                <w:rFonts w:ascii="宋体" w:hAnsi="宋体" w:cs="宋体"/>
                <w:color w:val="000000"/>
                <w:sz w:val="22"/>
              </w:rPr>
            </w:pPr>
            <w:r>
              <w:rPr>
                <w:rFonts w:hint="eastAsia"/>
                <w:color w:val="000000"/>
                <w:sz w:val="22"/>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bottom"/>
          </w:tcPr>
          <w:p>
            <w:pPr>
              <w:spacing w:line="560" w:lineRule="exact"/>
              <w:ind w:firstLine="440"/>
              <w:jc w:val="center"/>
              <w:rPr>
                <w:color w:val="000000"/>
                <w:sz w:val="22"/>
              </w:rPr>
            </w:pPr>
            <w:r>
              <w:rPr>
                <w:rFonts w:hint="eastAsia"/>
                <w:color w:val="000000"/>
                <w:sz w:val="22"/>
              </w:rPr>
              <w:t>10</w:t>
            </w:r>
          </w:p>
        </w:tc>
        <w:tc>
          <w:tcPr>
            <w:tcW w:w="2841" w:type="dxa"/>
            <w:vAlign w:val="bottom"/>
          </w:tcPr>
          <w:p>
            <w:pPr>
              <w:spacing w:line="560" w:lineRule="exact"/>
              <w:ind w:firstLine="440"/>
              <w:jc w:val="center"/>
              <w:rPr>
                <w:color w:val="000000"/>
                <w:sz w:val="22"/>
              </w:rPr>
            </w:pPr>
            <w:r>
              <w:rPr>
                <w:rFonts w:hint="eastAsia"/>
                <w:color w:val="000000"/>
                <w:sz w:val="22"/>
              </w:rPr>
              <w:t>80001-120000</w:t>
            </w:r>
          </w:p>
        </w:tc>
        <w:tc>
          <w:tcPr>
            <w:tcW w:w="2841" w:type="dxa"/>
            <w:vAlign w:val="center"/>
          </w:tcPr>
          <w:p>
            <w:pPr>
              <w:spacing w:line="560" w:lineRule="exact"/>
              <w:ind w:firstLine="440"/>
              <w:jc w:val="center"/>
              <w:rPr>
                <w:rFonts w:ascii="宋体" w:hAnsi="宋体" w:cs="宋体"/>
                <w:color w:val="000000"/>
                <w:sz w:val="22"/>
              </w:rPr>
            </w:pPr>
            <w:r>
              <w:rPr>
                <w:rFonts w:hint="eastAsia"/>
                <w:color w:val="000000"/>
                <w:sz w:val="22"/>
              </w:rPr>
              <w:t>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bottom"/>
          </w:tcPr>
          <w:p>
            <w:pPr>
              <w:spacing w:line="560" w:lineRule="exact"/>
              <w:ind w:firstLine="440"/>
              <w:jc w:val="center"/>
              <w:rPr>
                <w:color w:val="000000"/>
                <w:sz w:val="22"/>
              </w:rPr>
            </w:pPr>
            <w:r>
              <w:rPr>
                <w:rFonts w:hint="eastAsia"/>
                <w:color w:val="000000"/>
                <w:sz w:val="22"/>
              </w:rPr>
              <w:t>11</w:t>
            </w:r>
          </w:p>
        </w:tc>
        <w:tc>
          <w:tcPr>
            <w:tcW w:w="2841" w:type="dxa"/>
            <w:vAlign w:val="bottom"/>
          </w:tcPr>
          <w:p>
            <w:pPr>
              <w:spacing w:line="560" w:lineRule="exact"/>
              <w:ind w:firstLine="440"/>
              <w:jc w:val="center"/>
              <w:rPr>
                <w:color w:val="000000"/>
                <w:sz w:val="22"/>
              </w:rPr>
            </w:pPr>
            <w:r>
              <w:rPr>
                <w:rFonts w:hint="eastAsia"/>
                <w:color w:val="000000"/>
                <w:sz w:val="22"/>
              </w:rPr>
              <w:t>120000吨以上</w:t>
            </w:r>
          </w:p>
        </w:tc>
        <w:tc>
          <w:tcPr>
            <w:tcW w:w="2841" w:type="dxa"/>
            <w:vAlign w:val="center"/>
          </w:tcPr>
          <w:p>
            <w:pPr>
              <w:spacing w:line="560" w:lineRule="exact"/>
              <w:ind w:firstLine="440"/>
              <w:jc w:val="center"/>
              <w:rPr>
                <w:rFonts w:ascii="宋体" w:hAnsi="宋体" w:cs="宋体"/>
                <w:color w:val="000000"/>
                <w:sz w:val="22"/>
              </w:rPr>
            </w:pPr>
            <w:r>
              <w:rPr>
                <w:rFonts w:hint="eastAsia"/>
                <w:color w:val="000000"/>
                <w:sz w:val="22"/>
              </w:rPr>
              <w:t>5.54</w:t>
            </w:r>
          </w:p>
        </w:tc>
      </w:tr>
    </w:tbl>
    <w:p>
      <w:pPr>
        <w:spacing w:line="560" w:lineRule="exact"/>
        <w:ind w:firstLine="643" w:firstLineChars="200"/>
        <w:rPr>
          <w:rFonts w:ascii="仿宋_GB2312" w:eastAsia="仿宋_GB2312"/>
          <w:b/>
          <w:color w:val="000000"/>
          <w:sz w:val="32"/>
          <w:szCs w:val="32"/>
        </w:rPr>
      </w:pPr>
      <w:r>
        <w:rPr>
          <w:rFonts w:hint="eastAsia" w:ascii="仿宋_GB2312" w:eastAsia="仿宋_GB2312"/>
          <w:b/>
          <w:color w:val="000000"/>
          <w:sz w:val="32"/>
          <w:szCs w:val="32"/>
        </w:rPr>
        <w:t>4.预算金额测算</w:t>
      </w:r>
    </w:p>
    <w:p>
      <w:pPr>
        <w:spacing w:line="560" w:lineRule="exact"/>
        <w:ind w:left="25" w:leftChars="12" w:firstLine="640" w:firstLineChars="200"/>
        <w:jc w:val="left"/>
        <w:rPr>
          <w:rFonts w:ascii="仿宋_GB2312" w:eastAsia="仿宋_GB2312"/>
          <w:sz w:val="32"/>
          <w:szCs w:val="32"/>
        </w:rPr>
      </w:pPr>
      <w:r>
        <w:rPr>
          <w:rFonts w:hint="eastAsia" w:ascii="仿宋_GB2312" w:eastAsia="仿宋_GB2312"/>
          <w:sz w:val="32"/>
          <w:szCs w:val="32"/>
        </w:rPr>
        <w:t>根据2017年船舶引航船舶进出港船舶艘次测算，见表2，对</w:t>
      </w:r>
      <w:r>
        <w:rPr>
          <w:rFonts w:hint="eastAsia" w:ascii="仿宋_GB2312" w:eastAsia="仿宋_GB2312"/>
          <w:sz w:val="32"/>
          <w:szCs w:val="32"/>
          <w:lang w:val="zh-CN"/>
        </w:rPr>
        <w:t>进入珠三角水域排放控制区使用硫含</w:t>
      </w:r>
      <w:r>
        <w:rPr>
          <w:rFonts w:hint="eastAsia" w:ascii="仿宋_GB2312" w:eastAsia="仿宋_GB2312"/>
          <w:sz w:val="32"/>
          <w:szCs w:val="32"/>
        </w:rPr>
        <w:t>量≤0.</w:t>
      </w:r>
      <w:r>
        <w:rPr>
          <w:rFonts w:ascii="仿宋_GB2312" w:eastAsia="仿宋_GB2312"/>
          <w:sz w:val="32"/>
          <w:szCs w:val="32"/>
        </w:rPr>
        <w:t xml:space="preserve">1% </w:t>
      </w:r>
      <w:r>
        <w:rPr>
          <w:rFonts w:hint="eastAsia" w:ascii="仿宋_GB2312" w:eastAsia="仿宋_GB2312"/>
          <w:sz w:val="32"/>
          <w:szCs w:val="32"/>
        </w:rPr>
        <w:t>m/m的</w:t>
      </w:r>
      <w:r>
        <w:rPr>
          <w:rFonts w:hint="eastAsia" w:ascii="仿宋_GB2312" w:eastAsia="仿宋_GB2312"/>
          <w:sz w:val="32"/>
          <w:szCs w:val="32"/>
          <w:lang w:val="zh-CN"/>
        </w:rPr>
        <w:t>低硫</w:t>
      </w:r>
      <w:r>
        <w:rPr>
          <w:rFonts w:hint="eastAsia" w:ascii="仿宋_GB2312" w:eastAsia="仿宋_GB2312"/>
          <w:sz w:val="32"/>
          <w:szCs w:val="32"/>
        </w:rPr>
        <w:t>燃油的引航船舶进行补贴（少量不需引航船舶未做测算），2018年8月1日起至2018年12月31日，船舶艘次预计10400艘次，若全部船舶进入珠三角排放控制区转用低硫油需补贴预计1.02亿元。但由于施行的是自愿转用低硫油政策，参加船舶应较少，转油船舶补贴金额预计不会超过0.5亿元。</w:t>
      </w:r>
    </w:p>
    <w:p>
      <w:pPr>
        <w:spacing w:line="560" w:lineRule="exact"/>
        <w:ind w:firstLine="1440" w:firstLineChars="600"/>
        <w:rPr>
          <w:color w:val="000000"/>
          <w:kern w:val="0"/>
          <w:sz w:val="24"/>
        </w:rPr>
      </w:pPr>
      <w:r>
        <w:rPr>
          <w:rFonts w:hint="eastAsia"/>
          <w:color w:val="000000"/>
          <w:kern w:val="0"/>
          <w:sz w:val="24"/>
        </w:rPr>
        <w:t>表2  2017年度引航船舶进出港船舶艘次</w:t>
      </w:r>
    </w:p>
    <w:tbl>
      <w:tblPr>
        <w:tblStyle w:val="6"/>
        <w:tblW w:w="8560" w:type="dxa"/>
        <w:tblInd w:w="93" w:type="dxa"/>
        <w:tblLayout w:type="fixed"/>
        <w:tblCellMar>
          <w:top w:w="0" w:type="dxa"/>
          <w:left w:w="108" w:type="dxa"/>
          <w:bottom w:w="0" w:type="dxa"/>
          <w:right w:w="108" w:type="dxa"/>
        </w:tblCellMar>
      </w:tblPr>
      <w:tblGrid>
        <w:gridCol w:w="1080"/>
        <w:gridCol w:w="2904"/>
        <w:gridCol w:w="2268"/>
        <w:gridCol w:w="2308"/>
      </w:tblGrid>
      <w:tr>
        <w:tblPrEx>
          <w:tblLayout w:type="fixed"/>
          <w:tblCellMar>
            <w:top w:w="0" w:type="dxa"/>
            <w:left w:w="108" w:type="dxa"/>
            <w:bottom w:w="0" w:type="dxa"/>
            <w:right w:w="108" w:type="dxa"/>
          </w:tblCellMar>
        </w:tblPrEx>
        <w:trPr>
          <w:trHeight w:val="315" w:hRule="atLeast"/>
        </w:trPr>
        <w:tc>
          <w:tcPr>
            <w:tcW w:w="1080" w:type="dxa"/>
            <w:tcBorders>
              <w:top w:val="single" w:color="auto" w:sz="8" w:space="0"/>
              <w:left w:val="single" w:color="auto" w:sz="8" w:space="0"/>
              <w:bottom w:val="single" w:color="auto" w:sz="8" w:space="0"/>
              <w:right w:val="single" w:color="auto" w:sz="8" w:space="0"/>
            </w:tcBorders>
            <w:shd w:val="clear" w:color="auto" w:fill="auto"/>
            <w:vAlign w:val="top"/>
          </w:tcPr>
          <w:p>
            <w:pPr>
              <w:widowControl/>
              <w:spacing w:line="560" w:lineRule="exact"/>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2904" w:type="dxa"/>
            <w:tcBorders>
              <w:top w:val="single" w:color="auto" w:sz="8" w:space="0"/>
              <w:left w:val="nil"/>
              <w:bottom w:val="nil"/>
              <w:right w:val="single" w:color="auto" w:sz="8" w:space="0"/>
            </w:tcBorders>
            <w:shd w:val="clear" w:color="auto" w:fill="auto"/>
            <w:vAlign w:val="top"/>
          </w:tcPr>
          <w:p>
            <w:pPr>
              <w:widowControl/>
              <w:spacing w:line="560" w:lineRule="exact"/>
              <w:jc w:val="center"/>
              <w:rPr>
                <w:rFonts w:ascii="宋体" w:hAnsi="宋体" w:cs="宋体"/>
                <w:color w:val="000000"/>
                <w:kern w:val="0"/>
                <w:sz w:val="22"/>
                <w:szCs w:val="22"/>
              </w:rPr>
            </w:pPr>
            <w:r>
              <w:rPr>
                <w:rFonts w:hint="eastAsia" w:ascii="宋体" w:hAnsi="宋体" w:cs="宋体"/>
                <w:color w:val="000000"/>
                <w:kern w:val="0"/>
                <w:sz w:val="22"/>
                <w:szCs w:val="22"/>
              </w:rPr>
              <w:t>平均净吨（</w:t>
            </w:r>
            <w:r>
              <w:rPr>
                <w:rFonts w:ascii="Calibri" w:hAnsi="Calibri" w:cs="Calibri"/>
                <w:color w:val="000000"/>
                <w:kern w:val="0"/>
                <w:szCs w:val="21"/>
              </w:rPr>
              <w:t>NT</w:t>
            </w:r>
            <w:r>
              <w:rPr>
                <w:rFonts w:hint="eastAsia" w:ascii="宋体" w:hAnsi="宋体" w:cs="宋体"/>
                <w:color w:val="000000"/>
                <w:kern w:val="0"/>
                <w:sz w:val="22"/>
                <w:szCs w:val="22"/>
              </w:rPr>
              <w:t>）</w:t>
            </w:r>
          </w:p>
        </w:tc>
        <w:tc>
          <w:tcPr>
            <w:tcW w:w="2268" w:type="dxa"/>
            <w:tcBorders>
              <w:top w:val="single" w:color="auto" w:sz="8" w:space="0"/>
              <w:left w:val="nil"/>
              <w:bottom w:val="nil"/>
              <w:right w:val="nil"/>
            </w:tcBorders>
            <w:shd w:val="clear" w:color="auto" w:fill="auto"/>
            <w:vAlign w:val="top"/>
          </w:tcPr>
          <w:p>
            <w:pPr>
              <w:widowControl/>
              <w:spacing w:line="560" w:lineRule="exact"/>
              <w:jc w:val="center"/>
              <w:rPr>
                <w:rFonts w:ascii="宋体" w:hAnsi="宋体" w:cs="宋体"/>
                <w:color w:val="000000"/>
                <w:kern w:val="0"/>
                <w:sz w:val="22"/>
                <w:szCs w:val="22"/>
              </w:rPr>
            </w:pPr>
            <w:r>
              <w:rPr>
                <w:rFonts w:hint="eastAsia" w:ascii="宋体" w:hAnsi="宋体" w:cs="宋体"/>
                <w:color w:val="000000"/>
                <w:kern w:val="0"/>
                <w:sz w:val="22"/>
                <w:szCs w:val="22"/>
              </w:rPr>
              <w:t>2017年引航艘次</w:t>
            </w:r>
          </w:p>
        </w:tc>
        <w:tc>
          <w:tcPr>
            <w:tcW w:w="2308" w:type="dxa"/>
            <w:tcBorders>
              <w:top w:val="single" w:color="auto" w:sz="4" w:space="0"/>
              <w:left w:val="single" w:color="auto" w:sz="4" w:space="0"/>
              <w:bottom w:val="nil"/>
              <w:right w:val="single" w:color="auto" w:sz="4" w:space="0"/>
            </w:tcBorders>
            <w:shd w:val="clear" w:color="auto" w:fill="auto"/>
            <w:vAlign w:val="top"/>
          </w:tcPr>
          <w:p>
            <w:pPr>
              <w:widowControl/>
              <w:spacing w:line="560" w:lineRule="exact"/>
              <w:jc w:val="center"/>
              <w:rPr>
                <w:rFonts w:ascii="宋体" w:hAnsi="宋体" w:cs="宋体"/>
                <w:color w:val="000000"/>
                <w:kern w:val="0"/>
                <w:sz w:val="22"/>
                <w:szCs w:val="22"/>
              </w:rPr>
            </w:pPr>
            <w:r>
              <w:rPr>
                <w:rFonts w:hint="eastAsia" w:ascii="宋体" w:hAnsi="宋体" w:cs="宋体"/>
                <w:color w:val="000000"/>
                <w:kern w:val="0"/>
                <w:sz w:val="22"/>
                <w:szCs w:val="22"/>
              </w:rPr>
              <w:t>所占比例</w:t>
            </w:r>
          </w:p>
        </w:tc>
      </w:tr>
      <w:tr>
        <w:tblPrEx>
          <w:tblLayout w:type="fixed"/>
          <w:tblCellMar>
            <w:top w:w="0" w:type="dxa"/>
            <w:left w:w="108" w:type="dxa"/>
            <w:bottom w:w="0" w:type="dxa"/>
            <w:right w:w="108" w:type="dxa"/>
          </w:tblCellMar>
        </w:tblPrEx>
        <w:trPr>
          <w:trHeight w:val="315" w:hRule="atLeast"/>
        </w:trPr>
        <w:tc>
          <w:tcPr>
            <w:tcW w:w="1080" w:type="dxa"/>
            <w:tcBorders>
              <w:top w:val="nil"/>
              <w:left w:val="single" w:color="auto" w:sz="8" w:space="0"/>
              <w:bottom w:val="single" w:color="auto" w:sz="8" w:space="0"/>
              <w:right w:val="nil"/>
            </w:tcBorders>
            <w:shd w:val="clear" w:color="auto" w:fill="auto"/>
            <w:vAlign w:val="bottom"/>
          </w:tcPr>
          <w:p>
            <w:pPr>
              <w:widowControl/>
              <w:spacing w:line="560" w:lineRule="exact"/>
              <w:jc w:val="center"/>
              <w:rPr>
                <w:rFonts w:ascii="Calibri" w:hAnsi="Calibri" w:cs="Calibri"/>
                <w:color w:val="000000"/>
                <w:kern w:val="0"/>
                <w:sz w:val="22"/>
                <w:szCs w:val="22"/>
              </w:rPr>
            </w:pPr>
            <w:r>
              <w:rPr>
                <w:rFonts w:ascii="Calibri" w:hAnsi="Calibri" w:cs="Calibri"/>
                <w:color w:val="000000"/>
                <w:kern w:val="0"/>
                <w:sz w:val="22"/>
                <w:szCs w:val="22"/>
              </w:rPr>
              <w:t>1</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560" w:lineRule="exact"/>
              <w:jc w:val="center"/>
              <w:rPr>
                <w:rFonts w:ascii="宋体" w:hAnsi="宋体" w:cs="宋体"/>
                <w:color w:val="000000"/>
                <w:kern w:val="0"/>
                <w:sz w:val="22"/>
                <w:szCs w:val="22"/>
              </w:rPr>
            </w:pPr>
            <w:r>
              <w:rPr>
                <w:rFonts w:hint="eastAsia" w:ascii="宋体" w:hAnsi="宋体" w:cs="宋体"/>
                <w:color w:val="000000"/>
                <w:kern w:val="0"/>
                <w:sz w:val="22"/>
                <w:szCs w:val="22"/>
              </w:rPr>
              <w:t>≤</w:t>
            </w:r>
            <w:r>
              <w:rPr>
                <w:rFonts w:ascii="Calibri" w:hAnsi="Calibri" w:cs="Calibri"/>
                <w:color w:val="000000"/>
                <w:kern w:val="0"/>
                <w:sz w:val="22"/>
                <w:szCs w:val="22"/>
              </w:rPr>
              <w:t>9999</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 w:val="22"/>
                <w:szCs w:val="22"/>
              </w:rPr>
            </w:pPr>
            <w:r>
              <w:rPr>
                <w:rFonts w:hint="eastAsia" w:ascii="宋体" w:hAnsi="宋体" w:cs="宋体"/>
                <w:color w:val="000000"/>
                <w:kern w:val="0"/>
                <w:sz w:val="22"/>
                <w:szCs w:val="22"/>
              </w:rPr>
              <w:t>6677</w:t>
            </w:r>
          </w:p>
        </w:tc>
        <w:tc>
          <w:tcPr>
            <w:tcW w:w="2308"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 w:val="22"/>
                <w:szCs w:val="22"/>
              </w:rPr>
            </w:pPr>
            <w:r>
              <w:rPr>
                <w:rFonts w:hint="eastAsia" w:ascii="宋体" w:hAnsi="宋体" w:cs="宋体"/>
                <w:color w:val="000000"/>
                <w:kern w:val="0"/>
                <w:sz w:val="22"/>
                <w:szCs w:val="22"/>
              </w:rPr>
              <w:t>26.61%</w:t>
            </w:r>
          </w:p>
        </w:tc>
      </w:tr>
      <w:tr>
        <w:tblPrEx>
          <w:tblLayout w:type="fixed"/>
          <w:tblCellMar>
            <w:top w:w="0" w:type="dxa"/>
            <w:left w:w="108" w:type="dxa"/>
            <w:bottom w:w="0" w:type="dxa"/>
            <w:right w:w="108" w:type="dxa"/>
          </w:tblCellMar>
        </w:tblPrEx>
        <w:trPr>
          <w:trHeight w:val="315" w:hRule="atLeast"/>
        </w:trPr>
        <w:tc>
          <w:tcPr>
            <w:tcW w:w="1080" w:type="dxa"/>
            <w:tcBorders>
              <w:top w:val="nil"/>
              <w:left w:val="single" w:color="auto" w:sz="8" w:space="0"/>
              <w:bottom w:val="single" w:color="auto" w:sz="8" w:space="0"/>
              <w:right w:val="nil"/>
            </w:tcBorders>
            <w:shd w:val="clear" w:color="auto" w:fill="auto"/>
            <w:vAlign w:val="bottom"/>
          </w:tcPr>
          <w:p>
            <w:pPr>
              <w:widowControl/>
              <w:spacing w:line="560" w:lineRule="exact"/>
              <w:jc w:val="center"/>
              <w:rPr>
                <w:rFonts w:ascii="Calibri" w:hAnsi="Calibri" w:cs="Calibri"/>
                <w:color w:val="000000"/>
                <w:kern w:val="0"/>
                <w:sz w:val="22"/>
                <w:szCs w:val="22"/>
              </w:rPr>
            </w:pPr>
            <w:r>
              <w:rPr>
                <w:rFonts w:ascii="Calibri" w:hAnsi="Calibri" w:cs="Calibri"/>
                <w:color w:val="000000"/>
                <w:kern w:val="0"/>
                <w:sz w:val="22"/>
                <w:szCs w:val="22"/>
              </w:rPr>
              <w:t>2</w:t>
            </w:r>
          </w:p>
        </w:tc>
        <w:tc>
          <w:tcPr>
            <w:tcW w:w="2904" w:type="dxa"/>
            <w:tcBorders>
              <w:top w:val="nil"/>
              <w:left w:val="single" w:color="auto" w:sz="4" w:space="0"/>
              <w:bottom w:val="single" w:color="auto" w:sz="4" w:space="0"/>
              <w:right w:val="single" w:color="auto" w:sz="4" w:space="0"/>
            </w:tcBorders>
            <w:shd w:val="clear" w:color="auto" w:fill="auto"/>
            <w:vAlign w:val="bottom"/>
          </w:tcPr>
          <w:p>
            <w:pPr>
              <w:widowControl/>
              <w:spacing w:line="560" w:lineRule="exact"/>
              <w:jc w:val="center"/>
              <w:rPr>
                <w:rFonts w:ascii="Calibri" w:hAnsi="Calibri" w:cs="Calibri"/>
                <w:color w:val="000000"/>
                <w:kern w:val="0"/>
                <w:sz w:val="22"/>
                <w:szCs w:val="22"/>
              </w:rPr>
            </w:pPr>
            <w:r>
              <w:rPr>
                <w:rFonts w:ascii="Calibri" w:hAnsi="Calibri" w:cs="Calibri"/>
                <w:color w:val="000000"/>
                <w:kern w:val="0"/>
                <w:sz w:val="22"/>
                <w:szCs w:val="22"/>
              </w:rPr>
              <w:t>10000-19999</w:t>
            </w:r>
          </w:p>
        </w:tc>
        <w:tc>
          <w:tcPr>
            <w:tcW w:w="2268"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 w:val="22"/>
                <w:szCs w:val="22"/>
              </w:rPr>
            </w:pPr>
            <w:r>
              <w:rPr>
                <w:rFonts w:hint="eastAsia" w:ascii="宋体" w:hAnsi="宋体" w:cs="宋体"/>
                <w:color w:val="000000"/>
                <w:kern w:val="0"/>
                <w:sz w:val="22"/>
                <w:szCs w:val="22"/>
              </w:rPr>
              <w:t>3466</w:t>
            </w:r>
          </w:p>
        </w:tc>
        <w:tc>
          <w:tcPr>
            <w:tcW w:w="2308"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 w:val="22"/>
                <w:szCs w:val="22"/>
              </w:rPr>
            </w:pPr>
            <w:r>
              <w:rPr>
                <w:rFonts w:hint="eastAsia" w:ascii="宋体" w:hAnsi="宋体" w:cs="宋体"/>
                <w:color w:val="000000"/>
                <w:kern w:val="0"/>
                <w:sz w:val="22"/>
                <w:szCs w:val="22"/>
              </w:rPr>
              <w:t>13.81%</w:t>
            </w:r>
          </w:p>
        </w:tc>
      </w:tr>
      <w:tr>
        <w:tblPrEx>
          <w:tblLayout w:type="fixed"/>
          <w:tblCellMar>
            <w:top w:w="0" w:type="dxa"/>
            <w:left w:w="108" w:type="dxa"/>
            <w:bottom w:w="0" w:type="dxa"/>
            <w:right w:w="108" w:type="dxa"/>
          </w:tblCellMar>
        </w:tblPrEx>
        <w:trPr>
          <w:trHeight w:val="315" w:hRule="atLeast"/>
        </w:trPr>
        <w:tc>
          <w:tcPr>
            <w:tcW w:w="1080" w:type="dxa"/>
            <w:tcBorders>
              <w:top w:val="nil"/>
              <w:left w:val="single" w:color="auto" w:sz="8" w:space="0"/>
              <w:bottom w:val="single" w:color="auto" w:sz="8" w:space="0"/>
              <w:right w:val="nil"/>
            </w:tcBorders>
            <w:shd w:val="clear" w:color="auto" w:fill="auto"/>
            <w:vAlign w:val="bottom"/>
          </w:tcPr>
          <w:p>
            <w:pPr>
              <w:widowControl/>
              <w:spacing w:line="560" w:lineRule="exact"/>
              <w:jc w:val="center"/>
              <w:rPr>
                <w:rFonts w:ascii="Calibri" w:hAnsi="Calibri" w:cs="Calibri"/>
                <w:color w:val="000000"/>
                <w:kern w:val="0"/>
                <w:sz w:val="22"/>
                <w:szCs w:val="22"/>
              </w:rPr>
            </w:pPr>
            <w:r>
              <w:rPr>
                <w:rFonts w:ascii="Calibri" w:hAnsi="Calibri" w:cs="Calibri"/>
                <w:color w:val="000000"/>
                <w:kern w:val="0"/>
                <w:sz w:val="22"/>
                <w:szCs w:val="22"/>
              </w:rPr>
              <w:t>3</w:t>
            </w:r>
          </w:p>
        </w:tc>
        <w:tc>
          <w:tcPr>
            <w:tcW w:w="2904" w:type="dxa"/>
            <w:tcBorders>
              <w:top w:val="nil"/>
              <w:left w:val="single" w:color="auto" w:sz="4" w:space="0"/>
              <w:bottom w:val="single" w:color="auto" w:sz="4" w:space="0"/>
              <w:right w:val="single" w:color="auto" w:sz="4" w:space="0"/>
            </w:tcBorders>
            <w:shd w:val="clear" w:color="auto" w:fill="auto"/>
            <w:vAlign w:val="bottom"/>
          </w:tcPr>
          <w:p>
            <w:pPr>
              <w:widowControl/>
              <w:spacing w:line="560" w:lineRule="exact"/>
              <w:jc w:val="center"/>
              <w:rPr>
                <w:rFonts w:ascii="Calibri" w:hAnsi="Calibri" w:cs="Calibri"/>
                <w:color w:val="000000"/>
                <w:kern w:val="0"/>
                <w:sz w:val="22"/>
                <w:szCs w:val="22"/>
              </w:rPr>
            </w:pPr>
            <w:r>
              <w:rPr>
                <w:rFonts w:ascii="Calibri" w:hAnsi="Calibri" w:cs="Calibri"/>
                <w:color w:val="000000"/>
                <w:kern w:val="0"/>
                <w:sz w:val="22"/>
                <w:szCs w:val="22"/>
              </w:rPr>
              <w:t>20000-29999</w:t>
            </w:r>
          </w:p>
        </w:tc>
        <w:tc>
          <w:tcPr>
            <w:tcW w:w="2268"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 w:val="22"/>
                <w:szCs w:val="22"/>
              </w:rPr>
            </w:pPr>
            <w:r>
              <w:rPr>
                <w:rFonts w:hint="eastAsia" w:ascii="宋体" w:hAnsi="宋体" w:cs="宋体"/>
                <w:color w:val="000000"/>
                <w:kern w:val="0"/>
                <w:sz w:val="22"/>
                <w:szCs w:val="22"/>
              </w:rPr>
              <w:t>3789</w:t>
            </w:r>
          </w:p>
        </w:tc>
        <w:tc>
          <w:tcPr>
            <w:tcW w:w="2308"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 w:val="22"/>
                <w:szCs w:val="22"/>
              </w:rPr>
            </w:pPr>
            <w:r>
              <w:rPr>
                <w:rFonts w:hint="eastAsia" w:ascii="宋体" w:hAnsi="宋体" w:cs="宋体"/>
                <w:color w:val="000000"/>
                <w:kern w:val="0"/>
                <w:sz w:val="22"/>
                <w:szCs w:val="22"/>
              </w:rPr>
              <w:t>15.10%</w:t>
            </w:r>
          </w:p>
        </w:tc>
      </w:tr>
      <w:tr>
        <w:tblPrEx>
          <w:tblLayout w:type="fixed"/>
          <w:tblCellMar>
            <w:top w:w="0" w:type="dxa"/>
            <w:left w:w="108" w:type="dxa"/>
            <w:bottom w:w="0" w:type="dxa"/>
            <w:right w:w="108" w:type="dxa"/>
          </w:tblCellMar>
        </w:tblPrEx>
        <w:trPr>
          <w:trHeight w:val="315" w:hRule="atLeast"/>
        </w:trPr>
        <w:tc>
          <w:tcPr>
            <w:tcW w:w="1080" w:type="dxa"/>
            <w:tcBorders>
              <w:top w:val="nil"/>
              <w:left w:val="single" w:color="auto" w:sz="8" w:space="0"/>
              <w:bottom w:val="single" w:color="auto" w:sz="8" w:space="0"/>
              <w:right w:val="nil"/>
            </w:tcBorders>
            <w:shd w:val="clear" w:color="auto" w:fill="auto"/>
            <w:vAlign w:val="bottom"/>
          </w:tcPr>
          <w:p>
            <w:pPr>
              <w:widowControl/>
              <w:spacing w:line="560" w:lineRule="exact"/>
              <w:jc w:val="center"/>
              <w:rPr>
                <w:rFonts w:ascii="Calibri" w:hAnsi="Calibri" w:cs="Calibri"/>
                <w:color w:val="000000"/>
                <w:kern w:val="0"/>
                <w:sz w:val="22"/>
                <w:szCs w:val="22"/>
              </w:rPr>
            </w:pPr>
            <w:r>
              <w:rPr>
                <w:rFonts w:ascii="Calibri" w:hAnsi="Calibri" w:cs="Calibri"/>
                <w:color w:val="000000"/>
                <w:kern w:val="0"/>
                <w:sz w:val="22"/>
                <w:szCs w:val="22"/>
              </w:rPr>
              <w:t>4</w:t>
            </w:r>
          </w:p>
        </w:tc>
        <w:tc>
          <w:tcPr>
            <w:tcW w:w="2904" w:type="dxa"/>
            <w:tcBorders>
              <w:top w:val="nil"/>
              <w:left w:val="single" w:color="auto" w:sz="4" w:space="0"/>
              <w:bottom w:val="single" w:color="auto" w:sz="4" w:space="0"/>
              <w:right w:val="single" w:color="auto" w:sz="4" w:space="0"/>
            </w:tcBorders>
            <w:shd w:val="clear" w:color="auto" w:fill="auto"/>
            <w:vAlign w:val="bottom"/>
          </w:tcPr>
          <w:p>
            <w:pPr>
              <w:widowControl/>
              <w:spacing w:line="560" w:lineRule="exact"/>
              <w:jc w:val="center"/>
              <w:rPr>
                <w:rFonts w:ascii="Calibri" w:hAnsi="Calibri" w:cs="Calibri"/>
                <w:color w:val="000000"/>
                <w:kern w:val="0"/>
                <w:sz w:val="22"/>
                <w:szCs w:val="22"/>
              </w:rPr>
            </w:pPr>
            <w:r>
              <w:rPr>
                <w:rFonts w:ascii="Calibri" w:hAnsi="Calibri" w:cs="Calibri"/>
                <w:color w:val="000000"/>
                <w:kern w:val="0"/>
                <w:sz w:val="22"/>
                <w:szCs w:val="22"/>
              </w:rPr>
              <w:t>30000-39999</w:t>
            </w:r>
          </w:p>
        </w:tc>
        <w:tc>
          <w:tcPr>
            <w:tcW w:w="2268"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 w:val="22"/>
                <w:szCs w:val="22"/>
              </w:rPr>
            </w:pPr>
            <w:r>
              <w:rPr>
                <w:rFonts w:hint="eastAsia" w:ascii="宋体" w:hAnsi="宋体" w:cs="宋体"/>
                <w:color w:val="000000"/>
                <w:kern w:val="0"/>
                <w:sz w:val="22"/>
                <w:szCs w:val="22"/>
              </w:rPr>
              <w:t>2466</w:t>
            </w:r>
          </w:p>
        </w:tc>
        <w:tc>
          <w:tcPr>
            <w:tcW w:w="2308"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 w:val="22"/>
                <w:szCs w:val="22"/>
              </w:rPr>
            </w:pPr>
            <w:r>
              <w:rPr>
                <w:rFonts w:hint="eastAsia" w:ascii="宋体" w:hAnsi="宋体" w:cs="宋体"/>
                <w:color w:val="000000"/>
                <w:kern w:val="0"/>
                <w:sz w:val="22"/>
                <w:szCs w:val="22"/>
              </w:rPr>
              <w:t>9.83%</w:t>
            </w:r>
          </w:p>
        </w:tc>
      </w:tr>
      <w:tr>
        <w:tblPrEx>
          <w:tblLayout w:type="fixed"/>
          <w:tblCellMar>
            <w:top w:w="0" w:type="dxa"/>
            <w:left w:w="108" w:type="dxa"/>
            <w:bottom w:w="0" w:type="dxa"/>
            <w:right w:w="108" w:type="dxa"/>
          </w:tblCellMar>
        </w:tblPrEx>
        <w:trPr>
          <w:trHeight w:val="315" w:hRule="atLeast"/>
        </w:trPr>
        <w:tc>
          <w:tcPr>
            <w:tcW w:w="1080" w:type="dxa"/>
            <w:tcBorders>
              <w:top w:val="nil"/>
              <w:left w:val="single" w:color="auto" w:sz="8" w:space="0"/>
              <w:bottom w:val="single" w:color="auto" w:sz="8" w:space="0"/>
              <w:right w:val="nil"/>
            </w:tcBorders>
            <w:shd w:val="clear" w:color="auto" w:fill="auto"/>
            <w:vAlign w:val="bottom"/>
          </w:tcPr>
          <w:p>
            <w:pPr>
              <w:widowControl/>
              <w:spacing w:line="560" w:lineRule="exact"/>
              <w:jc w:val="center"/>
              <w:rPr>
                <w:rFonts w:ascii="Calibri" w:hAnsi="Calibri" w:cs="Calibri"/>
                <w:color w:val="000000"/>
                <w:kern w:val="0"/>
                <w:sz w:val="22"/>
                <w:szCs w:val="22"/>
              </w:rPr>
            </w:pPr>
            <w:r>
              <w:rPr>
                <w:rFonts w:ascii="Calibri" w:hAnsi="Calibri" w:cs="Calibri"/>
                <w:color w:val="000000"/>
                <w:kern w:val="0"/>
                <w:sz w:val="22"/>
                <w:szCs w:val="22"/>
              </w:rPr>
              <w:t>5</w:t>
            </w:r>
          </w:p>
        </w:tc>
        <w:tc>
          <w:tcPr>
            <w:tcW w:w="2904" w:type="dxa"/>
            <w:tcBorders>
              <w:top w:val="nil"/>
              <w:left w:val="single" w:color="auto" w:sz="4" w:space="0"/>
              <w:bottom w:val="single" w:color="auto" w:sz="4" w:space="0"/>
              <w:right w:val="single" w:color="auto" w:sz="4" w:space="0"/>
            </w:tcBorders>
            <w:shd w:val="clear" w:color="auto" w:fill="auto"/>
            <w:vAlign w:val="bottom"/>
          </w:tcPr>
          <w:p>
            <w:pPr>
              <w:widowControl/>
              <w:spacing w:line="560" w:lineRule="exact"/>
              <w:jc w:val="center"/>
              <w:rPr>
                <w:rFonts w:ascii="Calibri" w:hAnsi="Calibri" w:cs="Calibri"/>
                <w:color w:val="000000"/>
                <w:kern w:val="0"/>
                <w:sz w:val="22"/>
                <w:szCs w:val="22"/>
              </w:rPr>
            </w:pPr>
            <w:r>
              <w:rPr>
                <w:rFonts w:ascii="Calibri" w:hAnsi="Calibri" w:cs="Calibri"/>
                <w:color w:val="000000"/>
                <w:kern w:val="0"/>
                <w:sz w:val="22"/>
                <w:szCs w:val="22"/>
              </w:rPr>
              <w:t>40000-48999</w:t>
            </w:r>
          </w:p>
        </w:tc>
        <w:tc>
          <w:tcPr>
            <w:tcW w:w="2268"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 w:val="22"/>
                <w:szCs w:val="22"/>
              </w:rPr>
            </w:pPr>
            <w:r>
              <w:rPr>
                <w:rFonts w:hint="eastAsia" w:ascii="宋体" w:hAnsi="宋体" w:cs="宋体"/>
                <w:color w:val="000000"/>
                <w:kern w:val="0"/>
                <w:sz w:val="22"/>
                <w:szCs w:val="22"/>
              </w:rPr>
              <w:t>1018</w:t>
            </w:r>
          </w:p>
        </w:tc>
        <w:tc>
          <w:tcPr>
            <w:tcW w:w="2308"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 w:val="22"/>
                <w:szCs w:val="22"/>
              </w:rPr>
            </w:pPr>
            <w:r>
              <w:rPr>
                <w:rFonts w:hint="eastAsia" w:ascii="宋体" w:hAnsi="宋体" w:cs="宋体"/>
                <w:color w:val="000000"/>
                <w:kern w:val="0"/>
                <w:sz w:val="22"/>
                <w:szCs w:val="22"/>
              </w:rPr>
              <w:t>4.06%</w:t>
            </w:r>
          </w:p>
        </w:tc>
      </w:tr>
      <w:tr>
        <w:tblPrEx>
          <w:tblLayout w:type="fixed"/>
          <w:tblCellMar>
            <w:top w:w="0" w:type="dxa"/>
            <w:left w:w="108" w:type="dxa"/>
            <w:bottom w:w="0" w:type="dxa"/>
            <w:right w:w="108" w:type="dxa"/>
          </w:tblCellMar>
        </w:tblPrEx>
        <w:trPr>
          <w:trHeight w:val="315" w:hRule="atLeast"/>
        </w:trPr>
        <w:tc>
          <w:tcPr>
            <w:tcW w:w="1080" w:type="dxa"/>
            <w:tcBorders>
              <w:top w:val="nil"/>
              <w:left w:val="single" w:color="auto" w:sz="8" w:space="0"/>
              <w:bottom w:val="single" w:color="auto" w:sz="8" w:space="0"/>
              <w:right w:val="nil"/>
            </w:tcBorders>
            <w:shd w:val="clear" w:color="auto" w:fill="auto"/>
            <w:vAlign w:val="bottom"/>
          </w:tcPr>
          <w:p>
            <w:pPr>
              <w:widowControl/>
              <w:spacing w:line="560" w:lineRule="exact"/>
              <w:jc w:val="center"/>
              <w:rPr>
                <w:rFonts w:ascii="Calibri" w:hAnsi="Calibri" w:cs="Calibri"/>
                <w:color w:val="000000"/>
                <w:kern w:val="0"/>
                <w:sz w:val="22"/>
                <w:szCs w:val="22"/>
              </w:rPr>
            </w:pPr>
            <w:r>
              <w:rPr>
                <w:rFonts w:ascii="Calibri" w:hAnsi="Calibri" w:cs="Calibri"/>
                <w:color w:val="000000"/>
                <w:kern w:val="0"/>
                <w:sz w:val="22"/>
                <w:szCs w:val="22"/>
              </w:rPr>
              <w:t>6</w:t>
            </w:r>
          </w:p>
        </w:tc>
        <w:tc>
          <w:tcPr>
            <w:tcW w:w="2904" w:type="dxa"/>
            <w:tcBorders>
              <w:top w:val="nil"/>
              <w:left w:val="single" w:color="auto" w:sz="4" w:space="0"/>
              <w:bottom w:val="single" w:color="auto" w:sz="4" w:space="0"/>
              <w:right w:val="single" w:color="auto" w:sz="4" w:space="0"/>
            </w:tcBorders>
            <w:shd w:val="clear" w:color="auto" w:fill="auto"/>
            <w:vAlign w:val="bottom"/>
          </w:tcPr>
          <w:p>
            <w:pPr>
              <w:widowControl/>
              <w:spacing w:line="560" w:lineRule="exact"/>
              <w:jc w:val="center"/>
              <w:rPr>
                <w:rFonts w:ascii="Calibri" w:hAnsi="Calibri" w:cs="Calibri"/>
                <w:color w:val="000000"/>
                <w:kern w:val="0"/>
                <w:sz w:val="22"/>
                <w:szCs w:val="22"/>
              </w:rPr>
            </w:pPr>
            <w:r>
              <w:rPr>
                <w:rFonts w:ascii="Calibri" w:hAnsi="Calibri" w:cs="Calibri"/>
                <w:color w:val="000000"/>
                <w:kern w:val="0"/>
                <w:sz w:val="22"/>
                <w:szCs w:val="22"/>
              </w:rPr>
              <w:t>49000-57999</w:t>
            </w:r>
          </w:p>
        </w:tc>
        <w:tc>
          <w:tcPr>
            <w:tcW w:w="2268"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 w:val="22"/>
                <w:szCs w:val="22"/>
              </w:rPr>
            </w:pPr>
            <w:r>
              <w:rPr>
                <w:rFonts w:hint="eastAsia" w:ascii="宋体" w:hAnsi="宋体" w:cs="宋体"/>
                <w:color w:val="000000"/>
                <w:kern w:val="0"/>
                <w:sz w:val="22"/>
                <w:szCs w:val="22"/>
              </w:rPr>
              <w:t>2642</w:t>
            </w:r>
          </w:p>
        </w:tc>
        <w:tc>
          <w:tcPr>
            <w:tcW w:w="2308"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 w:val="22"/>
                <w:szCs w:val="22"/>
              </w:rPr>
            </w:pPr>
            <w:r>
              <w:rPr>
                <w:rFonts w:hint="eastAsia" w:ascii="宋体" w:hAnsi="宋体" w:cs="宋体"/>
                <w:color w:val="000000"/>
                <w:kern w:val="0"/>
                <w:sz w:val="22"/>
                <w:szCs w:val="22"/>
              </w:rPr>
              <w:t>10.53%</w:t>
            </w:r>
          </w:p>
        </w:tc>
      </w:tr>
      <w:tr>
        <w:tblPrEx>
          <w:tblLayout w:type="fixed"/>
          <w:tblCellMar>
            <w:top w:w="0" w:type="dxa"/>
            <w:left w:w="108" w:type="dxa"/>
            <w:bottom w:w="0" w:type="dxa"/>
            <w:right w:w="108" w:type="dxa"/>
          </w:tblCellMar>
        </w:tblPrEx>
        <w:trPr>
          <w:trHeight w:val="315" w:hRule="atLeast"/>
        </w:trPr>
        <w:tc>
          <w:tcPr>
            <w:tcW w:w="1080" w:type="dxa"/>
            <w:tcBorders>
              <w:top w:val="nil"/>
              <w:left w:val="single" w:color="auto" w:sz="8" w:space="0"/>
              <w:bottom w:val="single" w:color="auto" w:sz="8" w:space="0"/>
              <w:right w:val="nil"/>
            </w:tcBorders>
            <w:shd w:val="clear" w:color="auto" w:fill="auto"/>
            <w:vAlign w:val="bottom"/>
          </w:tcPr>
          <w:p>
            <w:pPr>
              <w:widowControl/>
              <w:spacing w:line="560" w:lineRule="exact"/>
              <w:jc w:val="center"/>
              <w:rPr>
                <w:rFonts w:ascii="Calibri" w:hAnsi="Calibri" w:cs="Calibri"/>
                <w:color w:val="000000"/>
                <w:kern w:val="0"/>
                <w:sz w:val="22"/>
                <w:szCs w:val="22"/>
              </w:rPr>
            </w:pPr>
            <w:r>
              <w:rPr>
                <w:rFonts w:ascii="Calibri" w:hAnsi="Calibri" w:cs="Calibri"/>
                <w:color w:val="000000"/>
                <w:kern w:val="0"/>
                <w:sz w:val="22"/>
                <w:szCs w:val="22"/>
              </w:rPr>
              <w:t>7</w:t>
            </w:r>
          </w:p>
        </w:tc>
        <w:tc>
          <w:tcPr>
            <w:tcW w:w="2904" w:type="dxa"/>
            <w:tcBorders>
              <w:top w:val="nil"/>
              <w:left w:val="single" w:color="auto" w:sz="4" w:space="0"/>
              <w:bottom w:val="single" w:color="auto" w:sz="4" w:space="0"/>
              <w:right w:val="single" w:color="auto" w:sz="4" w:space="0"/>
            </w:tcBorders>
            <w:shd w:val="clear" w:color="auto" w:fill="auto"/>
            <w:vAlign w:val="bottom"/>
          </w:tcPr>
          <w:p>
            <w:pPr>
              <w:widowControl/>
              <w:spacing w:line="560" w:lineRule="exact"/>
              <w:jc w:val="center"/>
              <w:rPr>
                <w:rFonts w:ascii="Calibri" w:hAnsi="Calibri" w:cs="Calibri"/>
                <w:color w:val="000000"/>
                <w:kern w:val="0"/>
                <w:sz w:val="22"/>
                <w:szCs w:val="22"/>
              </w:rPr>
            </w:pPr>
            <w:r>
              <w:rPr>
                <w:rFonts w:ascii="Calibri" w:hAnsi="Calibri" w:cs="Calibri"/>
                <w:color w:val="000000"/>
                <w:kern w:val="0"/>
                <w:sz w:val="22"/>
                <w:szCs w:val="22"/>
              </w:rPr>
              <w:t>58000-66999</w:t>
            </w:r>
          </w:p>
        </w:tc>
        <w:tc>
          <w:tcPr>
            <w:tcW w:w="2268"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 w:val="22"/>
                <w:szCs w:val="22"/>
              </w:rPr>
            </w:pPr>
            <w:r>
              <w:rPr>
                <w:rFonts w:hint="eastAsia" w:ascii="宋体" w:hAnsi="宋体" w:cs="宋体"/>
                <w:color w:val="000000"/>
                <w:kern w:val="0"/>
                <w:sz w:val="22"/>
                <w:szCs w:val="22"/>
              </w:rPr>
              <w:t>2488</w:t>
            </w:r>
          </w:p>
        </w:tc>
        <w:tc>
          <w:tcPr>
            <w:tcW w:w="2308"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 w:val="22"/>
                <w:szCs w:val="22"/>
              </w:rPr>
            </w:pPr>
            <w:r>
              <w:rPr>
                <w:rFonts w:hint="eastAsia" w:ascii="宋体" w:hAnsi="宋体" w:cs="宋体"/>
                <w:color w:val="000000"/>
                <w:kern w:val="0"/>
                <w:sz w:val="22"/>
                <w:szCs w:val="22"/>
              </w:rPr>
              <w:t>9.92%</w:t>
            </w:r>
          </w:p>
        </w:tc>
      </w:tr>
      <w:tr>
        <w:tblPrEx>
          <w:tblLayout w:type="fixed"/>
          <w:tblCellMar>
            <w:top w:w="0" w:type="dxa"/>
            <w:left w:w="108" w:type="dxa"/>
            <w:bottom w:w="0" w:type="dxa"/>
            <w:right w:w="108" w:type="dxa"/>
          </w:tblCellMar>
        </w:tblPrEx>
        <w:trPr>
          <w:trHeight w:val="300" w:hRule="atLeast"/>
        </w:trPr>
        <w:tc>
          <w:tcPr>
            <w:tcW w:w="1080" w:type="dxa"/>
            <w:tcBorders>
              <w:top w:val="nil"/>
              <w:left w:val="single" w:color="auto" w:sz="8" w:space="0"/>
              <w:bottom w:val="nil"/>
              <w:right w:val="nil"/>
            </w:tcBorders>
            <w:shd w:val="clear" w:color="auto" w:fill="auto"/>
            <w:vAlign w:val="bottom"/>
          </w:tcPr>
          <w:p>
            <w:pPr>
              <w:widowControl/>
              <w:spacing w:line="560" w:lineRule="exact"/>
              <w:jc w:val="center"/>
              <w:rPr>
                <w:rFonts w:ascii="Calibri" w:hAnsi="Calibri" w:cs="Calibri"/>
                <w:color w:val="000000"/>
                <w:kern w:val="0"/>
                <w:sz w:val="22"/>
                <w:szCs w:val="22"/>
              </w:rPr>
            </w:pPr>
            <w:r>
              <w:rPr>
                <w:rFonts w:ascii="Calibri" w:hAnsi="Calibri" w:cs="Calibri"/>
                <w:color w:val="000000"/>
                <w:kern w:val="0"/>
                <w:sz w:val="22"/>
                <w:szCs w:val="22"/>
              </w:rPr>
              <w:t>8</w:t>
            </w:r>
          </w:p>
        </w:tc>
        <w:tc>
          <w:tcPr>
            <w:tcW w:w="2904" w:type="dxa"/>
            <w:tcBorders>
              <w:top w:val="nil"/>
              <w:left w:val="single" w:color="auto" w:sz="4" w:space="0"/>
              <w:bottom w:val="nil"/>
              <w:right w:val="single" w:color="auto" w:sz="4" w:space="0"/>
            </w:tcBorders>
            <w:shd w:val="clear" w:color="auto" w:fill="auto"/>
            <w:vAlign w:val="bottom"/>
          </w:tcPr>
          <w:p>
            <w:pPr>
              <w:widowControl/>
              <w:spacing w:line="560" w:lineRule="exact"/>
              <w:jc w:val="center"/>
              <w:rPr>
                <w:rFonts w:ascii="Calibri" w:hAnsi="Calibri" w:cs="Calibri"/>
                <w:color w:val="000000"/>
                <w:kern w:val="0"/>
                <w:sz w:val="22"/>
                <w:szCs w:val="22"/>
              </w:rPr>
            </w:pPr>
            <w:r>
              <w:rPr>
                <w:rFonts w:ascii="Calibri" w:hAnsi="Calibri" w:cs="Calibri"/>
                <w:color w:val="000000"/>
                <w:kern w:val="0"/>
                <w:sz w:val="22"/>
                <w:szCs w:val="22"/>
              </w:rPr>
              <w:t>67000-75999</w:t>
            </w:r>
          </w:p>
        </w:tc>
        <w:tc>
          <w:tcPr>
            <w:tcW w:w="2268" w:type="dxa"/>
            <w:tcBorders>
              <w:top w:val="nil"/>
              <w:left w:val="nil"/>
              <w:bottom w:val="nil"/>
              <w:right w:val="single" w:color="auto" w:sz="4" w:space="0"/>
            </w:tcBorders>
            <w:shd w:val="clear" w:color="auto" w:fill="auto"/>
            <w:vAlign w:val="center"/>
          </w:tcPr>
          <w:p>
            <w:pPr>
              <w:widowControl/>
              <w:spacing w:line="560" w:lineRule="exact"/>
              <w:jc w:val="center"/>
              <w:rPr>
                <w:rFonts w:ascii="宋体" w:hAnsi="宋体" w:cs="宋体"/>
                <w:color w:val="000000"/>
                <w:kern w:val="0"/>
                <w:sz w:val="22"/>
                <w:szCs w:val="22"/>
              </w:rPr>
            </w:pPr>
            <w:r>
              <w:rPr>
                <w:rFonts w:hint="eastAsia" w:ascii="宋体" w:hAnsi="宋体" w:cs="宋体"/>
                <w:color w:val="000000"/>
                <w:kern w:val="0"/>
                <w:sz w:val="22"/>
                <w:szCs w:val="22"/>
              </w:rPr>
              <w:t>640</w:t>
            </w:r>
          </w:p>
        </w:tc>
        <w:tc>
          <w:tcPr>
            <w:tcW w:w="2308"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 w:val="22"/>
                <w:szCs w:val="22"/>
              </w:rPr>
            </w:pPr>
            <w:r>
              <w:rPr>
                <w:rFonts w:hint="eastAsia" w:ascii="宋体" w:hAnsi="宋体" w:cs="宋体"/>
                <w:color w:val="000000"/>
                <w:kern w:val="0"/>
                <w:sz w:val="22"/>
                <w:szCs w:val="22"/>
              </w:rPr>
              <w:t>2.55%</w:t>
            </w:r>
          </w:p>
        </w:tc>
      </w:tr>
      <w:tr>
        <w:tblPrEx>
          <w:tblLayout w:type="fixed"/>
          <w:tblCellMar>
            <w:top w:w="0" w:type="dxa"/>
            <w:left w:w="108" w:type="dxa"/>
            <w:bottom w:w="0" w:type="dxa"/>
            <w:right w:w="108" w:type="dxa"/>
          </w:tblCellMar>
        </w:tblPrEx>
        <w:trPr>
          <w:trHeight w:val="3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560" w:lineRule="exact"/>
              <w:jc w:val="center"/>
              <w:rPr>
                <w:rFonts w:ascii="Calibri" w:hAnsi="Calibri" w:cs="Calibri"/>
                <w:color w:val="000000"/>
                <w:kern w:val="0"/>
                <w:sz w:val="22"/>
                <w:szCs w:val="22"/>
              </w:rPr>
            </w:pPr>
            <w:r>
              <w:rPr>
                <w:rFonts w:ascii="Calibri" w:hAnsi="Calibri" w:cs="Calibri"/>
                <w:color w:val="000000"/>
                <w:kern w:val="0"/>
                <w:sz w:val="22"/>
                <w:szCs w:val="22"/>
              </w:rPr>
              <w:t>9</w:t>
            </w:r>
          </w:p>
        </w:tc>
        <w:tc>
          <w:tcPr>
            <w:tcW w:w="2904" w:type="dxa"/>
            <w:tcBorders>
              <w:top w:val="single" w:color="auto" w:sz="4" w:space="0"/>
              <w:left w:val="nil"/>
              <w:bottom w:val="single" w:color="auto" w:sz="4" w:space="0"/>
              <w:right w:val="single" w:color="auto" w:sz="4" w:space="0"/>
            </w:tcBorders>
            <w:shd w:val="clear" w:color="auto" w:fill="auto"/>
            <w:vAlign w:val="bottom"/>
          </w:tcPr>
          <w:p>
            <w:pPr>
              <w:widowControl/>
              <w:spacing w:line="560" w:lineRule="exact"/>
              <w:jc w:val="center"/>
              <w:rPr>
                <w:rFonts w:ascii="Calibri" w:hAnsi="Calibri" w:cs="Calibri"/>
                <w:color w:val="000000"/>
                <w:kern w:val="0"/>
                <w:sz w:val="22"/>
                <w:szCs w:val="22"/>
              </w:rPr>
            </w:pPr>
            <w:r>
              <w:rPr>
                <w:rFonts w:ascii="Calibri" w:hAnsi="Calibri" w:cs="Calibri"/>
                <w:color w:val="000000"/>
                <w:kern w:val="0"/>
                <w:sz w:val="22"/>
                <w:szCs w:val="22"/>
              </w:rPr>
              <w:t>76000-</w:t>
            </w:r>
            <w:r>
              <w:rPr>
                <w:rFonts w:hint="eastAsia" w:ascii="Calibri" w:hAnsi="Calibri" w:cs="Calibri"/>
                <w:color w:val="000000"/>
                <w:kern w:val="0"/>
                <w:sz w:val="22"/>
                <w:szCs w:val="22"/>
              </w:rPr>
              <w:t>79999</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 w:val="22"/>
                <w:szCs w:val="22"/>
              </w:rPr>
            </w:pPr>
            <w:r>
              <w:rPr>
                <w:rFonts w:hint="eastAsia" w:ascii="宋体" w:hAnsi="宋体" w:cs="宋体"/>
                <w:color w:val="000000"/>
                <w:kern w:val="0"/>
                <w:sz w:val="22"/>
                <w:szCs w:val="22"/>
              </w:rPr>
              <w:t>302</w:t>
            </w:r>
          </w:p>
        </w:tc>
        <w:tc>
          <w:tcPr>
            <w:tcW w:w="2308"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 w:val="22"/>
                <w:szCs w:val="22"/>
              </w:rPr>
            </w:pPr>
            <w:r>
              <w:rPr>
                <w:rFonts w:hint="eastAsia" w:ascii="宋体" w:hAnsi="宋体" w:cs="宋体"/>
                <w:color w:val="000000"/>
                <w:kern w:val="0"/>
                <w:sz w:val="22"/>
                <w:szCs w:val="22"/>
              </w:rPr>
              <w:t>1.20%</w:t>
            </w:r>
          </w:p>
        </w:tc>
      </w:tr>
      <w:tr>
        <w:tblPrEx>
          <w:tblLayout w:type="fixed"/>
          <w:tblCellMar>
            <w:top w:w="0" w:type="dxa"/>
            <w:left w:w="108" w:type="dxa"/>
            <w:bottom w:w="0" w:type="dxa"/>
            <w:right w:w="108" w:type="dxa"/>
          </w:tblCellMar>
        </w:tblPrEx>
        <w:trPr>
          <w:trHeight w:val="300" w:hRule="atLeast"/>
        </w:trPr>
        <w:tc>
          <w:tcPr>
            <w:tcW w:w="1080" w:type="dxa"/>
            <w:tcBorders>
              <w:top w:val="nil"/>
              <w:left w:val="single" w:color="auto" w:sz="8" w:space="0"/>
              <w:bottom w:val="nil"/>
              <w:right w:val="nil"/>
            </w:tcBorders>
            <w:shd w:val="clear" w:color="auto" w:fill="auto"/>
            <w:vAlign w:val="bottom"/>
          </w:tcPr>
          <w:p>
            <w:pPr>
              <w:widowControl/>
              <w:spacing w:line="560" w:lineRule="exact"/>
              <w:jc w:val="center"/>
              <w:rPr>
                <w:rFonts w:ascii="Calibri" w:hAnsi="Calibri" w:cs="Calibri"/>
                <w:color w:val="000000"/>
                <w:kern w:val="0"/>
                <w:sz w:val="22"/>
                <w:szCs w:val="22"/>
              </w:rPr>
            </w:pPr>
            <w:r>
              <w:rPr>
                <w:rFonts w:ascii="Calibri" w:hAnsi="Calibri" w:cs="Calibri"/>
                <w:color w:val="000000"/>
                <w:kern w:val="0"/>
                <w:sz w:val="22"/>
                <w:szCs w:val="22"/>
              </w:rPr>
              <w:t>10</w:t>
            </w:r>
          </w:p>
        </w:tc>
        <w:tc>
          <w:tcPr>
            <w:tcW w:w="2904" w:type="dxa"/>
            <w:tcBorders>
              <w:top w:val="nil"/>
              <w:left w:val="single" w:color="auto" w:sz="4" w:space="0"/>
              <w:bottom w:val="single" w:color="auto" w:sz="4" w:space="0"/>
              <w:right w:val="single" w:color="auto" w:sz="4" w:space="0"/>
            </w:tcBorders>
            <w:shd w:val="clear" w:color="auto" w:fill="auto"/>
            <w:vAlign w:val="bottom"/>
          </w:tcPr>
          <w:p>
            <w:pPr>
              <w:widowControl/>
              <w:spacing w:line="560" w:lineRule="exact"/>
              <w:jc w:val="center"/>
              <w:rPr>
                <w:rFonts w:ascii="Calibri" w:hAnsi="Calibri" w:cs="Calibri"/>
                <w:color w:val="000000"/>
                <w:kern w:val="0"/>
                <w:sz w:val="22"/>
                <w:szCs w:val="22"/>
              </w:rPr>
            </w:pPr>
            <w:r>
              <w:rPr>
                <w:rFonts w:ascii="Calibri" w:hAnsi="Calibri" w:cs="Calibri"/>
                <w:color w:val="000000"/>
                <w:kern w:val="0"/>
                <w:sz w:val="22"/>
                <w:szCs w:val="22"/>
              </w:rPr>
              <w:t>8000</w:t>
            </w:r>
            <w:r>
              <w:rPr>
                <w:rFonts w:hint="eastAsia" w:ascii="Calibri" w:hAnsi="Calibri" w:cs="Calibri"/>
                <w:color w:val="000000"/>
                <w:kern w:val="0"/>
                <w:sz w:val="22"/>
                <w:szCs w:val="22"/>
              </w:rPr>
              <w:t>0</w:t>
            </w:r>
            <w:r>
              <w:rPr>
                <w:rFonts w:ascii="Calibri" w:hAnsi="Calibri" w:cs="Calibri"/>
                <w:color w:val="000000"/>
                <w:kern w:val="0"/>
                <w:sz w:val="22"/>
                <w:szCs w:val="22"/>
              </w:rPr>
              <w:t>-120000</w:t>
            </w:r>
          </w:p>
        </w:tc>
        <w:tc>
          <w:tcPr>
            <w:tcW w:w="2268"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 w:val="22"/>
                <w:szCs w:val="22"/>
              </w:rPr>
            </w:pPr>
            <w:r>
              <w:rPr>
                <w:rFonts w:hint="eastAsia" w:ascii="宋体" w:hAnsi="宋体" w:cs="宋体"/>
                <w:color w:val="000000"/>
                <w:kern w:val="0"/>
                <w:sz w:val="22"/>
                <w:szCs w:val="22"/>
              </w:rPr>
              <w:t>1589</w:t>
            </w:r>
          </w:p>
        </w:tc>
        <w:tc>
          <w:tcPr>
            <w:tcW w:w="2308"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 w:val="22"/>
                <w:szCs w:val="22"/>
              </w:rPr>
            </w:pPr>
            <w:r>
              <w:rPr>
                <w:rFonts w:hint="eastAsia" w:ascii="宋体" w:hAnsi="宋体" w:cs="宋体"/>
                <w:color w:val="000000"/>
                <w:kern w:val="0"/>
                <w:sz w:val="22"/>
                <w:szCs w:val="22"/>
              </w:rPr>
              <w:t>6.33%</w:t>
            </w:r>
          </w:p>
        </w:tc>
      </w:tr>
      <w:tr>
        <w:tblPrEx>
          <w:tblLayout w:type="fixed"/>
          <w:tblCellMar>
            <w:top w:w="0" w:type="dxa"/>
            <w:left w:w="108" w:type="dxa"/>
            <w:bottom w:w="0" w:type="dxa"/>
            <w:right w:w="108" w:type="dxa"/>
          </w:tblCellMar>
        </w:tblPrEx>
        <w:trPr>
          <w:trHeight w:val="3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560" w:lineRule="exact"/>
              <w:jc w:val="center"/>
              <w:rPr>
                <w:rFonts w:ascii="Calibri" w:hAnsi="Calibri" w:cs="Calibri"/>
                <w:color w:val="000000"/>
                <w:kern w:val="0"/>
                <w:sz w:val="22"/>
                <w:szCs w:val="22"/>
              </w:rPr>
            </w:pPr>
            <w:r>
              <w:rPr>
                <w:rFonts w:ascii="Calibri" w:hAnsi="Calibri" w:cs="Calibri"/>
                <w:color w:val="000000"/>
                <w:kern w:val="0"/>
                <w:sz w:val="22"/>
                <w:szCs w:val="22"/>
              </w:rPr>
              <w:t>11</w:t>
            </w:r>
          </w:p>
        </w:tc>
        <w:tc>
          <w:tcPr>
            <w:tcW w:w="2904" w:type="dxa"/>
            <w:tcBorders>
              <w:top w:val="nil"/>
              <w:left w:val="nil"/>
              <w:bottom w:val="single" w:color="auto" w:sz="4" w:space="0"/>
              <w:right w:val="single" w:color="auto" w:sz="4" w:space="0"/>
            </w:tcBorders>
            <w:shd w:val="clear" w:color="auto" w:fill="auto"/>
            <w:vAlign w:val="bottom"/>
          </w:tcPr>
          <w:p>
            <w:pPr>
              <w:widowControl/>
              <w:spacing w:line="560" w:lineRule="exact"/>
              <w:jc w:val="center"/>
              <w:rPr>
                <w:rFonts w:ascii="Calibri" w:hAnsi="Calibri" w:cs="Calibri"/>
                <w:color w:val="000000"/>
                <w:kern w:val="0"/>
                <w:sz w:val="22"/>
                <w:szCs w:val="22"/>
              </w:rPr>
            </w:pPr>
            <w:r>
              <w:rPr>
                <w:rFonts w:ascii="Calibri" w:hAnsi="Calibri" w:cs="Calibri"/>
                <w:color w:val="000000"/>
                <w:kern w:val="0"/>
                <w:sz w:val="22"/>
                <w:szCs w:val="22"/>
              </w:rPr>
              <w:t>120000</w:t>
            </w:r>
            <w:r>
              <w:rPr>
                <w:rFonts w:hint="eastAsia" w:ascii="宋体" w:hAnsi="宋体" w:cs="Calibri"/>
                <w:color w:val="000000"/>
                <w:kern w:val="0"/>
                <w:sz w:val="22"/>
                <w:szCs w:val="22"/>
              </w:rPr>
              <w:t>以上</w:t>
            </w:r>
          </w:p>
        </w:tc>
        <w:tc>
          <w:tcPr>
            <w:tcW w:w="2268"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2308"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 w:val="22"/>
                <w:szCs w:val="22"/>
              </w:rPr>
            </w:pPr>
            <w:r>
              <w:rPr>
                <w:rFonts w:hint="eastAsia" w:ascii="宋体" w:hAnsi="宋体" w:cs="宋体"/>
                <w:color w:val="000000"/>
                <w:kern w:val="0"/>
                <w:sz w:val="22"/>
                <w:szCs w:val="22"/>
              </w:rPr>
              <w:t>0.06%</w:t>
            </w:r>
          </w:p>
        </w:tc>
      </w:tr>
    </w:tbl>
    <w:p>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（二）船舶使用岸电补贴标准的计算。</w:t>
      </w:r>
    </w:p>
    <w:p>
      <w:pPr>
        <w:spacing w:line="560" w:lineRule="exact"/>
        <w:ind w:firstLine="643" w:firstLineChars="200"/>
        <w:rPr>
          <w:rFonts w:ascii="仿宋_GB2312" w:eastAsia="仿宋_GB2312"/>
          <w:b/>
          <w:sz w:val="32"/>
          <w:szCs w:val="32"/>
          <w:lang w:val="zh-CN"/>
        </w:rPr>
      </w:pPr>
      <w:r>
        <w:rPr>
          <w:rFonts w:hint="eastAsia" w:ascii="仿宋_GB2312" w:eastAsia="仿宋_GB2312"/>
          <w:b/>
          <w:sz w:val="32"/>
          <w:szCs w:val="32"/>
          <w:lang w:val="zh-CN"/>
        </w:rPr>
        <w:t>1.补贴标准</w:t>
      </w:r>
    </w:p>
    <w:p>
      <w:pPr>
        <w:spacing w:line="560" w:lineRule="exact"/>
        <w:ind w:firstLine="640" w:firstLineChars="200"/>
        <w:rPr>
          <w:rFonts w:ascii="仿宋_GB2312" w:eastAsia="仿宋_GB2312"/>
          <w:sz w:val="32"/>
          <w:szCs w:val="32"/>
          <w:lang w:val="zh-CN"/>
        </w:rPr>
      </w:pPr>
      <w:r>
        <w:rPr>
          <w:rFonts w:hint="eastAsia" w:ascii="仿宋_GB2312" w:eastAsia="仿宋_GB2312"/>
          <w:sz w:val="32"/>
          <w:szCs w:val="32"/>
          <w:lang w:val="zh-CN"/>
        </w:rPr>
        <w:t>补贴金额为船舶进出港实缴引航费总额的30%。例如：以一艘超过120000净吨船舶计算，一艘船舶进出港实缴引航费共计为8.8万元（未计算特殊时间及加长距离），补贴金额为2.64万元。</w:t>
      </w:r>
    </w:p>
    <w:p>
      <w:pPr>
        <w:spacing w:line="560" w:lineRule="exact"/>
        <w:ind w:firstLine="643" w:firstLineChars="200"/>
        <w:rPr>
          <w:rFonts w:ascii="仿宋_GB2312" w:eastAsia="仿宋_GB2312"/>
          <w:b/>
          <w:color w:val="000000"/>
          <w:sz w:val="32"/>
          <w:szCs w:val="32"/>
        </w:rPr>
      </w:pPr>
      <w:r>
        <w:rPr>
          <w:rFonts w:hint="eastAsia" w:ascii="仿宋_GB2312" w:eastAsia="仿宋_GB2312"/>
          <w:b/>
          <w:color w:val="000000"/>
          <w:sz w:val="32"/>
          <w:szCs w:val="32"/>
        </w:rPr>
        <w:t>2.预算金额测算</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按照“深圳蓝”要求深圳港岸电使用率需达到5%，从</w:t>
      </w:r>
      <w:r>
        <w:rPr>
          <w:rFonts w:hint="eastAsia" w:ascii="仿宋_GB2312" w:eastAsia="仿宋_GB2312"/>
          <w:sz w:val="32"/>
          <w:szCs w:val="32"/>
        </w:rPr>
        <w:t>2018年8月1日起至2018年12月31日，</w:t>
      </w:r>
      <w:r>
        <w:rPr>
          <w:rFonts w:hint="eastAsia" w:ascii="仿宋_GB2312" w:eastAsia="仿宋_GB2312"/>
          <w:color w:val="000000"/>
          <w:sz w:val="32"/>
          <w:szCs w:val="32"/>
        </w:rPr>
        <w:t>使用艘次约为260艘次，补贴金额</w:t>
      </w:r>
      <w:r>
        <w:rPr>
          <w:rFonts w:hint="eastAsia" w:ascii="仿宋_GB2312" w:eastAsia="仿宋_GB2312"/>
          <w:sz w:val="32"/>
          <w:szCs w:val="32"/>
        </w:rPr>
        <w:t>预计为242万。</w:t>
      </w:r>
    </w:p>
    <w:p>
      <w:pPr>
        <w:spacing w:line="56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（三）补贴经费来源。</w:t>
      </w:r>
    </w:p>
    <w:p>
      <w:pPr>
        <w:spacing w:line="560" w:lineRule="exact"/>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因鼓励船舶使用低硫油和岸电属于绿色港口建设工作，因此通告所涉及的两项补贴建议从</w:t>
      </w:r>
      <w:r>
        <w:rPr>
          <w:rFonts w:hint="eastAsia" w:ascii="仿宋_GB2312" w:eastAsia="仿宋_GB2312"/>
          <w:bCs/>
          <w:sz w:val="32"/>
          <w:szCs w:val="32"/>
        </w:rPr>
        <w:t>绿色低碳港口建设补贴资金（市</w:t>
      </w:r>
      <w:r>
        <w:rPr>
          <w:rFonts w:hint="eastAsia" w:ascii="仿宋_GB2312" w:hAnsi="黑体" w:eastAsia="仿宋_GB2312"/>
          <w:sz w:val="32"/>
          <w:szCs w:val="32"/>
        </w:rPr>
        <w:t>循环经济与节能减排专项资金</w:t>
      </w:r>
      <w:r>
        <w:rPr>
          <w:rFonts w:hint="eastAsia" w:ascii="仿宋_GB2312" w:eastAsia="仿宋_GB2312"/>
          <w:bCs/>
          <w:sz w:val="32"/>
          <w:szCs w:val="32"/>
        </w:rPr>
        <w:t>）</w:t>
      </w:r>
      <w:r>
        <w:rPr>
          <w:rFonts w:hint="eastAsia" w:ascii="仿宋_GB2312" w:hAnsi="黑体" w:eastAsia="仿宋_GB2312"/>
          <w:sz w:val="32"/>
          <w:szCs w:val="32"/>
        </w:rPr>
        <w:t>列支。相关申请、审批和发放程序已参照《深圳市绿色低碳港口建设补贴资金管理暂行办法》，在《</w:t>
      </w:r>
      <w:r>
        <w:rPr>
          <w:rFonts w:hint="eastAsia" w:ascii="仿宋_GB2312" w:hAnsi="仿宋" w:eastAsia="仿宋_GB2312" w:cs="仿宋"/>
          <w:sz w:val="32"/>
          <w:szCs w:val="32"/>
        </w:rPr>
        <w:t>低硫燃油及岸电使用补贴申报指南</w:t>
      </w:r>
      <w:r>
        <w:rPr>
          <w:rFonts w:hint="eastAsia" w:ascii="仿宋_GB2312" w:hAnsi="黑体" w:eastAsia="仿宋_GB2312"/>
          <w:sz w:val="32"/>
          <w:szCs w:val="32"/>
        </w:rPr>
        <w:t>》中予以具体规定。</w:t>
      </w:r>
    </w:p>
    <w:p>
      <w:bookmarkStart w:id="1" w:name="_GoBack"/>
      <w:bookmarkEnd w:id="1"/>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separate"/>
    </w:r>
    <w:r>
      <w:rPr>
        <w:rStyle w:val="5"/>
      </w:rPr>
      <w:t>3</w:t>
    </w:r>
    <w:r>
      <w:rPr>
        <w:rStyle w:val="5"/>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2B4C80"/>
    <w:rsid w:val="4F2B4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Calibri" w:hAnsi="Calibri"/>
      <w:kern w:val="0"/>
      <w:sz w:val="18"/>
      <w:szCs w:val="18"/>
    </w:rPr>
  </w:style>
  <w:style w:type="paragraph" w:styleId="3">
    <w:name w:val="Normal (Web)"/>
    <w:basedOn w:val="1"/>
    <w:uiPriority w:val="0"/>
    <w:pPr>
      <w:jc w:val="left"/>
    </w:pPr>
    <w:rPr>
      <w:rFonts w:ascii="Calibri" w:hAnsi="Calibri"/>
      <w:kern w:val="0"/>
      <w:sz w:val="24"/>
      <w:szCs w:val="22"/>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2018-06-20T07:54:00Z</dcterms:created>
  <dc:creator>yckj</dc:creator>
  <cp:lastModifiedBy>yckj</cp:lastModifiedBy>
  <dcterms:modified xsi:type="dcterms:W3CDTF">2018-06-20T07:54:31Z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