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仿宋_GB2312"/>
          <w:szCs w:val="32"/>
        </w:rPr>
      </w:pPr>
      <w:r>
        <w:rPr>
          <w:rFonts w:hint="eastAsia" w:ascii="黑体" w:hAnsi="黑体" w:eastAsia="黑体" w:cs="仿宋_GB2312"/>
          <w:szCs w:val="32"/>
        </w:rPr>
        <w:t>附件2</w:t>
      </w:r>
    </w:p>
    <w:p>
      <w:pPr>
        <w:spacing w:line="580" w:lineRule="exact"/>
        <w:rPr>
          <w:rFonts w:hint="eastAsia" w:ascii="黑体" w:hAnsi="黑体" w:eastAsia="黑体" w:cs="仿宋_GB2312"/>
          <w:szCs w:val="32"/>
        </w:rPr>
      </w:pPr>
    </w:p>
    <w:p>
      <w:pPr>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《深圳市民政局关于印发特困人员护理</w:t>
      </w:r>
    </w:p>
    <w:p>
      <w:pPr>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标准的通知（征求意见稿）》</w:t>
      </w:r>
    </w:p>
    <w:p>
      <w:pPr>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起草说明</w:t>
      </w:r>
    </w:p>
    <w:p>
      <w:pPr>
        <w:spacing w:line="720" w:lineRule="exact"/>
        <w:jc w:val="center"/>
        <w:rPr>
          <w:rFonts w:hint="eastAsia" w:ascii="仿宋_GB2312" w:hAnsi="仿宋_GB2312" w:cs="仿宋_GB2312"/>
          <w:b/>
          <w:szCs w:val="32"/>
        </w:rPr>
      </w:pPr>
    </w:p>
    <w:p>
      <w:pPr>
        <w:spacing w:line="580" w:lineRule="exact"/>
        <w:ind w:firstLine="680" w:firstLineChars="200"/>
        <w:rPr>
          <w:rFonts w:hint="eastAsia" w:ascii="黑体" w:hAnsi="仿宋_GB2312" w:eastAsia="黑体" w:cs="仿宋_GB2312"/>
          <w:bCs/>
          <w:kern w:val="0"/>
          <w:szCs w:val="32"/>
          <w:lang w:bidi="en-US"/>
        </w:rPr>
      </w:pPr>
      <w:r>
        <w:rPr>
          <w:rFonts w:hint="eastAsia" w:ascii="黑体" w:hAnsi="仿宋_GB2312" w:eastAsia="黑体" w:cs="仿宋_GB2312"/>
          <w:bCs/>
          <w:kern w:val="0"/>
          <w:szCs w:val="32"/>
          <w:lang w:bidi="en-US"/>
        </w:rPr>
        <w:t>一、文件起草背景及依据</w:t>
      </w:r>
    </w:p>
    <w:p>
      <w:pPr>
        <w:spacing w:line="580" w:lineRule="exact"/>
        <w:ind w:firstLine="680" w:firstLineChars="200"/>
        <w:rPr>
          <w:rFonts w:hint="eastAsia" w:ascii="仿宋_GB2312" w:hAnsi="仿宋_GB2312" w:cs="仿宋_GB2312"/>
          <w:szCs w:val="32"/>
        </w:rPr>
      </w:pPr>
      <w:r>
        <w:rPr>
          <w:rFonts w:hint="eastAsia" w:ascii="仿宋_GB2312" w:hAnsi="仿宋_GB2312" w:cs="仿宋_GB2312"/>
          <w:szCs w:val="32"/>
        </w:rPr>
        <w:t>广东省民政厅于8月29日印发了《广东省民政厅关于加强特困供养人员护理工作的通知》（粤民规字〔2018〕4号，以下简称《省通知》），要求各地市在省通知印发之日起20个工作日内由市政府根据实际情况确定、公布本市特困人员护理标准。</w:t>
      </w:r>
    </w:p>
    <w:p>
      <w:pPr>
        <w:numPr>
          <w:ilvl w:val="0"/>
          <w:numId w:val="1"/>
        </w:numPr>
        <w:spacing w:line="580" w:lineRule="exact"/>
        <w:ind w:firstLine="680" w:firstLineChars="200"/>
        <w:rPr>
          <w:rFonts w:hint="eastAsia" w:ascii="黑体" w:hAnsi="仿宋_GB2312" w:eastAsia="黑体" w:cs="仿宋_GB2312"/>
          <w:bCs/>
          <w:kern w:val="0"/>
          <w:szCs w:val="32"/>
          <w:lang w:bidi="en-US"/>
        </w:rPr>
      </w:pPr>
      <w:r>
        <w:rPr>
          <w:rFonts w:hint="eastAsia" w:ascii="黑体" w:hAnsi="仿宋_GB2312" w:eastAsia="黑体" w:cs="仿宋_GB2312"/>
          <w:bCs/>
          <w:kern w:val="0"/>
          <w:szCs w:val="32"/>
          <w:lang w:bidi="en-US"/>
        </w:rPr>
        <w:t>护理标准制定方法及理由</w:t>
      </w:r>
    </w:p>
    <w:p>
      <w:pPr>
        <w:spacing w:line="580" w:lineRule="exact"/>
        <w:ind w:firstLine="680" w:firstLineChars="200"/>
        <w:rPr>
          <w:rFonts w:hint="eastAsia" w:ascii="仿宋_GB2312" w:hAnsi="仿宋_GB2312" w:cs="仿宋_GB2312"/>
          <w:bCs/>
          <w:kern w:val="0"/>
          <w:szCs w:val="32"/>
          <w:lang w:bidi="en-US"/>
        </w:rPr>
      </w:pPr>
      <w:r>
        <w:rPr>
          <w:rFonts w:hint="eastAsia" w:ascii="仿宋_GB2312" w:hAnsi="仿宋"/>
          <w:szCs w:val="32"/>
        </w:rPr>
        <w:t>根据《省通知》和《深圳市特困人员供养实施办法》（以下简称《实施办法》）要求，综合考虑我市上一年度公立医院护理标准、公办公营养老机构服务收费标准以及国内一线城市护理标准，参照《深圳市发展和改革委员会深圳市民政局关于调整公办公营养老机构养老服务收费标准的通知》（深发改〔2017〕548号）有关规定，分档次确定特困人员护理标准，理由如下：</w:t>
      </w:r>
    </w:p>
    <w:p>
      <w:pPr>
        <w:spacing w:line="580" w:lineRule="exact"/>
        <w:ind w:firstLine="680" w:firstLineChars="200"/>
        <w:rPr>
          <w:rFonts w:hint="eastAsia" w:ascii="仿宋_GB2312" w:hAnsi="仿宋"/>
          <w:szCs w:val="32"/>
        </w:rPr>
      </w:pPr>
      <w:r>
        <w:rPr>
          <w:rFonts w:hint="eastAsia" w:ascii="仿宋_GB2312" w:hAnsi="仿宋"/>
          <w:szCs w:val="32"/>
        </w:rPr>
        <w:t xml:space="preserve">（一）特困人员应优先安排集中供养于公办养老院等福利机构。根据《实施办法》规定，特困人员范围很窄，需同时具备“深圳户籍”、“三类”人群及“三无”条件，多为失能或半失能老人。为妥善照顾这部分最困难的人群，发挥社会救助兜底保障的作用，依据我市现有养老政策，将其集中供养于养老院等福利机构。同时，为实现到2020年，全省失能、半失能特困人员集中供养率达到50%的目标，完成民政部《民政事业发展第十三个五年规划》提出的目标任务，可以通过制定特困人员护理标准引导其选择集中供养模式，集中供养于养老院等福利机构。 </w:t>
      </w:r>
    </w:p>
    <w:p>
      <w:pPr>
        <w:spacing w:line="580" w:lineRule="exact"/>
        <w:ind w:firstLine="680" w:firstLineChars="200"/>
        <w:rPr>
          <w:rFonts w:hint="eastAsia" w:ascii="仿宋_GB2312" w:hAnsi="仿宋"/>
          <w:szCs w:val="32"/>
        </w:rPr>
      </w:pPr>
      <w:r>
        <w:rPr>
          <w:rFonts w:hint="eastAsia" w:ascii="仿宋_GB2312" w:hAnsi="仿宋"/>
          <w:szCs w:val="32"/>
        </w:rPr>
        <w:t>（二）参照养老服务收费标准可较为客观确定特困人员护理费用成本。2017年印发的《深圳市发展和改革委员会深圳市民政局关于调整公办公营养老机构养老服务收费标准的通知》（深发改〔2017〕548号），实施时间不久，其中的养老服务收费标准具有可对标参考性，同时该标准制定时已充分考虑了服务实际成本、财政拨款、供求关系和社会承受能力等因素，具有科学性和可操作性。</w:t>
      </w:r>
    </w:p>
    <w:p>
      <w:pPr>
        <w:spacing w:line="580" w:lineRule="exact"/>
        <w:ind w:firstLine="680" w:firstLineChars="200"/>
        <w:rPr>
          <w:rFonts w:hint="eastAsia" w:ascii="仿宋_GB2312" w:hAnsi="仿宋"/>
          <w:szCs w:val="32"/>
        </w:rPr>
      </w:pPr>
      <w:r>
        <w:rPr>
          <w:rFonts w:hint="eastAsia" w:ascii="仿宋_GB2312" w:hAnsi="仿宋"/>
          <w:szCs w:val="32"/>
        </w:rPr>
        <w:t>特困人员无收入来源、无劳动能力、无法定赡养、抚养、扶养义务人，护理工作全部须由护理人员完成，工作量和工作难度高于普通老人，因此特困人员的护理标准应当不低于普通老年人标准。在《省通知》标准基础上适当提高我市护理标准，能如实反映服务工作量、促进提高护理服务质量和体现对服务人员工作价值的认可，降低护理人员流失率，为特困人员提供稳定妥善的护理照料服务。</w:t>
      </w:r>
    </w:p>
    <w:p>
      <w:pPr>
        <w:spacing w:line="580" w:lineRule="exact"/>
        <w:ind w:firstLine="680" w:firstLineChars="200"/>
        <w:rPr>
          <w:rFonts w:hint="eastAsia" w:ascii="仿宋_GB2312" w:hAnsi="仿宋"/>
          <w:szCs w:val="32"/>
        </w:rPr>
      </w:pPr>
      <w:r>
        <w:rPr>
          <w:rFonts w:hint="eastAsia" w:ascii="仿宋_GB2312" w:hAnsi="仿宋"/>
          <w:szCs w:val="32"/>
        </w:rPr>
        <w:t>（三）按照公办公营养老服务机构的护理费标准确定特困人员护理标准，高于《省通知》确定的最低标准，即：全护理标准1650元/人/月，相当于我市最低工资的75%，高于《省通知》要求的不低于最低工资的60%；半自理护理标准1100元/人/月，相当于我市最低工资的50%，高于《省通知》要求的不低于最低工资的30%；全自理护理标准620元/人/月，相当于我市最低工资的28%，高于《省通知》要求的不低于最低工资的2%。详见表1。</w:t>
      </w:r>
    </w:p>
    <w:p>
      <w:pPr>
        <w:spacing w:line="580" w:lineRule="exact"/>
        <w:ind w:firstLine="680" w:firstLineChars="200"/>
        <w:rPr>
          <w:rFonts w:hint="eastAsia" w:ascii="仿宋_GB2312" w:hAnsi="仿宋"/>
          <w:szCs w:val="32"/>
        </w:rPr>
      </w:pPr>
      <w:r>
        <w:rPr>
          <w:rFonts w:hint="eastAsia" w:ascii="仿宋_GB2312" w:hAnsi="仿宋"/>
          <w:szCs w:val="32"/>
        </w:rPr>
        <w:t>表1：深圳特困人员护理标准与广东省通知护理标准对比表</w:t>
      </w:r>
    </w:p>
    <w:p>
      <w:pPr>
        <w:spacing w:line="580" w:lineRule="exact"/>
        <w:ind w:firstLine="6110" w:firstLineChars="2350"/>
        <w:rPr>
          <w:rFonts w:hint="eastAsia" w:ascii="仿宋_GB2312" w:hAnsi="仿宋"/>
          <w:sz w:val="24"/>
          <w:szCs w:val="24"/>
        </w:rPr>
      </w:pPr>
      <w:r>
        <w:rPr>
          <w:rFonts w:hint="eastAsia" w:ascii="仿宋_GB2312" w:hAnsi="仿宋"/>
          <w:sz w:val="24"/>
          <w:szCs w:val="24"/>
        </w:rPr>
        <w:t>单位：元/人/月</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3118"/>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shd w:val="clear" w:color="auto" w:fill="auto"/>
            <w:vAlign w:val="top"/>
          </w:tcPr>
          <w:p>
            <w:pPr>
              <w:spacing w:line="580" w:lineRule="exact"/>
              <w:jc w:val="center"/>
              <w:rPr>
                <w:rFonts w:hint="eastAsia" w:ascii="仿宋_GB2312" w:hAnsi="宋体"/>
                <w:sz w:val="18"/>
                <w:szCs w:val="18"/>
              </w:rPr>
            </w:pPr>
            <w:r>
              <w:rPr>
                <w:rFonts w:hint="eastAsia" w:ascii="仿宋_GB2312" w:hAnsi="宋体"/>
                <w:sz w:val="18"/>
                <w:szCs w:val="18"/>
              </w:rPr>
              <w:t>项目</w:t>
            </w:r>
          </w:p>
        </w:tc>
        <w:tc>
          <w:tcPr>
            <w:tcW w:w="3118" w:type="dxa"/>
            <w:shd w:val="clear" w:color="auto" w:fill="auto"/>
            <w:vAlign w:val="top"/>
          </w:tcPr>
          <w:p>
            <w:pPr>
              <w:spacing w:line="580" w:lineRule="exact"/>
              <w:ind w:firstLine="400" w:firstLineChars="200"/>
              <w:jc w:val="center"/>
              <w:rPr>
                <w:rFonts w:hint="eastAsia" w:ascii="仿宋_GB2312" w:hAnsi="宋体"/>
                <w:sz w:val="18"/>
                <w:szCs w:val="18"/>
              </w:rPr>
            </w:pPr>
            <w:r>
              <w:rPr>
                <w:rFonts w:hint="eastAsia" w:ascii="仿宋_GB2312" w:hAnsi="宋体"/>
                <w:sz w:val="18"/>
                <w:szCs w:val="18"/>
              </w:rPr>
              <w:t>我市特困人员护理标准</w:t>
            </w:r>
          </w:p>
        </w:tc>
        <w:tc>
          <w:tcPr>
            <w:tcW w:w="3311" w:type="dxa"/>
            <w:shd w:val="clear" w:color="auto" w:fill="auto"/>
            <w:vAlign w:val="top"/>
          </w:tcPr>
          <w:p>
            <w:pPr>
              <w:spacing w:line="580" w:lineRule="exact"/>
              <w:ind w:firstLine="400" w:firstLineChars="200"/>
              <w:jc w:val="center"/>
              <w:rPr>
                <w:rFonts w:hint="eastAsia" w:ascii="仿宋_GB2312" w:hAnsi="宋体"/>
                <w:sz w:val="18"/>
                <w:szCs w:val="18"/>
              </w:rPr>
            </w:pPr>
            <w:r>
              <w:rPr>
                <w:rFonts w:hint="eastAsia" w:ascii="仿宋_GB2312" w:hAnsi="宋体"/>
                <w:sz w:val="18"/>
                <w:szCs w:val="18"/>
              </w:rPr>
              <w:t>广东省特困人员标准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shd w:val="clear" w:color="auto" w:fill="auto"/>
            <w:vAlign w:val="center"/>
          </w:tcPr>
          <w:p>
            <w:pPr>
              <w:spacing w:line="580" w:lineRule="exact"/>
              <w:jc w:val="center"/>
              <w:rPr>
                <w:rFonts w:hint="eastAsia" w:ascii="仿宋_GB2312" w:hAnsi="宋体"/>
                <w:sz w:val="18"/>
                <w:szCs w:val="18"/>
              </w:rPr>
            </w:pPr>
            <w:r>
              <w:rPr>
                <w:rFonts w:hint="eastAsia" w:ascii="仿宋_GB2312" w:hAnsi="宋体"/>
                <w:sz w:val="18"/>
                <w:szCs w:val="18"/>
              </w:rPr>
              <w:t>全护理</w:t>
            </w:r>
          </w:p>
        </w:tc>
        <w:tc>
          <w:tcPr>
            <w:tcW w:w="3118" w:type="dxa"/>
            <w:shd w:val="clear" w:color="auto" w:fill="auto"/>
            <w:vAlign w:val="center"/>
          </w:tcPr>
          <w:p>
            <w:pPr>
              <w:spacing w:line="580" w:lineRule="exact"/>
              <w:ind w:firstLine="400" w:firstLineChars="200"/>
              <w:jc w:val="center"/>
              <w:rPr>
                <w:rFonts w:hint="eastAsia" w:ascii="仿宋_GB2312" w:hAnsi="宋体"/>
                <w:sz w:val="18"/>
                <w:szCs w:val="18"/>
              </w:rPr>
            </w:pPr>
            <w:r>
              <w:rPr>
                <w:rFonts w:hint="eastAsia" w:ascii="仿宋_GB2312" w:hAnsi="宋体"/>
                <w:sz w:val="18"/>
                <w:szCs w:val="18"/>
              </w:rPr>
              <w:t>1650=2200</w:t>
            </w:r>
            <w:r>
              <w:rPr>
                <w:rFonts w:hint="eastAsia" w:ascii="宋体" w:hAnsi="宋体" w:eastAsia="宋体" w:cs="宋体"/>
                <w:sz w:val="18"/>
                <w:szCs w:val="18"/>
              </w:rPr>
              <w:t>╳</w:t>
            </w:r>
            <w:r>
              <w:rPr>
                <w:rFonts w:hint="eastAsia" w:ascii="仿宋_GB2312" w:hAnsi="宋体"/>
                <w:sz w:val="18"/>
                <w:szCs w:val="18"/>
              </w:rPr>
              <w:t>75%</w:t>
            </w:r>
          </w:p>
        </w:tc>
        <w:tc>
          <w:tcPr>
            <w:tcW w:w="3311" w:type="dxa"/>
            <w:shd w:val="clear" w:color="auto" w:fill="auto"/>
            <w:vAlign w:val="top"/>
          </w:tcPr>
          <w:p>
            <w:pPr>
              <w:spacing w:line="580" w:lineRule="exact"/>
              <w:ind w:firstLine="400" w:firstLineChars="200"/>
              <w:jc w:val="center"/>
              <w:rPr>
                <w:rFonts w:hint="eastAsia" w:ascii="仿宋_GB2312" w:hAnsi="宋体"/>
                <w:sz w:val="18"/>
                <w:szCs w:val="18"/>
              </w:rPr>
            </w:pPr>
            <w:r>
              <w:rPr>
                <w:rFonts w:hint="eastAsia" w:ascii="仿宋_GB2312" w:hAnsi="宋体"/>
                <w:sz w:val="18"/>
                <w:szCs w:val="18"/>
              </w:rPr>
              <w:t>1320=2200</w:t>
            </w:r>
            <w:r>
              <w:rPr>
                <w:rFonts w:hint="eastAsia" w:ascii="宋体" w:hAnsi="宋体" w:eastAsia="宋体" w:cs="宋体"/>
                <w:sz w:val="18"/>
                <w:szCs w:val="18"/>
              </w:rPr>
              <w:t>╳</w:t>
            </w:r>
            <w:r>
              <w:rPr>
                <w:rFonts w:hint="eastAsia" w:ascii="仿宋_GB2312"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shd w:val="clear" w:color="auto" w:fill="auto"/>
            <w:vAlign w:val="center"/>
          </w:tcPr>
          <w:p>
            <w:pPr>
              <w:spacing w:line="580" w:lineRule="exact"/>
              <w:jc w:val="center"/>
              <w:rPr>
                <w:rFonts w:hint="eastAsia" w:ascii="仿宋_GB2312" w:hAnsi="宋体"/>
                <w:sz w:val="18"/>
                <w:szCs w:val="18"/>
              </w:rPr>
            </w:pPr>
            <w:r>
              <w:rPr>
                <w:rFonts w:hint="eastAsia" w:ascii="仿宋_GB2312" w:hAnsi="宋体"/>
                <w:sz w:val="18"/>
                <w:szCs w:val="18"/>
              </w:rPr>
              <w:t>半自理/半失能</w:t>
            </w:r>
          </w:p>
        </w:tc>
        <w:tc>
          <w:tcPr>
            <w:tcW w:w="3118" w:type="dxa"/>
            <w:shd w:val="clear" w:color="auto" w:fill="auto"/>
            <w:vAlign w:val="center"/>
          </w:tcPr>
          <w:p>
            <w:pPr>
              <w:spacing w:line="580" w:lineRule="exact"/>
              <w:ind w:firstLine="400" w:firstLineChars="200"/>
              <w:jc w:val="center"/>
              <w:rPr>
                <w:rFonts w:hint="eastAsia" w:ascii="仿宋_GB2312" w:hAnsi="宋体"/>
                <w:sz w:val="18"/>
                <w:szCs w:val="18"/>
              </w:rPr>
            </w:pPr>
            <w:r>
              <w:rPr>
                <w:rFonts w:hint="eastAsia" w:ascii="仿宋_GB2312" w:hAnsi="宋体"/>
                <w:sz w:val="18"/>
                <w:szCs w:val="18"/>
              </w:rPr>
              <w:t>1100=2200</w:t>
            </w:r>
            <w:r>
              <w:rPr>
                <w:rFonts w:hint="eastAsia" w:ascii="宋体" w:hAnsi="宋体" w:eastAsia="宋体" w:cs="宋体"/>
                <w:sz w:val="18"/>
                <w:szCs w:val="18"/>
              </w:rPr>
              <w:t>╳</w:t>
            </w:r>
            <w:r>
              <w:rPr>
                <w:rFonts w:hint="eastAsia" w:ascii="仿宋_GB2312" w:hAnsi="宋体"/>
                <w:sz w:val="18"/>
                <w:szCs w:val="18"/>
              </w:rPr>
              <w:t>50%</w:t>
            </w:r>
          </w:p>
        </w:tc>
        <w:tc>
          <w:tcPr>
            <w:tcW w:w="3311" w:type="dxa"/>
            <w:shd w:val="clear" w:color="auto" w:fill="auto"/>
            <w:vAlign w:val="top"/>
          </w:tcPr>
          <w:p>
            <w:pPr>
              <w:spacing w:line="580" w:lineRule="exact"/>
              <w:ind w:firstLine="400" w:firstLineChars="200"/>
              <w:jc w:val="center"/>
              <w:rPr>
                <w:rFonts w:hint="eastAsia" w:ascii="仿宋_GB2312" w:hAnsi="宋体"/>
                <w:sz w:val="18"/>
                <w:szCs w:val="18"/>
              </w:rPr>
            </w:pPr>
            <w:r>
              <w:rPr>
                <w:rFonts w:hint="eastAsia" w:ascii="仿宋_GB2312" w:hAnsi="宋体"/>
                <w:sz w:val="18"/>
                <w:szCs w:val="18"/>
              </w:rPr>
              <w:t>660=2200</w:t>
            </w:r>
            <w:r>
              <w:rPr>
                <w:rFonts w:hint="eastAsia" w:ascii="宋体" w:hAnsi="宋体" w:eastAsia="宋体" w:cs="宋体"/>
                <w:sz w:val="18"/>
                <w:szCs w:val="18"/>
              </w:rPr>
              <w:t>╳</w:t>
            </w:r>
            <w:r>
              <w:rPr>
                <w:rFonts w:hint="eastAsia" w:ascii="仿宋_GB2312" w:hAnsi="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shd w:val="clear" w:color="auto" w:fill="auto"/>
            <w:vAlign w:val="center"/>
          </w:tcPr>
          <w:p>
            <w:pPr>
              <w:spacing w:line="580" w:lineRule="exact"/>
              <w:jc w:val="center"/>
              <w:rPr>
                <w:rFonts w:hint="eastAsia" w:ascii="仿宋_GB2312" w:hAnsi="宋体"/>
                <w:sz w:val="18"/>
                <w:szCs w:val="18"/>
              </w:rPr>
            </w:pPr>
            <w:r>
              <w:rPr>
                <w:rFonts w:hint="eastAsia" w:ascii="仿宋_GB2312" w:hAnsi="宋体"/>
                <w:sz w:val="18"/>
                <w:szCs w:val="18"/>
              </w:rPr>
              <w:t>全自理</w:t>
            </w:r>
          </w:p>
        </w:tc>
        <w:tc>
          <w:tcPr>
            <w:tcW w:w="3118" w:type="dxa"/>
            <w:shd w:val="clear" w:color="auto" w:fill="auto"/>
            <w:vAlign w:val="center"/>
          </w:tcPr>
          <w:p>
            <w:pPr>
              <w:spacing w:line="580" w:lineRule="exact"/>
              <w:ind w:firstLine="400" w:firstLineChars="200"/>
              <w:jc w:val="center"/>
              <w:rPr>
                <w:rFonts w:hint="eastAsia" w:ascii="仿宋_GB2312" w:hAnsi="宋体"/>
                <w:sz w:val="18"/>
                <w:szCs w:val="18"/>
              </w:rPr>
            </w:pPr>
            <w:r>
              <w:rPr>
                <w:rFonts w:hint="eastAsia" w:ascii="仿宋_GB2312" w:hAnsi="宋体"/>
                <w:sz w:val="18"/>
                <w:szCs w:val="18"/>
              </w:rPr>
              <w:t>620=2200</w:t>
            </w:r>
            <w:r>
              <w:rPr>
                <w:rFonts w:hint="eastAsia" w:ascii="宋体" w:hAnsi="宋体" w:eastAsia="宋体" w:cs="宋体"/>
                <w:sz w:val="18"/>
                <w:szCs w:val="18"/>
              </w:rPr>
              <w:t>╳</w:t>
            </w:r>
            <w:r>
              <w:rPr>
                <w:rFonts w:hint="eastAsia" w:ascii="仿宋_GB2312" w:hAnsi="宋体"/>
                <w:sz w:val="18"/>
                <w:szCs w:val="18"/>
              </w:rPr>
              <w:t>28%</w:t>
            </w:r>
          </w:p>
        </w:tc>
        <w:tc>
          <w:tcPr>
            <w:tcW w:w="3311" w:type="dxa"/>
            <w:shd w:val="clear" w:color="auto" w:fill="auto"/>
            <w:vAlign w:val="top"/>
          </w:tcPr>
          <w:p>
            <w:pPr>
              <w:spacing w:line="580" w:lineRule="exact"/>
              <w:ind w:firstLine="400" w:firstLineChars="200"/>
              <w:jc w:val="center"/>
              <w:rPr>
                <w:rFonts w:hint="eastAsia" w:ascii="仿宋_GB2312" w:hAnsi="宋体"/>
                <w:sz w:val="18"/>
                <w:szCs w:val="18"/>
              </w:rPr>
            </w:pPr>
            <w:r>
              <w:rPr>
                <w:rFonts w:hint="eastAsia" w:ascii="仿宋_GB2312" w:hAnsi="宋体"/>
                <w:sz w:val="18"/>
                <w:szCs w:val="18"/>
              </w:rPr>
              <w:t>44=2200</w:t>
            </w:r>
            <w:r>
              <w:rPr>
                <w:rFonts w:hint="eastAsia" w:ascii="宋体" w:hAnsi="宋体" w:eastAsia="宋体" w:cs="宋体"/>
                <w:sz w:val="18"/>
                <w:szCs w:val="18"/>
              </w:rPr>
              <w:t>╳</w:t>
            </w:r>
            <w:r>
              <w:rPr>
                <w:rFonts w:hint="eastAsia" w:ascii="仿宋_GB2312" w:hAnsi="宋体"/>
                <w:sz w:val="18"/>
                <w:szCs w:val="18"/>
              </w:rPr>
              <w:t>2%</w:t>
            </w:r>
          </w:p>
        </w:tc>
      </w:tr>
    </w:tbl>
    <w:p>
      <w:pPr>
        <w:spacing w:line="580" w:lineRule="exact"/>
        <w:ind w:firstLine="680" w:firstLineChars="200"/>
        <w:rPr>
          <w:rFonts w:hint="eastAsia" w:ascii="仿宋_GB2312" w:hAnsi="仿宋"/>
          <w:szCs w:val="32"/>
        </w:rPr>
      </w:pPr>
      <w:r>
        <w:rPr>
          <w:rFonts w:hint="eastAsia" w:ascii="仿宋_GB2312" w:hAnsi="仿宋"/>
          <w:szCs w:val="32"/>
        </w:rPr>
        <w:t>从表1可以看到，如按《省通知》要求，特困人员全自理护理标准按照不低于当地最低工资标准的2%确定，我市目前最低工资2200元/月测算，则全自理的特困人员护理标准仅为每月44元。按照家政服务市场收费标准，44元仅能获得约2小时清洁服务，特困人员无法在一个月内获得多次照料护理服务，因此建议提高全自理特困人员护理标准，采用公办公营养老院的老人全自理标准，确保集中供养及分散供养的特困人员都能享受妥善的护理照料服务。</w:t>
      </w:r>
    </w:p>
    <w:p>
      <w:pPr>
        <w:spacing w:line="580" w:lineRule="exact"/>
        <w:ind w:firstLine="680" w:firstLineChars="200"/>
        <w:rPr>
          <w:rFonts w:hint="eastAsia" w:ascii="仿宋_GB2312" w:hAnsi="仿宋_GB2312" w:cs="仿宋_GB2312"/>
          <w:szCs w:val="32"/>
        </w:rPr>
      </w:pPr>
      <w:r>
        <w:rPr>
          <w:rFonts w:hint="eastAsia" w:ascii="仿宋_GB2312" w:hAnsi="仿宋"/>
          <w:szCs w:val="32"/>
        </w:rPr>
        <w:t>（四）本通知明确了特困人员护理标准的动态调整机制，确保可落实《省通知》要求。同时，如</w:t>
      </w:r>
      <w:r>
        <w:rPr>
          <w:rFonts w:hint="eastAsia" w:ascii="仿宋_GB2312" w:hAnsi="仿宋_GB2312" w:cs="仿宋_GB2312"/>
          <w:szCs w:val="32"/>
        </w:rPr>
        <w:t>我市公办公营养老机构护理费出现调整，特困人员护理标准亦同步调整。</w:t>
      </w:r>
    </w:p>
    <w:p>
      <w:pPr>
        <w:spacing w:line="580" w:lineRule="exact"/>
        <w:ind w:firstLine="680" w:firstLineChars="200"/>
        <w:rPr>
          <w:rFonts w:hint="eastAsia" w:ascii="黑体" w:hAnsi="黑体" w:eastAsia="黑体" w:cs="仿宋_GB2312"/>
          <w:kern w:val="0"/>
          <w:szCs w:val="32"/>
          <w:lang w:bidi="en-US"/>
        </w:rPr>
      </w:pPr>
      <w:r>
        <w:rPr>
          <w:rFonts w:hint="eastAsia" w:ascii="黑体" w:hAnsi="黑体" w:eastAsia="黑体" w:cs="仿宋_GB2312"/>
          <w:kern w:val="0"/>
          <w:szCs w:val="32"/>
          <w:lang w:bidi="en-US"/>
        </w:rPr>
        <w:t>三、实施时间</w:t>
      </w:r>
    </w:p>
    <w:p>
      <w:pPr>
        <w:spacing w:line="580" w:lineRule="exact"/>
        <w:ind w:firstLine="680" w:firstLineChars="200"/>
        <w:rPr>
          <w:rFonts w:hint="eastAsia" w:ascii="仿宋_GB2312" w:hAnsi="仿宋"/>
          <w:szCs w:val="32"/>
        </w:rPr>
      </w:pPr>
      <w:r>
        <w:rPr>
          <w:rFonts w:hint="eastAsia" w:ascii="仿宋_GB2312" w:hAnsi="仿宋"/>
          <w:szCs w:val="32"/>
        </w:rPr>
        <w:t>为贯彻落实《实施办法》，建议特困人员护理标准与《实施办法》同时生效，即2018年2月1日开始实施，以确保特困人员可同时获得照料护理费用。</w:t>
      </w:r>
    </w:p>
    <w:p>
      <w:pPr>
        <w:spacing w:line="580" w:lineRule="exact"/>
        <w:ind w:firstLine="680" w:firstLineChars="200"/>
        <w:rPr>
          <w:rFonts w:hint="eastAsia" w:ascii="仿宋_GB2312" w:hAnsi="仿宋" w:cs="仿宋"/>
          <w:color w:val="000000"/>
          <w:szCs w:val="32"/>
        </w:rPr>
      </w:pPr>
      <w:r>
        <w:rPr>
          <w:rFonts w:hint="eastAsia" w:ascii="仿宋_GB2312" w:hAnsi="仿宋"/>
          <w:szCs w:val="32"/>
        </w:rPr>
        <w:t>特此说明。</w:t>
      </w:r>
    </w:p>
    <w:p>
      <w:pPr>
        <w:spacing w:line="580" w:lineRule="exact"/>
        <w:rPr>
          <w:rFonts w:hint="eastAsia" w:ascii="仿宋_GB2312"/>
        </w:rPr>
      </w:pPr>
    </w:p>
    <w:p>
      <w:pPr>
        <w:spacing w:line="580" w:lineRule="exact"/>
        <w:rPr>
          <w:rFonts w:hint="eastAsia" w:ascii="仿宋_GB2312"/>
        </w:rPr>
      </w:pPr>
    </w:p>
    <w:p>
      <w:pPr>
        <w:spacing w:line="580" w:lineRule="exact"/>
        <w:rPr>
          <w:rFonts w:hint="eastAsia" w:ascii="仿宋_GB231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2B514"/>
    <w:multiLevelType w:val="singleLevel"/>
    <w:tmpl w:val="5992B51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B693F"/>
    <w:rsid w:val="5A7B6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2018-09-30T09:33:00Z</dcterms:created>
  <dc:creator>好饭友</dc:creator>
  <cp:lastModifiedBy>好饭友</cp:lastModifiedBy>
  <dcterms:modified xsi:type="dcterms:W3CDTF">2018-09-30T09:33:36Z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