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hint="eastAsia" w:ascii="宋体" w:hAnsi="宋体"/>
          <w:sz w:val="24"/>
          <w:szCs w:val="24"/>
        </w:rPr>
      </w:pPr>
      <w:r>
        <w:rPr>
          <w:rFonts w:hint="eastAsia" w:ascii="宋体" w:hAnsi="宋体"/>
          <w:sz w:val="24"/>
          <w:szCs w:val="24"/>
        </w:rPr>
        <w:t>附件</w:t>
      </w:r>
      <w:bookmarkStart w:id="0" w:name="_GoBack"/>
      <w:bookmarkEnd w:id="0"/>
    </w:p>
    <w:p>
      <w:pPr>
        <w:spacing w:after="120" w:afterLines="50" w:line="0" w:lineRule="atLeast"/>
        <w:jc w:val="center"/>
        <w:rPr>
          <w:rFonts w:hint="eastAsia" w:ascii="宋体" w:hAnsi="宋体"/>
          <w:sz w:val="36"/>
          <w:szCs w:val="36"/>
        </w:rPr>
      </w:pPr>
      <w:r>
        <w:rPr>
          <w:rFonts w:hint="eastAsia" w:ascii="宋体" w:hAnsi="宋体"/>
          <w:sz w:val="36"/>
          <w:szCs w:val="36"/>
        </w:rPr>
        <w:t>清理规范市直部门行政职权涉及中介服务事项目录（第三批）</w:t>
      </w:r>
    </w:p>
    <w:tbl>
      <w:tblPr>
        <w:tblStyle w:val="7"/>
        <w:tblW w:w="13194" w:type="dxa"/>
        <w:jc w:val="center"/>
        <w:tblInd w:w="0" w:type="dxa"/>
        <w:tblLayout w:type="fixed"/>
        <w:tblCellMar>
          <w:top w:w="0" w:type="dxa"/>
          <w:left w:w="108" w:type="dxa"/>
          <w:bottom w:w="0" w:type="dxa"/>
          <w:right w:w="108" w:type="dxa"/>
        </w:tblCellMar>
      </w:tblPr>
      <w:tblGrid>
        <w:gridCol w:w="561"/>
        <w:gridCol w:w="1406"/>
        <w:gridCol w:w="1814"/>
        <w:gridCol w:w="2000"/>
        <w:gridCol w:w="2700"/>
        <w:gridCol w:w="1816"/>
        <w:gridCol w:w="2897"/>
      </w:tblGrid>
      <w:tr>
        <w:tblPrEx>
          <w:tblLayout w:type="fixed"/>
          <w:tblCellMar>
            <w:top w:w="0" w:type="dxa"/>
            <w:left w:w="108" w:type="dxa"/>
            <w:bottom w:w="0" w:type="dxa"/>
            <w:right w:w="108" w:type="dxa"/>
          </w:tblCellMar>
        </w:tblPrEx>
        <w:trPr>
          <w:trHeight w:val="284" w:hRule="atLeast"/>
          <w:tblHeader/>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序号</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行政职权</w:t>
            </w:r>
          </w:p>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实施部门</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行政职权</w:t>
            </w:r>
          </w:p>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事项名称</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中介服务事项名称</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中介服务设定依据</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中介服务实施机构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清理决定</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6"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1</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bCs/>
                <w:kern w:val="0"/>
                <w:szCs w:val="21"/>
              </w:rPr>
            </w:pPr>
            <w:r>
              <w:rPr>
                <w:rFonts w:hint="eastAsia" w:ascii="宋体" w:hAnsi="宋体" w:cs="宋体"/>
                <w:bCs/>
                <w:kern w:val="0"/>
                <w:szCs w:val="21"/>
              </w:rPr>
              <w:t>市规划国土委</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0"/>
                <w:szCs w:val="21"/>
              </w:rPr>
            </w:pPr>
            <w:r>
              <w:rPr>
                <w:rFonts w:hint="eastAsia" w:ascii="宋体" w:hAnsi="宋体" w:cs="宋体"/>
                <w:kern w:val="0"/>
                <w:szCs w:val="21"/>
              </w:rPr>
              <w:t>房地产开发企业二级资质核准</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spacing w:val="-2"/>
                <w:kern w:val="21"/>
                <w:szCs w:val="21"/>
              </w:rPr>
            </w:pPr>
            <w:r>
              <w:rPr>
                <w:rFonts w:hint="eastAsia" w:ascii="宋体" w:hAnsi="宋体" w:cs="宋体"/>
                <w:spacing w:val="-2"/>
                <w:kern w:val="21"/>
                <w:szCs w:val="21"/>
              </w:rPr>
              <w:t>房地产开发企业二级资质申请人财务报告审计</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楷体_GB2312" w:hAnsi="宋体" w:eastAsia="楷体_GB2312" w:cs="宋体"/>
                <w:kern w:val="0"/>
                <w:szCs w:val="21"/>
              </w:rPr>
            </w:pPr>
            <w:r>
              <w:rPr>
                <w:rFonts w:hint="eastAsia" w:ascii="楷体_GB2312" w:hAnsi="宋体" w:eastAsia="楷体_GB2312" w:cs="宋体"/>
                <w:kern w:val="0"/>
                <w:szCs w:val="21"/>
              </w:rPr>
              <w:t>注：审批工作中要求申请人提供企业上一年度财务审计报告</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0"/>
                <w:szCs w:val="21"/>
              </w:rPr>
            </w:pPr>
            <w:r>
              <w:rPr>
                <w:rFonts w:hint="eastAsia" w:ascii="宋体" w:hAnsi="宋体" w:cs="宋体"/>
                <w:kern w:val="0"/>
                <w:szCs w:val="21"/>
              </w:rPr>
              <w:t>会计师事务所或审计事务所及其他具有相关资格的审计机构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0"/>
                <w:szCs w:val="21"/>
              </w:rPr>
            </w:pPr>
            <w:r>
              <w:rPr>
                <w:rFonts w:hint="eastAsia" w:ascii="宋体" w:hAnsi="宋体" w:cs="宋体"/>
                <w:kern w:val="0"/>
                <w:szCs w:val="21"/>
              </w:rPr>
              <w:t>不再要求申请人提供经审计的财务报告</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6"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2</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bCs/>
                <w:kern w:val="0"/>
                <w:szCs w:val="21"/>
              </w:rPr>
            </w:pPr>
            <w:r>
              <w:rPr>
                <w:rFonts w:hint="eastAsia" w:ascii="宋体" w:hAnsi="宋体" w:cs="宋体"/>
                <w:bCs/>
                <w:kern w:val="0"/>
                <w:szCs w:val="21"/>
              </w:rPr>
              <w:t>市规划国土委</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ascii="宋体" w:hAnsi="宋体" w:cs="宋体"/>
                <w:kern w:val="0"/>
                <w:szCs w:val="21"/>
              </w:rPr>
            </w:pPr>
            <w:r>
              <w:rPr>
                <w:rFonts w:hint="eastAsia" w:ascii="宋体" w:hAnsi="宋体" w:cs="宋体"/>
                <w:kern w:val="0"/>
                <w:szCs w:val="21"/>
              </w:rPr>
              <w:t>海洋观测站（点）的设立和调整审批</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6" w:lineRule="exact"/>
              <w:ind w:left="-42" w:leftChars="-20" w:right="-42" w:rightChars="-20"/>
              <w:rPr>
                <w:rFonts w:ascii="宋体" w:hAnsi="宋体" w:cs="宋体"/>
                <w:spacing w:val="-2"/>
                <w:kern w:val="21"/>
                <w:szCs w:val="21"/>
              </w:rPr>
            </w:pPr>
            <w:r>
              <w:rPr>
                <w:rFonts w:hint="eastAsia" w:ascii="宋体" w:hAnsi="宋体" w:cs="宋体"/>
                <w:spacing w:val="-2"/>
                <w:kern w:val="21"/>
                <w:szCs w:val="21"/>
              </w:rPr>
              <w:t>海洋观测站（点）选址论证材料的专家评审</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楷体_GB2312" w:hAnsi="宋体" w:eastAsia="楷体_GB2312" w:cs="宋体"/>
                <w:kern w:val="0"/>
                <w:szCs w:val="21"/>
              </w:rPr>
            </w:pPr>
            <w:r>
              <w:rPr>
                <w:rFonts w:hint="eastAsia" w:ascii="楷体_GB2312" w:hAnsi="宋体" w:eastAsia="楷体_GB2312" w:cs="宋体"/>
                <w:kern w:val="0"/>
                <w:szCs w:val="21"/>
              </w:rPr>
              <w:t>注：审批工作中要求申请人委托专家出具对海洋观测站（点）选址论证材料的评审意见</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ascii="宋体" w:hAnsi="宋体" w:cs="宋体"/>
                <w:kern w:val="0"/>
                <w:szCs w:val="21"/>
              </w:rPr>
            </w:pPr>
            <w:r>
              <w:rPr>
                <w:rFonts w:hint="eastAsia" w:ascii="宋体" w:hAnsi="宋体" w:cs="宋体"/>
                <w:kern w:val="0"/>
                <w:szCs w:val="21"/>
              </w:rPr>
              <w:t>相关领域专家</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ascii="宋体" w:hAnsi="宋体" w:cs="宋体"/>
                <w:kern w:val="0"/>
                <w:szCs w:val="21"/>
              </w:rPr>
            </w:pPr>
            <w:r>
              <w:rPr>
                <w:rFonts w:hint="eastAsia" w:ascii="宋体" w:hAnsi="宋体" w:cs="宋体"/>
                <w:kern w:val="0"/>
                <w:szCs w:val="21"/>
              </w:rPr>
              <w:t>不再要求申请人提供选址论证材料的专家评审意见；改由实施部门根据工作需要委托有关机构或专家开展技术评审工作</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6"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3</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bCs/>
                <w:kern w:val="0"/>
                <w:szCs w:val="21"/>
              </w:rPr>
            </w:pPr>
            <w:r>
              <w:rPr>
                <w:rFonts w:hint="eastAsia" w:ascii="宋体" w:hAnsi="宋体" w:cs="宋体"/>
                <w:bCs/>
                <w:kern w:val="0"/>
                <w:szCs w:val="21"/>
              </w:rPr>
              <w:t>市规划国土委</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ascii="宋体" w:hAnsi="宋体" w:cs="宋体"/>
                <w:kern w:val="21"/>
                <w:szCs w:val="21"/>
              </w:rPr>
            </w:pPr>
            <w:r>
              <w:rPr>
                <w:rFonts w:hint="eastAsia" w:ascii="宋体" w:hAnsi="宋体" w:cs="宋体"/>
                <w:kern w:val="21"/>
                <w:szCs w:val="21"/>
              </w:rPr>
              <w:t>采矿许可证补证</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6" w:lineRule="exact"/>
              <w:ind w:left="-42" w:leftChars="-20" w:right="-42" w:rightChars="-20"/>
              <w:rPr>
                <w:rFonts w:ascii="宋体" w:hAnsi="宋体" w:cs="宋体"/>
                <w:spacing w:val="-2"/>
                <w:kern w:val="21"/>
                <w:szCs w:val="21"/>
              </w:rPr>
            </w:pPr>
            <w:r>
              <w:rPr>
                <w:rFonts w:hint="eastAsia" w:ascii="宋体" w:hAnsi="宋体" w:cs="宋体"/>
                <w:spacing w:val="-2"/>
                <w:kern w:val="21"/>
                <w:szCs w:val="21"/>
              </w:rPr>
              <w:t>采矿许可证遗失声明</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ascii="宋体" w:hAnsi="宋体" w:cs="宋体"/>
                <w:kern w:val="21"/>
                <w:szCs w:val="21"/>
              </w:rPr>
            </w:pPr>
            <w:r>
              <w:rPr>
                <w:rFonts w:hint="eastAsia" w:ascii="宋体" w:hAnsi="宋体" w:cs="宋体"/>
                <w:kern w:val="21"/>
                <w:szCs w:val="21"/>
              </w:rPr>
              <w:t>《国土资源部关于进一步完善采矿权登记管理有关问题的通知》（国土资发〔2011〕14号</w:t>
            </w:r>
            <w:r>
              <w:rPr>
                <w:rFonts w:ascii="宋体" w:hAnsi="宋体" w:cs="宋体"/>
                <w:kern w:val="21"/>
                <w:szCs w:val="21"/>
              </w:rPr>
              <w:t>）</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ascii="宋体" w:hAnsi="宋体" w:cs="宋体"/>
                <w:kern w:val="21"/>
                <w:szCs w:val="21"/>
              </w:rPr>
            </w:pPr>
            <w:r>
              <w:rPr>
                <w:rFonts w:hint="eastAsia" w:ascii="宋体" w:hAnsi="宋体" w:cs="宋体"/>
                <w:kern w:val="21"/>
                <w:szCs w:val="21"/>
              </w:rPr>
              <w:t>登记机关所在地的主流媒体</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ascii="宋体" w:hAnsi="宋体" w:cs="宋体"/>
                <w:kern w:val="21"/>
                <w:szCs w:val="21"/>
              </w:rPr>
            </w:pPr>
            <w:r>
              <w:rPr>
                <w:rFonts w:hint="eastAsia" w:ascii="宋体" w:hAnsi="宋体" w:cs="宋体"/>
                <w:kern w:val="21"/>
                <w:szCs w:val="21"/>
              </w:rPr>
              <w:t>对采矿许可证遗失或损毁申请补发的，不再要求申请人委托媒体刊登遗失声明</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6"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4</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bCs/>
                <w:kern w:val="0"/>
                <w:szCs w:val="21"/>
              </w:rPr>
            </w:pPr>
            <w:r>
              <w:rPr>
                <w:rFonts w:hint="eastAsia" w:ascii="宋体" w:hAnsi="宋体" w:cs="宋体"/>
                <w:bCs/>
                <w:kern w:val="0"/>
                <w:szCs w:val="21"/>
              </w:rPr>
              <w:t>市市场和质量监管委</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特种设备作业人员考核</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spacing w:val="-2"/>
                <w:kern w:val="21"/>
                <w:szCs w:val="21"/>
              </w:rPr>
            </w:pPr>
            <w:r>
              <w:rPr>
                <w:rFonts w:hint="eastAsia" w:ascii="宋体" w:hAnsi="宋体" w:cs="宋体"/>
                <w:spacing w:val="-2"/>
                <w:kern w:val="21"/>
                <w:szCs w:val="21"/>
              </w:rPr>
              <w:t>特种设备作业人员考试</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《特种设备安全监察条例》；《特种设备检验人员考核规则》（TSGZ8002-2013）</w:t>
            </w:r>
          </w:p>
          <w:p>
            <w:pPr>
              <w:spacing w:line="266" w:lineRule="exact"/>
              <w:ind w:left="-42" w:leftChars="-20" w:right="-42" w:rightChars="-20"/>
              <w:rPr>
                <w:rFonts w:hint="eastAsia" w:ascii="宋体" w:hAnsi="宋体" w:cs="宋体"/>
                <w:spacing w:val="-4"/>
                <w:kern w:val="21"/>
                <w:szCs w:val="21"/>
              </w:rPr>
            </w:pPr>
            <w:r>
              <w:rPr>
                <w:rFonts w:hint="eastAsia" w:ascii="楷体_GB2312" w:hAnsi="宋体" w:eastAsia="楷体_GB2312" w:cs="宋体"/>
                <w:spacing w:val="-4"/>
                <w:kern w:val="21"/>
                <w:szCs w:val="21"/>
              </w:rPr>
              <w:t>注：审批工作中要求申请人委</w:t>
            </w:r>
            <w:r>
              <w:rPr>
                <w:rFonts w:hint="eastAsia" w:ascii="楷体_GB2312" w:hAnsi="宋体" w:eastAsia="楷体_GB2312" w:cs="宋体"/>
                <w:spacing w:val="-7"/>
                <w:kern w:val="21"/>
                <w:szCs w:val="21"/>
              </w:rPr>
              <w:t>托有关考试机构提供考试服务</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省质监局公布的考试机构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不再要求申请人委托有关机构提供考试服务；改由实施部门委托有关机构对申请人进行考试</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6"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5</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bCs/>
                <w:kern w:val="0"/>
                <w:szCs w:val="21"/>
              </w:rPr>
            </w:pPr>
            <w:r>
              <w:rPr>
                <w:rFonts w:hint="eastAsia" w:ascii="宋体" w:hAnsi="宋体" w:cs="宋体"/>
                <w:bCs/>
                <w:kern w:val="0"/>
                <w:szCs w:val="21"/>
              </w:rPr>
              <w:t>市市场和质量监管委</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特种设备作业人员考核</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spacing w:val="-2"/>
                <w:kern w:val="21"/>
                <w:szCs w:val="21"/>
              </w:rPr>
            </w:pPr>
            <w:r>
              <w:rPr>
                <w:rFonts w:hint="eastAsia" w:ascii="宋体" w:hAnsi="宋体" w:cs="宋体"/>
                <w:spacing w:val="-2"/>
                <w:kern w:val="21"/>
                <w:szCs w:val="21"/>
              </w:rPr>
              <w:t>特种设备作业人员资格许可证件补办声明</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《质量监督检验检疫行政许可实施办法》（质检总局令第149号）</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公开发行的报刊</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对特种设备作业人员资格许可证件遗失或损毁申请补办的，不再要求申请人提供补办声明</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6"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6</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bCs/>
                <w:kern w:val="0"/>
                <w:szCs w:val="21"/>
              </w:rPr>
            </w:pPr>
            <w:r>
              <w:rPr>
                <w:rFonts w:hint="eastAsia" w:ascii="宋体" w:hAnsi="宋体" w:cs="宋体"/>
                <w:bCs/>
                <w:kern w:val="0"/>
                <w:szCs w:val="21"/>
              </w:rPr>
              <w:t>市市场和质量监管委</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气瓶、移动式压力容器充装单位许可</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spacing w:val="-2"/>
                <w:kern w:val="21"/>
                <w:szCs w:val="21"/>
              </w:rPr>
            </w:pPr>
            <w:r>
              <w:rPr>
                <w:rFonts w:hint="eastAsia" w:ascii="宋体" w:hAnsi="宋体" w:cs="宋体"/>
                <w:spacing w:val="-2"/>
                <w:kern w:val="21"/>
                <w:szCs w:val="21"/>
              </w:rPr>
              <w:t>气瓶、移动式压力容器充装单位许可证件补办声明</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《质量监督检验检疫行政许可实施办法》（质检总局令第149号）</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公开发行的报刊</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对气瓶、移动式压力容器充装单位许可证件遗失或损毁申请补办的，不再要求申请人提供补办声明</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6"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7</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bCs/>
                <w:kern w:val="0"/>
                <w:szCs w:val="21"/>
              </w:rPr>
            </w:pPr>
            <w:r>
              <w:rPr>
                <w:rFonts w:hint="eastAsia" w:ascii="宋体" w:hAnsi="宋体" w:cs="宋体"/>
                <w:bCs/>
                <w:kern w:val="0"/>
                <w:szCs w:val="21"/>
              </w:rPr>
              <w:t>市市场和质量监管委</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工业产品生产许可证核发</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spacing w:val="-2"/>
                <w:kern w:val="21"/>
                <w:szCs w:val="21"/>
              </w:rPr>
            </w:pPr>
            <w:r>
              <w:rPr>
                <w:rFonts w:hint="eastAsia" w:ascii="宋体" w:hAnsi="宋体" w:cs="宋体"/>
                <w:spacing w:val="-2"/>
                <w:kern w:val="21"/>
                <w:szCs w:val="21"/>
              </w:rPr>
              <w:t>重要工业产品生产许可证件补办声明</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《质量监督检验检疫行政许可实施办法》（质检总局令第149号）</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公开发行的报刊</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对重要工业产品生产许可证件遗失或损毁申请补办的，不再要求申请人提供补办声明</w:t>
            </w:r>
          </w:p>
        </w:tc>
      </w:tr>
    </w:tbl>
    <w:p>
      <w:pPr>
        <w:rPr>
          <w:rFonts w:hint="eastAsia"/>
        </w:rPr>
      </w:pPr>
    </w:p>
    <w:tbl>
      <w:tblPr>
        <w:tblStyle w:val="7"/>
        <w:tblW w:w="13194" w:type="dxa"/>
        <w:jc w:val="center"/>
        <w:tblInd w:w="0" w:type="dxa"/>
        <w:tblLayout w:type="fixed"/>
        <w:tblCellMar>
          <w:top w:w="0" w:type="dxa"/>
          <w:left w:w="108" w:type="dxa"/>
          <w:bottom w:w="0" w:type="dxa"/>
          <w:right w:w="108" w:type="dxa"/>
        </w:tblCellMar>
      </w:tblPr>
      <w:tblGrid>
        <w:gridCol w:w="561"/>
        <w:gridCol w:w="1406"/>
        <w:gridCol w:w="1814"/>
        <w:gridCol w:w="2000"/>
        <w:gridCol w:w="2700"/>
        <w:gridCol w:w="1816"/>
        <w:gridCol w:w="2897"/>
      </w:tblGrid>
      <w:tr>
        <w:tblPrEx>
          <w:tblLayout w:type="fixed"/>
          <w:tblCellMar>
            <w:top w:w="0" w:type="dxa"/>
            <w:left w:w="108" w:type="dxa"/>
            <w:bottom w:w="0" w:type="dxa"/>
            <w:right w:w="108" w:type="dxa"/>
          </w:tblCellMar>
        </w:tblPrEx>
        <w:trPr>
          <w:trHeight w:val="284" w:hRule="atLeast"/>
          <w:tblHeader/>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序号</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行政职权</w:t>
            </w:r>
          </w:p>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实施部门</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行政职权</w:t>
            </w:r>
          </w:p>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事项名称</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中介服务事项名称</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中介服务设定依据</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中介服务实施机构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清理决定</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8</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bCs/>
                <w:kern w:val="0"/>
                <w:szCs w:val="21"/>
              </w:rPr>
            </w:pPr>
            <w:r>
              <w:rPr>
                <w:rFonts w:hint="eastAsia" w:ascii="宋体" w:hAnsi="宋体" w:cs="宋体"/>
                <w:bCs/>
                <w:kern w:val="0"/>
                <w:szCs w:val="21"/>
              </w:rPr>
              <w:t>市市场和质量监管委</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计量标准器具核准</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spacing w:val="-2"/>
                <w:kern w:val="21"/>
                <w:szCs w:val="21"/>
              </w:rPr>
            </w:pPr>
            <w:r>
              <w:rPr>
                <w:rFonts w:hint="eastAsia" w:ascii="宋体" w:hAnsi="宋体" w:cs="宋体"/>
                <w:spacing w:val="-2"/>
                <w:kern w:val="21"/>
                <w:szCs w:val="21"/>
              </w:rPr>
              <w:t>计量标准器具核准许可证件补办声明</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21"/>
                <w:szCs w:val="21"/>
              </w:rPr>
            </w:pPr>
            <w:r>
              <w:rPr>
                <w:rFonts w:hint="eastAsia" w:ascii="宋体" w:hAnsi="宋体" w:cs="宋体"/>
                <w:kern w:val="21"/>
                <w:szCs w:val="21"/>
              </w:rPr>
              <w:t>《质量监督检验检疫行政许可实施办法》（质检总局令第149号）</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公开发行的报刊</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对计量标准器具核准许可证件遗失或损毁申请补办的，不再要求申请人提供补办声明</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9</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bCs/>
                <w:kern w:val="0"/>
                <w:szCs w:val="21"/>
              </w:rPr>
            </w:pPr>
            <w:r>
              <w:rPr>
                <w:rFonts w:hint="eastAsia" w:ascii="宋体" w:hAnsi="宋体" w:cs="宋体"/>
                <w:bCs/>
                <w:kern w:val="0"/>
                <w:szCs w:val="21"/>
              </w:rPr>
              <w:t>市市场和质量监管委</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气瓶、移动式压力容器充装单位许可</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spacing w:val="-2"/>
                <w:kern w:val="21"/>
                <w:szCs w:val="21"/>
              </w:rPr>
            </w:pPr>
            <w:r>
              <w:rPr>
                <w:rFonts w:hint="eastAsia" w:ascii="宋体" w:hAnsi="宋体" w:cs="宋体"/>
                <w:spacing w:val="-2"/>
                <w:kern w:val="21"/>
                <w:szCs w:val="21"/>
              </w:rPr>
              <w:t>气瓶、移动式压力容器充装条件鉴定评审</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21"/>
                <w:szCs w:val="21"/>
              </w:rPr>
            </w:pPr>
            <w:r>
              <w:rPr>
                <w:rFonts w:hint="eastAsia" w:ascii="宋体" w:hAnsi="宋体" w:cs="宋体"/>
                <w:kern w:val="21"/>
                <w:szCs w:val="21"/>
              </w:rPr>
              <w:t>《气瓶充装许可规则》（TSG R4001-2006）；《移动式压力容器充装许可规则》（TSG R4002-2011）</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国家质检总局公布的鉴定评审机构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不再要求申请人进行气瓶、移动式压力容器充装条件鉴定评审；改由实施部门委托有关机构开展气瓶、移动式压力容器充装条件鉴定评审</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10</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bCs/>
                <w:kern w:val="0"/>
                <w:szCs w:val="21"/>
              </w:rPr>
            </w:pPr>
            <w:r>
              <w:rPr>
                <w:rFonts w:hint="eastAsia" w:ascii="宋体" w:hAnsi="宋体" w:cs="宋体"/>
                <w:bCs/>
                <w:kern w:val="0"/>
                <w:szCs w:val="21"/>
              </w:rPr>
              <w:t>市交通运输委</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港区内港航设施使用岸线初审</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spacing w:val="-2"/>
                <w:kern w:val="21"/>
                <w:szCs w:val="21"/>
              </w:rPr>
            </w:pPr>
            <w:r>
              <w:rPr>
                <w:rFonts w:hint="eastAsia" w:ascii="宋体" w:hAnsi="宋体" w:cs="宋体"/>
                <w:spacing w:val="-2"/>
                <w:kern w:val="21"/>
                <w:szCs w:val="21"/>
              </w:rPr>
              <w:t>需要使用港口岸线建设项目工程可行性研究报告或项目申请报告编制</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21"/>
                <w:szCs w:val="21"/>
              </w:rPr>
            </w:pPr>
            <w:r>
              <w:rPr>
                <w:rFonts w:hint="eastAsia" w:ascii="宋体" w:hAnsi="宋体" w:cs="宋体"/>
                <w:kern w:val="21"/>
                <w:szCs w:val="21"/>
              </w:rPr>
              <w:t>《港口岸线使用审批管理办法》（交通运输部国家发展和改革委员会令2012年第6号）</w:t>
            </w:r>
          </w:p>
          <w:p>
            <w:pPr>
              <w:spacing w:line="300" w:lineRule="exact"/>
              <w:ind w:left="-42" w:leftChars="-20" w:right="-42" w:rightChars="-20"/>
              <w:rPr>
                <w:rFonts w:hint="eastAsia" w:ascii="宋体" w:hAnsi="宋体" w:cs="宋体"/>
                <w:kern w:val="21"/>
                <w:szCs w:val="21"/>
              </w:rPr>
            </w:pPr>
            <w:r>
              <w:rPr>
                <w:rFonts w:hint="eastAsia" w:ascii="楷体_GB2312" w:hAnsi="宋体" w:eastAsia="楷体_GB2312" w:cs="宋体"/>
                <w:kern w:val="21"/>
                <w:szCs w:val="21"/>
              </w:rPr>
              <w:t>注：审批工作中要求申请人提供具有资质的设计单位盖章的工程可行性研究报告或项目申请报告</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具备相应资质的水运行业工程设计或港口河海工程专业工程咨询单位</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申请人可按要求自行编制可行性研究报告或项目申请报告，也可委托有关机构编制；实施部门不得以任何形式要求申请人必须委托特定中介机构提供服务；保留实施部门现有的可行性研究报告或项目申请报告技术评估、评审</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11</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bCs/>
                <w:kern w:val="0"/>
                <w:szCs w:val="21"/>
              </w:rPr>
            </w:pPr>
            <w:r>
              <w:rPr>
                <w:rFonts w:hint="eastAsia" w:ascii="宋体" w:hAnsi="宋体" w:cs="宋体"/>
                <w:bCs/>
                <w:kern w:val="0"/>
                <w:szCs w:val="21"/>
              </w:rPr>
              <w:t>市卫生计生委</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消毒产品生产企业（一次性使用医疗用品的生产企业除外）卫生许可（延续）</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spacing w:val="-2"/>
                <w:kern w:val="21"/>
                <w:szCs w:val="21"/>
              </w:rPr>
            </w:pPr>
            <w:r>
              <w:rPr>
                <w:rFonts w:hint="eastAsia" w:ascii="宋体" w:hAnsi="宋体" w:cs="宋体"/>
                <w:spacing w:val="-2"/>
                <w:kern w:val="21"/>
                <w:szCs w:val="21"/>
              </w:rPr>
              <w:t>消毒产品生产企业生产人员健康证明</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21"/>
                <w:szCs w:val="21"/>
              </w:rPr>
            </w:pPr>
            <w:r>
              <w:rPr>
                <w:rFonts w:hint="eastAsia" w:ascii="宋体" w:hAnsi="宋体" w:cs="宋体"/>
                <w:kern w:val="21"/>
                <w:szCs w:val="21"/>
              </w:rPr>
              <w:t>《消毒管理办法》（卫生部令第27号）；</w:t>
            </w:r>
          </w:p>
          <w:p>
            <w:pPr>
              <w:spacing w:line="300" w:lineRule="exact"/>
              <w:ind w:left="-42" w:leftChars="-20" w:right="-42" w:rightChars="-20"/>
              <w:rPr>
                <w:rFonts w:hint="eastAsia" w:ascii="宋体" w:hAnsi="宋体" w:cs="宋体"/>
                <w:kern w:val="21"/>
                <w:szCs w:val="21"/>
              </w:rPr>
            </w:pPr>
            <w:r>
              <w:rPr>
                <w:rFonts w:hint="eastAsia" w:ascii="宋体" w:hAnsi="宋体" w:cs="宋体"/>
                <w:kern w:val="21"/>
                <w:szCs w:val="21"/>
              </w:rPr>
              <w:t>《消毒产品生产企业卫生许可规定》（卫监督发〔2009〕110号）</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医疗机构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对消毒产品生产企业需要依法延续取得的卫生许可证有效期的，不再要求申请人提供生产人员健康证明；改由实施部门制定标准，企业严格按标准执行，加强直接从事消毒产品操作人员的健康管理</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12</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bCs/>
                <w:kern w:val="0"/>
                <w:szCs w:val="21"/>
              </w:rPr>
            </w:pPr>
            <w:r>
              <w:rPr>
                <w:rFonts w:hint="eastAsia" w:ascii="宋体" w:hAnsi="宋体" w:cs="宋体"/>
                <w:bCs/>
                <w:kern w:val="0"/>
                <w:szCs w:val="21"/>
              </w:rPr>
              <w:t>市卫生计生委</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21"/>
                <w:szCs w:val="21"/>
              </w:rPr>
            </w:pPr>
            <w:r>
              <w:rPr>
                <w:rFonts w:hint="eastAsia" w:ascii="宋体" w:hAnsi="宋体" w:cs="宋体"/>
                <w:kern w:val="21"/>
                <w:szCs w:val="21"/>
              </w:rPr>
              <w:t>涉及饮用水卫生安全产品卫生许可（补办）</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spacing w:val="-2"/>
                <w:kern w:val="21"/>
                <w:szCs w:val="21"/>
              </w:rPr>
            </w:pPr>
            <w:r>
              <w:rPr>
                <w:rFonts w:hint="eastAsia" w:ascii="宋体" w:hAnsi="宋体" w:cs="宋体"/>
                <w:spacing w:val="-2"/>
                <w:kern w:val="21"/>
                <w:szCs w:val="21"/>
              </w:rPr>
              <w:t>涉及饮用水卫生安全的产品卫生许可证件遗失声明</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《省级涉及饮用水卫生安全产品卫生行政许可规定》（国卫办监督发〔2014〕63号）</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省级以上公开发行的报刊</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300" w:lineRule="exact"/>
              <w:ind w:left="-42" w:leftChars="-20" w:right="-42" w:rightChars="-20"/>
              <w:rPr>
                <w:rFonts w:hint="eastAsia" w:ascii="宋体" w:hAnsi="宋体" w:cs="宋体"/>
                <w:kern w:val="0"/>
                <w:szCs w:val="21"/>
              </w:rPr>
            </w:pPr>
            <w:r>
              <w:rPr>
                <w:rFonts w:hint="eastAsia" w:ascii="宋体" w:hAnsi="宋体" w:cs="宋体"/>
                <w:kern w:val="0"/>
                <w:szCs w:val="21"/>
              </w:rPr>
              <w:t>对涉水产品卫生许可证遗失申请补发的，不再要求申请人提供遗失声明</w:t>
            </w:r>
          </w:p>
        </w:tc>
      </w:tr>
    </w:tbl>
    <w:p>
      <w:pPr>
        <w:spacing w:line="240" w:lineRule="exact"/>
        <w:rPr>
          <w:rFonts w:hint="eastAsia"/>
        </w:rPr>
      </w:pPr>
    </w:p>
    <w:tbl>
      <w:tblPr>
        <w:tblStyle w:val="7"/>
        <w:tblW w:w="13194" w:type="dxa"/>
        <w:jc w:val="center"/>
        <w:tblInd w:w="0" w:type="dxa"/>
        <w:tblLayout w:type="fixed"/>
        <w:tblCellMar>
          <w:top w:w="0" w:type="dxa"/>
          <w:left w:w="108" w:type="dxa"/>
          <w:bottom w:w="0" w:type="dxa"/>
          <w:right w:w="108" w:type="dxa"/>
        </w:tblCellMar>
      </w:tblPr>
      <w:tblGrid>
        <w:gridCol w:w="561"/>
        <w:gridCol w:w="1406"/>
        <w:gridCol w:w="1814"/>
        <w:gridCol w:w="2000"/>
        <w:gridCol w:w="2700"/>
        <w:gridCol w:w="1816"/>
        <w:gridCol w:w="2897"/>
      </w:tblGrid>
      <w:tr>
        <w:tblPrEx>
          <w:tblLayout w:type="fixed"/>
          <w:tblCellMar>
            <w:top w:w="0" w:type="dxa"/>
            <w:left w:w="108" w:type="dxa"/>
            <w:bottom w:w="0" w:type="dxa"/>
            <w:right w:w="108" w:type="dxa"/>
          </w:tblCellMar>
        </w:tblPrEx>
        <w:trPr>
          <w:trHeight w:val="284" w:hRule="atLeast"/>
          <w:tblHeader/>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序号</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行政职权</w:t>
            </w:r>
          </w:p>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实施部门</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行政职权</w:t>
            </w:r>
          </w:p>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事项名称</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中介服务事项名称</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中介服务设定依据</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中介服务实施机构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清理决定</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13</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bCs/>
                <w:kern w:val="0"/>
                <w:szCs w:val="21"/>
              </w:rPr>
            </w:pPr>
            <w:r>
              <w:rPr>
                <w:rFonts w:hint="eastAsia" w:ascii="宋体" w:hAnsi="宋体" w:cs="宋体"/>
                <w:bCs/>
                <w:kern w:val="0"/>
                <w:szCs w:val="21"/>
              </w:rPr>
              <w:t>市卫生计生委</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kern w:val="0"/>
                <w:szCs w:val="21"/>
              </w:rPr>
            </w:pPr>
            <w:r>
              <w:rPr>
                <w:rFonts w:hint="eastAsia" w:ascii="宋体" w:hAnsi="宋体" w:cs="宋体"/>
                <w:kern w:val="0"/>
                <w:szCs w:val="21"/>
              </w:rPr>
              <w:t>消毒产品生产企业（一次性使用医疗用品的生产企业除</w:t>
            </w:r>
            <w:r>
              <w:rPr>
                <w:rFonts w:hint="eastAsia" w:ascii="宋体" w:hAnsi="宋体" w:cs="宋体"/>
                <w:spacing w:val="-10"/>
                <w:kern w:val="21"/>
                <w:szCs w:val="21"/>
              </w:rPr>
              <w:t>外）卫生许可（补办）</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spacing w:val="-4"/>
                <w:kern w:val="21"/>
                <w:szCs w:val="21"/>
              </w:rPr>
            </w:pPr>
            <w:r>
              <w:rPr>
                <w:rFonts w:hint="eastAsia" w:ascii="宋体" w:hAnsi="宋体" w:cs="宋体"/>
                <w:spacing w:val="-4"/>
                <w:kern w:val="21"/>
                <w:szCs w:val="21"/>
              </w:rPr>
              <w:t>消毒产品生产企业卫生许可证遗失声明</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kern w:val="21"/>
                <w:szCs w:val="21"/>
              </w:rPr>
            </w:pPr>
            <w:r>
              <w:rPr>
                <w:rFonts w:hint="eastAsia" w:ascii="宋体" w:hAnsi="宋体" w:cs="宋体"/>
                <w:kern w:val="21"/>
                <w:szCs w:val="21"/>
              </w:rPr>
              <w:t>《消毒产品生产企业卫生许可规定》（卫监督发〔2009〕110号）</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kern w:val="0"/>
                <w:szCs w:val="21"/>
              </w:rPr>
            </w:pPr>
            <w:r>
              <w:rPr>
                <w:rFonts w:hint="eastAsia" w:ascii="宋体" w:hAnsi="宋体" w:cs="宋体"/>
                <w:kern w:val="0"/>
                <w:szCs w:val="21"/>
              </w:rPr>
              <w:t>省级以上公开发行的报刊</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kern w:val="0"/>
                <w:szCs w:val="21"/>
              </w:rPr>
            </w:pPr>
            <w:r>
              <w:rPr>
                <w:rFonts w:hint="eastAsia" w:ascii="宋体" w:hAnsi="宋体" w:cs="宋体"/>
                <w:kern w:val="0"/>
                <w:szCs w:val="21"/>
              </w:rPr>
              <w:t>对消毒产品生产企业卫生许可证遗失申请补发的，不再要求申请人提供遗失声明</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14</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bCs/>
                <w:kern w:val="0"/>
                <w:szCs w:val="21"/>
              </w:rPr>
            </w:pPr>
            <w:r>
              <w:rPr>
                <w:rFonts w:hint="eastAsia" w:ascii="宋体" w:hAnsi="宋体" w:cs="宋体"/>
                <w:bCs/>
                <w:kern w:val="0"/>
                <w:szCs w:val="21"/>
              </w:rPr>
              <w:t>市教育局</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kern w:val="0"/>
                <w:szCs w:val="21"/>
              </w:rPr>
            </w:pPr>
            <w:r>
              <w:rPr>
                <w:rFonts w:hint="eastAsia" w:ascii="宋体" w:hAnsi="宋体" w:cs="宋体"/>
                <w:kern w:val="0"/>
                <w:szCs w:val="21"/>
              </w:rPr>
              <w:t>教师资格认定</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spacing w:val="-4"/>
                <w:kern w:val="21"/>
                <w:szCs w:val="21"/>
              </w:rPr>
            </w:pPr>
            <w:r>
              <w:rPr>
                <w:rFonts w:hint="eastAsia" w:ascii="宋体" w:hAnsi="宋体" w:cs="宋体"/>
                <w:spacing w:val="-4"/>
                <w:kern w:val="21"/>
                <w:szCs w:val="21"/>
              </w:rPr>
              <w:t>民办学校教师和公办学校编外长期聘用教师人事代理证明</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楷体_GB2312" w:hAnsi="宋体" w:eastAsia="楷体_GB2312" w:cs="宋体"/>
                <w:kern w:val="0"/>
                <w:szCs w:val="21"/>
              </w:rPr>
            </w:pPr>
            <w:r>
              <w:rPr>
                <w:rFonts w:hint="eastAsia" w:ascii="楷体_GB2312" w:hAnsi="宋体" w:eastAsia="楷体_GB2312" w:cs="宋体"/>
                <w:kern w:val="0"/>
                <w:szCs w:val="21"/>
              </w:rPr>
              <w:t>注：审批工作中要求申请人提供由人才交流中心开具的人事代理证明</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kern w:val="0"/>
                <w:szCs w:val="21"/>
              </w:rPr>
            </w:pPr>
            <w:r>
              <w:rPr>
                <w:rFonts w:hint="eastAsia" w:ascii="宋体" w:hAnsi="宋体" w:cs="宋体"/>
                <w:kern w:val="0"/>
                <w:szCs w:val="21"/>
              </w:rPr>
              <w:t>人才交流中心</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kern w:val="0"/>
                <w:szCs w:val="21"/>
              </w:rPr>
            </w:pPr>
            <w:r>
              <w:rPr>
                <w:rFonts w:hint="eastAsia" w:ascii="宋体" w:hAnsi="宋体" w:cs="宋体"/>
                <w:kern w:val="0"/>
                <w:szCs w:val="21"/>
              </w:rPr>
              <w:t>不再要求申请人提供人事代理证明</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15</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bCs/>
                <w:kern w:val="0"/>
                <w:szCs w:val="21"/>
              </w:rPr>
            </w:pPr>
            <w:r>
              <w:rPr>
                <w:rFonts w:hint="eastAsia" w:ascii="宋体" w:hAnsi="宋体" w:cs="宋体"/>
                <w:bCs/>
                <w:kern w:val="0"/>
                <w:szCs w:val="21"/>
              </w:rPr>
              <w:t>市民政局</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color w:val="000000"/>
                <w:kern w:val="0"/>
                <w:szCs w:val="21"/>
              </w:rPr>
            </w:pPr>
            <w:r>
              <w:rPr>
                <w:rFonts w:hint="eastAsia" w:ascii="宋体" w:hAnsi="宋体" w:cs="宋体"/>
                <w:kern w:val="0"/>
                <w:szCs w:val="21"/>
              </w:rPr>
              <w:t>养老机构设立许可</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color w:val="000000"/>
                <w:spacing w:val="-4"/>
                <w:kern w:val="21"/>
                <w:szCs w:val="21"/>
              </w:rPr>
            </w:pPr>
            <w:r>
              <w:rPr>
                <w:rFonts w:hint="eastAsia" w:ascii="宋体" w:hAnsi="宋体" w:cs="宋体"/>
                <w:spacing w:val="-4"/>
                <w:kern w:val="21"/>
                <w:szCs w:val="21"/>
              </w:rPr>
              <w:t>申请设立养老机构所需的资金验资和资产评估</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66" w:lineRule="exact"/>
              <w:ind w:left="-42" w:leftChars="-20" w:right="-42" w:rightChars="-20"/>
              <w:rPr>
                <w:rFonts w:hint="eastAsia" w:ascii="宋体" w:hAnsi="宋体" w:cs="宋体"/>
                <w:kern w:val="21"/>
                <w:szCs w:val="21"/>
              </w:rPr>
            </w:pPr>
            <w:r>
              <w:rPr>
                <w:rFonts w:hint="eastAsia" w:ascii="宋体" w:hAnsi="宋体" w:cs="宋体"/>
                <w:kern w:val="21"/>
                <w:szCs w:val="21"/>
              </w:rPr>
              <w:t>《养老机构设立许可办法》（民政部令第48号，2015年5月5日《民政部关于修改部分规章的决定》予以修改）</w:t>
            </w:r>
          </w:p>
          <w:p>
            <w:pPr>
              <w:spacing w:line="266" w:lineRule="exact"/>
              <w:ind w:left="-42" w:leftChars="-20" w:right="-42" w:rightChars="-20"/>
              <w:rPr>
                <w:rFonts w:hint="eastAsia" w:ascii="宋体" w:hAnsi="宋体" w:cs="宋体"/>
                <w:kern w:val="21"/>
                <w:szCs w:val="21"/>
              </w:rPr>
            </w:pPr>
            <w:r>
              <w:rPr>
                <w:rFonts w:hint="eastAsia" w:ascii="楷体_GB2312" w:hAnsi="宋体" w:eastAsia="楷体_GB2312" w:cs="宋体"/>
                <w:spacing w:val="-4"/>
                <w:kern w:val="21"/>
                <w:szCs w:val="21"/>
              </w:rPr>
              <w:t>注：审批工作中要求申请人提</w:t>
            </w:r>
            <w:r>
              <w:rPr>
                <w:rFonts w:hint="eastAsia" w:ascii="楷体_GB2312" w:hAnsi="宋体" w:eastAsia="楷体_GB2312" w:cs="宋体"/>
                <w:kern w:val="21"/>
                <w:szCs w:val="21"/>
              </w:rPr>
              <w:t>供验资证明和资产评估报告</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color w:val="000000"/>
                <w:kern w:val="0"/>
                <w:szCs w:val="21"/>
              </w:rPr>
            </w:pPr>
            <w:r>
              <w:rPr>
                <w:rFonts w:hint="eastAsia" w:ascii="宋体" w:hAnsi="宋体" w:cs="宋体"/>
                <w:kern w:val="0"/>
                <w:szCs w:val="21"/>
              </w:rPr>
              <w:t>会计师事务所等具有相关资质的机构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kern w:val="0"/>
                <w:szCs w:val="21"/>
              </w:rPr>
            </w:pPr>
            <w:r>
              <w:rPr>
                <w:rFonts w:hint="eastAsia" w:ascii="宋体" w:hAnsi="宋体" w:cs="宋体"/>
                <w:kern w:val="0"/>
                <w:szCs w:val="21"/>
              </w:rPr>
              <w:t>不再要求申请人提供资金验资证明和资产评估报告</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16</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bCs/>
                <w:kern w:val="0"/>
                <w:szCs w:val="21"/>
              </w:rPr>
            </w:pPr>
            <w:r>
              <w:rPr>
                <w:rFonts w:hint="eastAsia" w:ascii="宋体" w:hAnsi="宋体" w:cs="宋体"/>
                <w:bCs/>
                <w:kern w:val="0"/>
                <w:szCs w:val="21"/>
              </w:rPr>
              <w:t>市司法局</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法律职业资格初审</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exact"/>
              <w:ind w:left="-42" w:leftChars="-20" w:right="-42" w:rightChars="-20"/>
              <w:rPr>
                <w:rFonts w:ascii="宋体" w:hAnsi="宋体" w:cs="宋体"/>
                <w:color w:val="000000"/>
                <w:spacing w:val="-4"/>
                <w:kern w:val="21"/>
                <w:szCs w:val="21"/>
              </w:rPr>
            </w:pPr>
            <w:r>
              <w:rPr>
                <w:rFonts w:hint="eastAsia" w:ascii="宋体" w:hAnsi="宋体" w:cs="宋体"/>
                <w:color w:val="000000"/>
                <w:spacing w:val="-4"/>
                <w:kern w:val="21"/>
                <w:szCs w:val="21"/>
              </w:rPr>
              <w:t>台湾居民申请法律职业资格户籍誊本或户口名簿复印件公证</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ascii="宋体" w:hAnsi="宋体" w:cs="宋体"/>
                <w:color w:val="000000"/>
                <w:kern w:val="21"/>
                <w:szCs w:val="21"/>
              </w:rPr>
            </w:pPr>
            <w:r>
              <w:rPr>
                <w:rFonts w:hint="eastAsia" w:ascii="宋体" w:hAnsi="宋体" w:cs="宋体"/>
                <w:color w:val="000000"/>
                <w:kern w:val="21"/>
                <w:szCs w:val="21"/>
              </w:rPr>
              <w:t>《台湾居民参加国家司法考试若干规定》（司法部令第110号）</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台湾地区公证机构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ascii="宋体" w:hAnsi="宋体" w:cs="宋体"/>
                <w:kern w:val="0"/>
                <w:szCs w:val="21"/>
              </w:rPr>
            </w:pPr>
            <w:r>
              <w:rPr>
                <w:rFonts w:hint="eastAsia" w:ascii="宋体" w:hAnsi="宋体" w:cs="宋体"/>
                <w:kern w:val="0"/>
                <w:szCs w:val="21"/>
              </w:rPr>
              <w:t>不再要求申请人提供户籍</w:t>
            </w:r>
            <w:r>
              <w:rPr>
                <w:rFonts w:hint="eastAsia" w:ascii="宋体" w:hAnsi="宋体" w:cs="宋体"/>
                <w:color w:val="000000"/>
                <w:kern w:val="0"/>
                <w:szCs w:val="21"/>
              </w:rPr>
              <w:t>誊</w:t>
            </w:r>
            <w:r>
              <w:rPr>
                <w:rFonts w:hint="eastAsia" w:ascii="宋体" w:hAnsi="宋体" w:cs="宋体"/>
                <w:kern w:val="0"/>
                <w:szCs w:val="21"/>
              </w:rPr>
              <w:t>本或户口名簿复印件公证；申请人按要求提交能够证明其身份的有关材料并承诺其真实性，实施部门严格审核，加强与相关部门的信息沟通，做好对申请人身份信息的核查工作</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17</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bCs/>
                <w:kern w:val="0"/>
                <w:szCs w:val="21"/>
              </w:rPr>
            </w:pPr>
            <w:r>
              <w:rPr>
                <w:rFonts w:hint="eastAsia" w:ascii="宋体" w:hAnsi="宋体" w:cs="宋体"/>
                <w:bCs/>
                <w:kern w:val="0"/>
                <w:szCs w:val="21"/>
              </w:rPr>
              <w:t>市司法局</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律师事务所（分所）设立、变更、注销许可</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exact"/>
              <w:ind w:left="-42" w:leftChars="-20" w:right="-42" w:rightChars="-20"/>
              <w:rPr>
                <w:rFonts w:ascii="宋体" w:hAnsi="宋体" w:cs="宋体"/>
                <w:color w:val="000000"/>
                <w:spacing w:val="-4"/>
                <w:kern w:val="21"/>
                <w:szCs w:val="21"/>
              </w:rPr>
            </w:pPr>
            <w:r>
              <w:rPr>
                <w:rFonts w:hint="eastAsia" w:ascii="宋体" w:hAnsi="宋体" w:cs="宋体"/>
                <w:color w:val="000000"/>
                <w:spacing w:val="-4"/>
                <w:kern w:val="21"/>
                <w:szCs w:val="21"/>
              </w:rPr>
              <w:t>律师事务所（分所）实物方式出资的资产评估</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ascii="宋体" w:hAnsi="宋体" w:cs="宋体"/>
                <w:color w:val="000000"/>
                <w:kern w:val="0"/>
                <w:szCs w:val="21"/>
              </w:rPr>
            </w:pPr>
            <w:r>
              <w:rPr>
                <w:rFonts w:hint="eastAsia" w:ascii="宋体" w:hAnsi="宋体" w:cs="宋体"/>
                <w:color w:val="000000"/>
                <w:kern w:val="21"/>
                <w:szCs w:val="21"/>
              </w:rPr>
              <w:t>《广东省司法厅关于律师事务所设立的管理办法》（粤司办〔2009</w:t>
            </w:r>
            <w:r>
              <w:rPr>
                <w:rFonts w:hint="eastAsia" w:ascii="宋体" w:hAnsi="宋体" w:cs="宋体"/>
                <w:color w:val="000000"/>
                <w:kern w:val="0"/>
                <w:szCs w:val="21"/>
              </w:rPr>
              <w:t>〕275号）</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会计师事务所等具有相关资质的机构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不再要求申请人提供实物方式出资的资产评估报告；申请人只需按照《律师事务所管理办法》规定提供有效的资产证明</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18</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宋体" w:hAnsi="宋体" w:cs="宋体"/>
                <w:bCs/>
                <w:kern w:val="0"/>
                <w:szCs w:val="21"/>
              </w:rPr>
            </w:pPr>
            <w:r>
              <w:rPr>
                <w:rFonts w:hint="eastAsia" w:ascii="宋体" w:hAnsi="宋体" w:cs="宋体"/>
                <w:bCs/>
                <w:kern w:val="0"/>
                <w:szCs w:val="21"/>
              </w:rPr>
              <w:t>市司法局</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ascii="宋体" w:hAnsi="宋体" w:cs="宋体"/>
                <w:color w:val="000000"/>
                <w:kern w:val="0"/>
                <w:szCs w:val="21"/>
              </w:rPr>
            </w:pPr>
            <w:r>
              <w:rPr>
                <w:rFonts w:hint="eastAsia" w:ascii="宋体" w:hAnsi="宋体" w:cs="宋体"/>
                <w:kern w:val="0"/>
                <w:szCs w:val="21"/>
              </w:rPr>
              <w:t>律师事务所（分所）设立、变更、注销许可</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exact"/>
              <w:ind w:left="-42" w:leftChars="-20" w:right="-42" w:rightChars="-20"/>
              <w:rPr>
                <w:rFonts w:ascii="宋体" w:hAnsi="宋体" w:cs="宋体"/>
                <w:color w:val="000000"/>
                <w:spacing w:val="-4"/>
                <w:kern w:val="21"/>
                <w:szCs w:val="21"/>
              </w:rPr>
            </w:pPr>
            <w:r>
              <w:rPr>
                <w:rFonts w:hint="eastAsia" w:ascii="宋体" w:hAnsi="宋体" w:cs="宋体"/>
                <w:color w:val="000000"/>
                <w:spacing w:val="-4"/>
                <w:kern w:val="21"/>
                <w:szCs w:val="21"/>
              </w:rPr>
              <w:t>参与合并或分立的律师事务所财务审计</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hint="eastAsia" w:ascii="楷体_GB2312" w:hAnsi="宋体" w:eastAsia="楷体_GB2312" w:cs="宋体"/>
                <w:color w:val="000000"/>
                <w:kern w:val="0"/>
                <w:szCs w:val="21"/>
              </w:rPr>
            </w:pPr>
            <w:r>
              <w:rPr>
                <w:rFonts w:hint="eastAsia" w:ascii="楷体_GB2312" w:hAnsi="宋体" w:eastAsia="楷体_GB2312" w:cs="宋体"/>
                <w:color w:val="000000"/>
                <w:kern w:val="0"/>
                <w:szCs w:val="21"/>
              </w:rPr>
              <w:t>注：审批工作中要求申请人在申请律师事务所合并或分立时提供具有法定资格的机构出具的审计报告</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会计师事务所等具有相关资质的机构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76"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不再要求申请人提供审计报告</w:t>
            </w:r>
          </w:p>
        </w:tc>
      </w:tr>
    </w:tbl>
    <w:p>
      <w:pPr>
        <w:rPr>
          <w:rFonts w:hint="eastAsia"/>
        </w:rPr>
      </w:pPr>
    </w:p>
    <w:tbl>
      <w:tblPr>
        <w:tblStyle w:val="7"/>
        <w:tblW w:w="13194" w:type="dxa"/>
        <w:jc w:val="center"/>
        <w:tblInd w:w="0" w:type="dxa"/>
        <w:tblLayout w:type="fixed"/>
        <w:tblCellMar>
          <w:top w:w="0" w:type="dxa"/>
          <w:left w:w="108" w:type="dxa"/>
          <w:bottom w:w="0" w:type="dxa"/>
          <w:right w:w="108" w:type="dxa"/>
        </w:tblCellMar>
      </w:tblPr>
      <w:tblGrid>
        <w:gridCol w:w="561"/>
        <w:gridCol w:w="1406"/>
        <w:gridCol w:w="1814"/>
        <w:gridCol w:w="2000"/>
        <w:gridCol w:w="2700"/>
        <w:gridCol w:w="1816"/>
        <w:gridCol w:w="2897"/>
      </w:tblGrid>
      <w:tr>
        <w:tblPrEx>
          <w:tblLayout w:type="fixed"/>
          <w:tblCellMar>
            <w:top w:w="0" w:type="dxa"/>
            <w:left w:w="108" w:type="dxa"/>
            <w:bottom w:w="0" w:type="dxa"/>
            <w:right w:w="108" w:type="dxa"/>
          </w:tblCellMar>
        </w:tblPrEx>
        <w:trPr>
          <w:trHeight w:val="284" w:hRule="atLeast"/>
          <w:tblHeader/>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序号</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行政职权</w:t>
            </w:r>
          </w:p>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实施部门</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行政职权</w:t>
            </w:r>
          </w:p>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事项名称</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中介服务事项名称</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中介服务设定依据</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中介服务实施机构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6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清理决定</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19</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bCs/>
                <w:kern w:val="0"/>
                <w:szCs w:val="21"/>
              </w:rPr>
            </w:pPr>
            <w:r>
              <w:rPr>
                <w:rFonts w:hint="eastAsia" w:ascii="宋体" w:hAnsi="宋体" w:cs="宋体"/>
                <w:bCs/>
                <w:kern w:val="0"/>
                <w:szCs w:val="21"/>
              </w:rPr>
              <w:t>市司法局</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70" w:lineRule="exact"/>
              <w:ind w:left="-42" w:leftChars="-20" w:right="-42" w:rightChars="-20"/>
              <w:rPr>
                <w:rFonts w:ascii="宋体" w:hAnsi="宋体" w:cs="宋体"/>
                <w:color w:val="000000"/>
                <w:kern w:val="0"/>
                <w:szCs w:val="21"/>
              </w:rPr>
            </w:pPr>
            <w:r>
              <w:rPr>
                <w:rFonts w:hint="eastAsia" w:ascii="宋体" w:hAnsi="宋体" w:cs="宋体"/>
                <w:kern w:val="0"/>
                <w:szCs w:val="21"/>
              </w:rPr>
              <w:t>律师事务所（分所）设立、变更、注销许可</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ind w:left="-42" w:leftChars="-20" w:right="-42" w:rightChars="-20"/>
              <w:rPr>
                <w:rFonts w:ascii="宋体" w:hAnsi="宋体" w:cs="宋体"/>
                <w:color w:val="000000"/>
                <w:spacing w:val="-4"/>
                <w:kern w:val="21"/>
                <w:szCs w:val="21"/>
              </w:rPr>
            </w:pPr>
            <w:r>
              <w:rPr>
                <w:rFonts w:hint="eastAsia" w:ascii="宋体" w:hAnsi="宋体" w:cs="宋体"/>
                <w:color w:val="000000"/>
                <w:spacing w:val="-4"/>
                <w:kern w:val="21"/>
                <w:szCs w:val="21"/>
              </w:rPr>
              <w:t>律师事务所组织形式变更验资或财务审计</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70" w:lineRule="exact"/>
              <w:ind w:left="-42" w:leftChars="-20" w:right="-42" w:rightChars="-20"/>
              <w:rPr>
                <w:rFonts w:ascii="宋体" w:hAnsi="宋体" w:cs="宋体"/>
                <w:color w:val="000000"/>
                <w:kern w:val="21"/>
                <w:szCs w:val="21"/>
              </w:rPr>
            </w:pPr>
            <w:r>
              <w:rPr>
                <w:rFonts w:hint="eastAsia" w:ascii="宋体" w:hAnsi="宋体" w:cs="宋体"/>
                <w:color w:val="000000"/>
                <w:kern w:val="21"/>
                <w:szCs w:val="21"/>
              </w:rPr>
              <w:t>《广东省司法厅关于律师事务所设立的管理办法》（粤司办〔2009〕275号）</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ascii="宋体" w:hAnsi="宋体" w:cs="宋体"/>
                <w:color w:val="000000"/>
                <w:kern w:val="0"/>
                <w:szCs w:val="21"/>
              </w:rPr>
            </w:pPr>
            <w:r>
              <w:rPr>
                <w:rFonts w:hint="eastAsia" w:ascii="宋体" w:hAnsi="宋体" w:cs="宋体"/>
                <w:kern w:val="0"/>
                <w:szCs w:val="21"/>
              </w:rPr>
              <w:t>会计师事务所等具有相关资质的机构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不再要求申请人提供验资或审计报告</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20</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bCs/>
                <w:kern w:val="0"/>
                <w:szCs w:val="21"/>
              </w:rPr>
            </w:pPr>
            <w:r>
              <w:rPr>
                <w:rFonts w:hint="eastAsia" w:ascii="宋体" w:hAnsi="宋体" w:cs="宋体"/>
                <w:bCs/>
                <w:kern w:val="0"/>
                <w:szCs w:val="21"/>
              </w:rPr>
              <w:t>市司法局</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7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律师事务所（分所）设立、变更、注销许可</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ind w:left="-42" w:leftChars="-20" w:right="-42" w:rightChars="-20"/>
              <w:rPr>
                <w:rFonts w:ascii="宋体" w:hAnsi="宋体" w:cs="宋体"/>
                <w:color w:val="000000"/>
                <w:spacing w:val="-4"/>
                <w:kern w:val="21"/>
                <w:szCs w:val="21"/>
              </w:rPr>
            </w:pPr>
            <w:r>
              <w:rPr>
                <w:rFonts w:hint="eastAsia" w:ascii="宋体" w:hAnsi="宋体" w:cs="宋体"/>
                <w:color w:val="000000"/>
                <w:spacing w:val="-4"/>
                <w:kern w:val="21"/>
                <w:szCs w:val="21"/>
              </w:rPr>
              <w:t>申请律师事务所注销所需的审计</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70" w:lineRule="exact"/>
              <w:ind w:left="-42" w:leftChars="-20" w:right="-42" w:rightChars="-20"/>
              <w:rPr>
                <w:rFonts w:ascii="宋体" w:hAnsi="宋体" w:cs="宋体"/>
                <w:color w:val="000000"/>
                <w:kern w:val="21"/>
                <w:szCs w:val="21"/>
              </w:rPr>
            </w:pPr>
            <w:r>
              <w:rPr>
                <w:rFonts w:hint="eastAsia" w:ascii="宋体" w:hAnsi="宋体" w:cs="宋体"/>
                <w:color w:val="000000"/>
                <w:kern w:val="21"/>
                <w:szCs w:val="21"/>
              </w:rPr>
              <w:t>《广东省司法厅关于律师事务所设立的管理办法》（粤司办〔2009〕275号）</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会计师事务所等具有相关资质的机构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不再要求申请人提供审计报告</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21</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bCs/>
                <w:kern w:val="0"/>
                <w:szCs w:val="21"/>
              </w:rPr>
            </w:pPr>
            <w:r>
              <w:rPr>
                <w:rFonts w:hint="eastAsia" w:ascii="宋体" w:hAnsi="宋体" w:cs="宋体"/>
                <w:bCs/>
                <w:kern w:val="0"/>
                <w:szCs w:val="21"/>
              </w:rPr>
              <w:t>市水务局</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color w:val="000000"/>
                <w:kern w:val="0"/>
                <w:szCs w:val="21"/>
              </w:rPr>
            </w:pPr>
            <w:r>
              <w:rPr>
                <w:rFonts w:hint="eastAsia" w:ascii="宋体" w:hAnsi="宋体" w:cs="宋体"/>
                <w:kern w:val="0"/>
                <w:szCs w:val="21"/>
              </w:rPr>
              <w:t>建设项目用水节水评估报告审批</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color w:val="000000"/>
                <w:spacing w:val="-4"/>
                <w:kern w:val="21"/>
                <w:szCs w:val="21"/>
              </w:rPr>
            </w:pPr>
            <w:r>
              <w:rPr>
                <w:rFonts w:hint="eastAsia" w:ascii="宋体" w:hAnsi="宋体" w:cs="宋体"/>
                <w:spacing w:val="-4"/>
                <w:kern w:val="21"/>
                <w:szCs w:val="21"/>
              </w:rPr>
              <w:t>专业咨询机构的评审意见（用水节水设计评估文件审查报告）</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kern w:val="21"/>
                <w:szCs w:val="21"/>
              </w:rPr>
              <w:t>《深圳市建设项目用水节水管理办法》（市政府令第183号）</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color w:val="000000"/>
                <w:kern w:val="0"/>
                <w:szCs w:val="21"/>
              </w:rPr>
            </w:pPr>
            <w:r>
              <w:rPr>
                <w:rFonts w:hint="eastAsia" w:ascii="宋体" w:hAnsi="宋体" w:cs="宋体"/>
                <w:kern w:val="0"/>
                <w:szCs w:val="21"/>
              </w:rPr>
              <w:t>具有水利工程或市政公用工程（给排水）咨询甲级资质的机构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color w:val="000000"/>
                <w:kern w:val="0"/>
                <w:szCs w:val="21"/>
              </w:rPr>
            </w:pPr>
            <w:r>
              <w:rPr>
                <w:rFonts w:hint="eastAsia" w:ascii="宋体" w:hAnsi="宋体" w:cs="宋体"/>
                <w:kern w:val="0"/>
                <w:szCs w:val="21"/>
              </w:rPr>
              <w:t>不再要求申请人提供专业咨询机构的评审意见；改由实施部门委托有关机构开展评审</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22</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bCs/>
                <w:kern w:val="0"/>
                <w:szCs w:val="21"/>
              </w:rPr>
            </w:pPr>
            <w:r>
              <w:rPr>
                <w:rFonts w:hint="eastAsia" w:ascii="宋体" w:hAnsi="宋体" w:cs="宋体"/>
                <w:bCs/>
                <w:kern w:val="0"/>
                <w:szCs w:val="21"/>
              </w:rPr>
              <w:t>市水务局</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70" w:lineRule="exact"/>
              <w:ind w:left="-42" w:leftChars="-20" w:right="-42" w:rightChars="-20"/>
              <w:rPr>
                <w:rFonts w:hint="eastAsia" w:ascii="宋体" w:hAnsi="宋体" w:cs="宋体"/>
                <w:color w:val="000000"/>
                <w:kern w:val="0"/>
                <w:szCs w:val="21"/>
              </w:rPr>
            </w:pPr>
            <w:r>
              <w:rPr>
                <w:rFonts w:hint="eastAsia" w:ascii="宋体" w:hAnsi="宋体" w:cs="宋体"/>
                <w:kern w:val="0"/>
                <w:szCs w:val="21"/>
              </w:rPr>
              <w:t>单位用户用水计划审批或登记备案（建设单位申请施工用水计划）</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ind w:left="-42" w:leftChars="-20" w:right="-42" w:rightChars="-20"/>
              <w:rPr>
                <w:rFonts w:hint="eastAsia" w:ascii="宋体" w:hAnsi="宋体" w:cs="宋体"/>
                <w:color w:val="000000"/>
                <w:spacing w:val="-4"/>
                <w:kern w:val="21"/>
                <w:szCs w:val="21"/>
              </w:rPr>
            </w:pPr>
            <w:r>
              <w:rPr>
                <w:rFonts w:hint="eastAsia" w:ascii="宋体" w:hAnsi="宋体" w:cs="宋体"/>
                <w:spacing w:val="-4"/>
                <w:kern w:val="21"/>
                <w:szCs w:val="21"/>
              </w:rPr>
              <w:t>专业咨询机构的评审意见（用水节水设施施工图文件审查报告）</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70" w:lineRule="exact"/>
              <w:ind w:left="-42" w:leftChars="-20" w:right="-42" w:rightChars="-20"/>
              <w:rPr>
                <w:rFonts w:hint="eastAsia" w:ascii="宋体" w:hAnsi="宋体" w:cs="宋体"/>
                <w:color w:val="000000"/>
                <w:kern w:val="21"/>
                <w:szCs w:val="21"/>
              </w:rPr>
            </w:pPr>
            <w:r>
              <w:rPr>
                <w:rFonts w:hint="eastAsia" w:ascii="宋体" w:hAnsi="宋体" w:cs="宋体"/>
                <w:kern w:val="21"/>
                <w:szCs w:val="21"/>
              </w:rPr>
              <w:t>《深圳市建设项目用水节水管理办法》（市政府令第183号）</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70" w:lineRule="exact"/>
              <w:ind w:left="-42" w:leftChars="-20" w:right="-42" w:rightChars="-20"/>
              <w:rPr>
                <w:rFonts w:hint="eastAsia" w:ascii="宋体" w:hAnsi="宋体" w:cs="宋体"/>
                <w:color w:val="000000"/>
                <w:kern w:val="0"/>
                <w:szCs w:val="21"/>
              </w:rPr>
            </w:pPr>
            <w:r>
              <w:rPr>
                <w:rFonts w:hint="eastAsia" w:ascii="宋体" w:hAnsi="宋体" w:cs="宋体"/>
                <w:kern w:val="0"/>
                <w:szCs w:val="21"/>
              </w:rPr>
              <w:t>具有水利工程或市政公用工程（给排水）咨询甲级资质的机构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70" w:lineRule="exact"/>
              <w:ind w:left="-42" w:leftChars="-20" w:right="-42" w:rightChars="-20"/>
              <w:rPr>
                <w:rFonts w:hint="eastAsia" w:ascii="宋体" w:hAnsi="宋体" w:cs="宋体"/>
                <w:color w:val="000000"/>
                <w:kern w:val="0"/>
                <w:szCs w:val="21"/>
              </w:rPr>
            </w:pPr>
            <w:r>
              <w:rPr>
                <w:rFonts w:hint="eastAsia" w:ascii="宋体" w:hAnsi="宋体" w:cs="宋体"/>
                <w:kern w:val="0"/>
                <w:szCs w:val="21"/>
              </w:rPr>
              <w:t>不再要求申请人提供专业咨询机构的评审意见；改由实施部门委托有关机构开展评审</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23</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bCs/>
                <w:kern w:val="0"/>
                <w:szCs w:val="21"/>
              </w:rPr>
            </w:pPr>
            <w:r>
              <w:rPr>
                <w:rFonts w:hint="eastAsia" w:ascii="宋体" w:hAnsi="宋体" w:cs="宋体"/>
                <w:bCs/>
                <w:kern w:val="0"/>
                <w:szCs w:val="21"/>
              </w:rPr>
              <w:t>市地税局</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kern w:val="0"/>
                <w:szCs w:val="21"/>
              </w:rPr>
            </w:pPr>
            <w:r>
              <w:rPr>
                <w:rFonts w:hint="eastAsia" w:ascii="宋体" w:hAnsi="宋体" w:cs="宋体"/>
                <w:kern w:val="0"/>
                <w:szCs w:val="21"/>
              </w:rPr>
              <w:t>无偿赠与房屋产权过户免增值税备案</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spacing w:val="-4"/>
                <w:kern w:val="21"/>
                <w:szCs w:val="21"/>
              </w:rPr>
            </w:pPr>
            <w:r>
              <w:rPr>
                <w:rFonts w:hint="eastAsia" w:ascii="宋体" w:hAnsi="宋体" w:cs="宋体"/>
                <w:spacing w:val="-4"/>
                <w:kern w:val="21"/>
                <w:szCs w:val="21"/>
              </w:rPr>
              <w:t>经公证的能够证明有权继承或接受遗赠的证明资料</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kern w:val="0"/>
                <w:szCs w:val="21"/>
              </w:rPr>
            </w:pPr>
            <w:r>
              <w:rPr>
                <w:rFonts w:hint="eastAsia" w:ascii="宋体" w:hAnsi="宋体" w:cs="宋体"/>
                <w:kern w:val="0"/>
                <w:szCs w:val="21"/>
              </w:rPr>
              <w:t>《国家税务总局关于进一步简化和规范个人无偿赠与或受赠不动产免征营业税、个人所得税所需证明资料的公告》（国家税务总局公告2015年第75号）</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kern w:val="0"/>
                <w:szCs w:val="21"/>
              </w:rPr>
            </w:pPr>
            <w:r>
              <w:rPr>
                <w:rFonts w:hint="eastAsia" w:ascii="宋体" w:hAnsi="宋体" w:cs="宋体"/>
                <w:kern w:val="0"/>
                <w:szCs w:val="21"/>
              </w:rPr>
              <w:t>公证机构</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kern w:val="0"/>
                <w:szCs w:val="21"/>
              </w:rPr>
            </w:pPr>
            <w:r>
              <w:rPr>
                <w:rFonts w:hint="eastAsia" w:ascii="宋体" w:hAnsi="宋体" w:cs="宋体"/>
                <w:kern w:val="0"/>
                <w:szCs w:val="21"/>
              </w:rPr>
              <w:t>申请人提供有权继承或接受遗赠的证明资料，不再要求经过公证</w:t>
            </w:r>
          </w:p>
        </w:tc>
      </w:tr>
      <w:tr>
        <w:tblPrEx>
          <w:tblLayout w:type="fixed"/>
          <w:tblCellMar>
            <w:top w:w="0" w:type="dxa"/>
            <w:left w:w="108" w:type="dxa"/>
            <w:bottom w:w="0" w:type="dxa"/>
            <w:right w:w="108" w:type="dxa"/>
          </w:tblCellMar>
        </w:tblPrEx>
        <w:trPr>
          <w:trHeight w:val="2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42" w:leftChars="-20" w:right="-42" w:rightChars="-20"/>
              <w:jc w:val="center"/>
              <w:rPr>
                <w:rFonts w:hint="eastAsia" w:ascii="宋体" w:hAnsi="宋体" w:cs="宋体"/>
                <w:bCs/>
                <w:kern w:val="0"/>
                <w:szCs w:val="21"/>
              </w:rPr>
            </w:pPr>
            <w:r>
              <w:rPr>
                <w:rFonts w:hint="eastAsia" w:ascii="宋体" w:hAnsi="宋体" w:cs="宋体"/>
                <w:bCs/>
                <w:kern w:val="0"/>
                <w:szCs w:val="21"/>
              </w:rPr>
              <w:t>24</w:t>
            </w:r>
          </w:p>
        </w:tc>
        <w:tc>
          <w:tcPr>
            <w:tcW w:w="140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bCs/>
                <w:kern w:val="0"/>
                <w:szCs w:val="21"/>
              </w:rPr>
            </w:pPr>
            <w:r>
              <w:rPr>
                <w:rFonts w:hint="eastAsia" w:ascii="宋体" w:hAnsi="宋体" w:cs="宋体"/>
                <w:bCs/>
                <w:kern w:val="0"/>
                <w:szCs w:val="21"/>
              </w:rPr>
              <w:t>市城管局</w:t>
            </w:r>
          </w:p>
        </w:tc>
        <w:tc>
          <w:tcPr>
            <w:tcW w:w="1814"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kern w:val="0"/>
                <w:szCs w:val="21"/>
              </w:rPr>
            </w:pPr>
            <w:r>
              <w:rPr>
                <w:rFonts w:hint="eastAsia" w:ascii="宋体" w:hAnsi="宋体" w:cs="宋体"/>
                <w:kern w:val="0"/>
                <w:szCs w:val="21"/>
              </w:rPr>
              <w:t>户外广告设置（高速公路两侧设置广告标牌设施）</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spacing w:val="-4"/>
                <w:kern w:val="21"/>
                <w:szCs w:val="21"/>
              </w:rPr>
            </w:pPr>
            <w:r>
              <w:rPr>
                <w:rFonts w:hint="eastAsia" w:ascii="宋体" w:hAnsi="宋体" w:cs="宋体"/>
                <w:spacing w:val="-4"/>
                <w:kern w:val="21"/>
                <w:szCs w:val="21"/>
              </w:rPr>
              <w:t>广告标牌设计结构检测</w:t>
            </w:r>
          </w:p>
        </w:tc>
        <w:tc>
          <w:tcPr>
            <w:tcW w:w="270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楷体_GB2312" w:hAnsi="宋体" w:eastAsia="楷体_GB2312" w:cs="宋体"/>
                <w:kern w:val="21"/>
                <w:szCs w:val="21"/>
              </w:rPr>
            </w:pPr>
            <w:r>
              <w:rPr>
                <w:rFonts w:hint="eastAsia" w:ascii="楷体_GB2312" w:hAnsi="宋体" w:eastAsia="楷体_GB2312" w:cs="宋体"/>
                <w:kern w:val="21"/>
                <w:szCs w:val="21"/>
              </w:rPr>
              <w:t>注：审批工作中要求广告标牌设置者在申请延续许可期限时，提供具有检测钢结构相应资质的单位出具的广告标牌设计结构检测报告</w:t>
            </w:r>
          </w:p>
        </w:tc>
        <w:tc>
          <w:tcPr>
            <w:tcW w:w="181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kern w:val="0"/>
                <w:szCs w:val="21"/>
              </w:rPr>
            </w:pPr>
            <w:r>
              <w:rPr>
                <w:rFonts w:hint="eastAsia" w:ascii="宋体" w:hAnsi="宋体" w:cs="宋体"/>
                <w:kern w:val="0"/>
                <w:szCs w:val="21"/>
              </w:rPr>
              <w:t>具有检测钢结构相应资质的单位</w:t>
            </w:r>
          </w:p>
        </w:tc>
        <w:tc>
          <w:tcPr>
            <w:tcW w:w="2897" w:type="dxa"/>
            <w:tcBorders>
              <w:top w:val="single" w:color="auto" w:sz="4" w:space="0"/>
              <w:left w:val="nil"/>
              <w:bottom w:val="single" w:color="auto" w:sz="4" w:space="0"/>
              <w:right w:val="single" w:color="auto" w:sz="4" w:space="0"/>
            </w:tcBorders>
            <w:shd w:val="clear" w:color="auto" w:fill="auto"/>
            <w:vAlign w:val="center"/>
          </w:tcPr>
          <w:p>
            <w:pPr>
              <w:spacing w:line="280" w:lineRule="exact"/>
              <w:ind w:left="-42" w:leftChars="-20" w:right="-42" w:rightChars="-20"/>
              <w:rPr>
                <w:rFonts w:hint="eastAsia" w:ascii="宋体" w:hAnsi="宋体" w:cs="宋体"/>
                <w:kern w:val="0"/>
                <w:szCs w:val="21"/>
              </w:rPr>
            </w:pPr>
            <w:r>
              <w:rPr>
                <w:rFonts w:hint="eastAsia" w:ascii="宋体" w:hAnsi="宋体" w:cs="宋体"/>
                <w:kern w:val="0"/>
                <w:szCs w:val="21"/>
              </w:rPr>
              <w:t>不再要求广告标牌设置者在延续许可期限时提供设计结构检测报告；设置者应当对其广告、标牌设施在有效期内进行定期检查、保养，因维护不力造成事故的，应当承担相应的法律责任</w:t>
            </w:r>
          </w:p>
        </w:tc>
      </w:tr>
    </w:tbl>
    <w:p>
      <w:r>
        <w:rPr>
          <w:rFonts w:hint="eastAsia" w:ascii="楷体_GB2312" w:hAnsi="宋体" w:eastAsia="楷体_GB2312"/>
          <w:szCs w:val="21"/>
        </w:rPr>
        <w:t>说明：行政职权实施部门系指中介服务事项所涉行政职权事项的办理部门，即提供审批或服务的政府机关。</w:t>
      </w:r>
    </w:p>
    <w:sectPr>
      <w:pgSz w:w="16838" w:h="11906" w:orient="landscape"/>
      <w:pgMar w:top="1417" w:right="1440" w:bottom="1417" w:left="1440" w:header="851" w:footer="992" w:gutter="0"/>
      <w:paperSrc/>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文鼎小标宋简">
    <w:altName w:val="Arial Unicode MS"/>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公文小标宋简">
    <w:altName w:val="Arial Unicode MS"/>
    <w:panose1 w:val="0201060901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Calibri Light">
    <w:altName w:val="Calibri"/>
    <w:panose1 w:val="00000000000000000000"/>
    <w:charset w:val="00"/>
    <w:family w:val="roman"/>
    <w:pitch w:val="default"/>
    <w:sig w:usb0="00000000" w:usb1="00000000" w:usb2="00000000" w:usb3="00000000" w:csb0="00000001" w:csb1="00000000"/>
  </w:font>
  <w:font w:name="方正书宋_GBK">
    <w:altName w:val="宋体"/>
    <w:panose1 w:val="03000509000000000000"/>
    <w:charset w:val="86"/>
    <w:family w:val="auto"/>
    <w:pitch w:val="default"/>
    <w:sig w:usb0="00000000" w:usb1="00000000" w:usb2="00000000" w:usb3="00000000" w:csb0="00040000" w:csb1="00000000"/>
  </w:font>
  <w:font w:name="Verdana, Arial, 宋体">
    <w:altName w:val="宋体"/>
    <w:panose1 w:val="00000000000000000000"/>
    <w:charset w:val="86"/>
    <w:family w:val="roman"/>
    <w:pitch w:val="default"/>
    <w:sig w:usb0="00000000" w:usb1="00000000" w:usb2="00000010" w:usb3="00000000" w:csb0="00040000" w:csb1="00000000"/>
  </w:font>
  <w:font w:name="MT Extra">
    <w:panose1 w:val="05050102010205020202"/>
    <w:charset w:val="02"/>
    <w:family w:val="roman"/>
    <w:pitch w:val="default"/>
    <w:sig w:usb0="8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E2343"/>
    <w:rsid w:val="72BE23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4">
    <w:name w:val="Default Paragraph Font"/>
    <w:link w:val="5"/>
    <w:semiHidden/>
    <w:uiPriority w:val="0"/>
    <w:rPr>
      <w:rFonts w:ascii="Times New Roman" w:hAnsi="Times New Roman"/>
      <w:kern w:val="36"/>
      <w:sz w:val="36"/>
      <w:szCs w:val="24"/>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 Char1"/>
    <w:basedOn w:val="1"/>
    <w:link w:val="4"/>
    <w:qFormat/>
    <w:uiPriority w:val="0"/>
    <w:rPr>
      <w:rFonts w:ascii="Times New Roman" w:hAnsi="Times New Roman"/>
      <w:kern w:val="36"/>
      <w:sz w:val="36"/>
      <w:szCs w:val="24"/>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2017-08-08T07:28:00Z</dcterms:created>
  <dc:creator>qinglj</dc:creator>
  <cp:lastModifiedBy>qinglj</cp:lastModifiedBy>
  <dcterms:modified xsi:type="dcterms:W3CDTF">2017-08-08T07:30:24Z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