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atLeast"/>
        <w:rPr>
          <w:rFonts w:hint="eastAsia" w:ascii="宋体" w:hAnsi="宋体" w:cs="黑体"/>
          <w:sz w:val="24"/>
          <w:szCs w:val="24"/>
        </w:rPr>
      </w:pPr>
      <w:r>
        <w:rPr>
          <w:rFonts w:hint="eastAsia" w:ascii="宋体" w:hAnsi="宋体" w:cs="黑体"/>
          <w:sz w:val="24"/>
          <w:szCs w:val="24"/>
        </w:rPr>
        <w:t>附件</w:t>
      </w:r>
    </w:p>
    <w:p>
      <w:pPr>
        <w:spacing w:line="0" w:lineRule="atLeast"/>
        <w:jc w:val="center"/>
        <w:rPr>
          <w:rFonts w:hint="eastAsia" w:ascii="宋体" w:hAnsi="宋体"/>
          <w:color w:val="000000"/>
          <w:sz w:val="36"/>
          <w:szCs w:val="36"/>
        </w:rPr>
      </w:pPr>
      <w:r>
        <w:rPr>
          <w:rFonts w:hint="eastAsia" w:ascii="宋体" w:hAnsi="宋体"/>
          <w:color w:val="000000"/>
          <w:sz w:val="36"/>
          <w:szCs w:val="36"/>
        </w:rPr>
        <w:t>市政府决定取消的行政职权事项目录</w:t>
      </w:r>
      <w:bookmarkStart w:id="0" w:name="_GoBack"/>
      <w:bookmarkEnd w:id="0"/>
    </w:p>
    <w:p>
      <w:pPr>
        <w:spacing w:before="62" w:beforeLines="20" w:after="156" w:afterLines="50" w:line="0" w:lineRule="atLeast"/>
        <w:jc w:val="center"/>
        <w:rPr>
          <w:rFonts w:hint="eastAsia" w:ascii="仿宋_GB2312" w:hAnsi="宋体" w:eastAsia="仿宋_GB2312"/>
          <w:color w:val="000000"/>
          <w:sz w:val="24"/>
          <w:szCs w:val="24"/>
        </w:rPr>
      </w:pPr>
      <w:r>
        <w:rPr>
          <w:rFonts w:hint="eastAsia" w:ascii="仿宋_GB2312" w:hAnsi="宋体" w:eastAsia="仿宋_GB2312"/>
          <w:color w:val="000000"/>
          <w:sz w:val="24"/>
          <w:szCs w:val="24"/>
        </w:rPr>
        <w:t>（共9项）</w:t>
      </w:r>
    </w:p>
    <w:tbl>
      <w:tblPr>
        <w:tblStyle w:val="7"/>
        <w:tblW w:w="1319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
        <w:gridCol w:w="1636"/>
        <w:gridCol w:w="1465"/>
        <w:gridCol w:w="4640"/>
        <w:gridCol w:w="4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60" w:type="dxa"/>
            <w:shd w:val="clear" w:color="auto" w:fill="auto"/>
            <w:vAlign w:val="center"/>
          </w:tcPr>
          <w:p>
            <w:pPr>
              <w:spacing w:line="260" w:lineRule="exact"/>
              <w:ind w:left="-42" w:leftChars="-20" w:right="-42" w:rightChars="-20"/>
              <w:jc w:val="center"/>
              <w:rPr>
                <w:rFonts w:hint="eastAsia" w:ascii="黑体" w:hAnsi="宋体" w:eastAsia="黑体" w:cs="宋体"/>
                <w:bCs/>
                <w:color w:val="000000"/>
                <w:kern w:val="0"/>
                <w:szCs w:val="21"/>
              </w:rPr>
            </w:pPr>
            <w:r>
              <w:rPr>
                <w:rFonts w:hint="eastAsia" w:ascii="黑体" w:hAnsi="宋体" w:eastAsia="黑体" w:cs="宋体"/>
                <w:bCs/>
                <w:color w:val="000000"/>
                <w:kern w:val="0"/>
                <w:szCs w:val="21"/>
              </w:rPr>
              <w:t>序号</w:t>
            </w:r>
          </w:p>
        </w:tc>
        <w:tc>
          <w:tcPr>
            <w:tcW w:w="1636" w:type="dxa"/>
            <w:shd w:val="clear" w:color="auto" w:fill="auto"/>
            <w:vAlign w:val="center"/>
          </w:tcPr>
          <w:p>
            <w:pPr>
              <w:spacing w:line="260" w:lineRule="exact"/>
              <w:ind w:left="-42" w:leftChars="-20" w:right="-42" w:rightChars="-20"/>
              <w:jc w:val="center"/>
              <w:rPr>
                <w:rFonts w:hint="eastAsia" w:ascii="黑体" w:hAnsi="宋体" w:eastAsia="黑体" w:cs="宋体"/>
                <w:bCs/>
                <w:color w:val="000000"/>
                <w:kern w:val="0"/>
                <w:szCs w:val="21"/>
              </w:rPr>
            </w:pPr>
            <w:r>
              <w:rPr>
                <w:rFonts w:hint="eastAsia" w:ascii="黑体" w:hAnsi="宋体" w:eastAsia="黑体" w:cs="宋体"/>
                <w:bCs/>
                <w:color w:val="000000"/>
                <w:kern w:val="0"/>
                <w:szCs w:val="21"/>
              </w:rPr>
              <w:t>项目名称</w:t>
            </w:r>
          </w:p>
        </w:tc>
        <w:tc>
          <w:tcPr>
            <w:tcW w:w="1465" w:type="dxa"/>
            <w:shd w:val="clear" w:color="auto" w:fill="auto"/>
            <w:vAlign w:val="center"/>
          </w:tcPr>
          <w:p>
            <w:pPr>
              <w:spacing w:line="260" w:lineRule="exact"/>
              <w:ind w:left="-42" w:leftChars="-20" w:right="-42" w:rightChars="-20"/>
              <w:jc w:val="center"/>
              <w:rPr>
                <w:rFonts w:hint="eastAsia" w:ascii="黑体" w:hAnsi="宋体" w:eastAsia="黑体" w:cs="宋体"/>
                <w:bCs/>
                <w:color w:val="000000"/>
                <w:kern w:val="0"/>
                <w:szCs w:val="21"/>
              </w:rPr>
            </w:pPr>
            <w:r>
              <w:rPr>
                <w:rFonts w:hint="eastAsia" w:ascii="黑体" w:hAnsi="宋体" w:eastAsia="黑体" w:cs="宋体"/>
                <w:bCs/>
                <w:color w:val="000000"/>
                <w:kern w:val="0"/>
                <w:szCs w:val="21"/>
              </w:rPr>
              <w:t>实施部门</w:t>
            </w:r>
          </w:p>
        </w:tc>
        <w:tc>
          <w:tcPr>
            <w:tcW w:w="4640" w:type="dxa"/>
            <w:shd w:val="clear" w:color="auto" w:fill="auto"/>
            <w:vAlign w:val="center"/>
          </w:tcPr>
          <w:p>
            <w:pPr>
              <w:spacing w:line="260" w:lineRule="exact"/>
              <w:ind w:left="-42" w:leftChars="-20" w:right="-42" w:rightChars="-20"/>
              <w:jc w:val="center"/>
              <w:rPr>
                <w:rFonts w:hint="eastAsia" w:ascii="黑体" w:hAnsi="宋体" w:eastAsia="黑体" w:cs="宋体"/>
                <w:bCs/>
                <w:color w:val="000000"/>
                <w:kern w:val="0"/>
                <w:szCs w:val="21"/>
              </w:rPr>
            </w:pPr>
            <w:r>
              <w:rPr>
                <w:rFonts w:hint="eastAsia" w:ascii="黑体" w:hAnsi="宋体" w:eastAsia="黑体" w:cs="宋体"/>
                <w:bCs/>
                <w:color w:val="000000"/>
                <w:kern w:val="0"/>
                <w:szCs w:val="21"/>
              </w:rPr>
              <w:t>加强事中事后监管措施</w:t>
            </w:r>
          </w:p>
        </w:tc>
        <w:tc>
          <w:tcPr>
            <w:tcW w:w="4893" w:type="dxa"/>
            <w:shd w:val="clear" w:color="auto" w:fill="auto"/>
            <w:vAlign w:val="center"/>
          </w:tcPr>
          <w:p>
            <w:pPr>
              <w:spacing w:line="260" w:lineRule="exact"/>
              <w:ind w:left="-42" w:leftChars="-20" w:right="-42" w:rightChars="-20"/>
              <w:jc w:val="center"/>
              <w:rPr>
                <w:rFonts w:hint="eastAsia" w:ascii="黑体" w:hAnsi="宋体" w:eastAsia="黑体" w:cs="宋体"/>
                <w:bCs/>
                <w:color w:val="000000"/>
                <w:kern w:val="0"/>
                <w:szCs w:val="21"/>
              </w:rPr>
            </w:pPr>
            <w:r>
              <w:rPr>
                <w:rFonts w:hint="eastAsia" w:ascii="黑体" w:hAnsi="宋体" w:eastAsia="黑体" w:cs="宋体"/>
                <w:bCs/>
                <w:color w:val="00000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60" w:type="dxa"/>
            <w:shd w:val="clear" w:color="auto" w:fill="auto"/>
            <w:vAlign w:val="center"/>
          </w:tcPr>
          <w:p>
            <w:pPr>
              <w:spacing w:line="260" w:lineRule="exact"/>
              <w:ind w:left="-42" w:leftChars="-20" w:right="-42" w:rightChars="-20"/>
              <w:jc w:val="center"/>
              <w:rPr>
                <w:rFonts w:hint="eastAsia" w:ascii="宋体" w:hAnsi="宋体" w:cs="宋体"/>
                <w:color w:val="000000"/>
                <w:kern w:val="0"/>
                <w:szCs w:val="21"/>
              </w:rPr>
            </w:pPr>
            <w:r>
              <w:rPr>
                <w:rFonts w:hint="eastAsia" w:ascii="宋体" w:hAnsi="宋体" w:cs="宋体"/>
                <w:color w:val="000000"/>
                <w:kern w:val="0"/>
                <w:szCs w:val="21"/>
              </w:rPr>
              <w:t>1</w:t>
            </w:r>
          </w:p>
        </w:tc>
        <w:tc>
          <w:tcPr>
            <w:tcW w:w="1636" w:type="dxa"/>
            <w:shd w:val="clear" w:color="auto" w:fill="auto"/>
            <w:vAlign w:val="center"/>
          </w:tcPr>
          <w:p>
            <w:pPr>
              <w:spacing w:line="280" w:lineRule="exact"/>
              <w:ind w:left="-42" w:leftChars="-20" w:right="-42" w:rightChars="-20"/>
              <w:rPr>
                <w:rFonts w:hint="eastAsia" w:ascii="宋体" w:hAnsi="宋体" w:cs="宋体"/>
                <w:color w:val="000000"/>
                <w:kern w:val="0"/>
                <w:szCs w:val="21"/>
              </w:rPr>
            </w:pPr>
            <w:r>
              <w:rPr>
                <w:rFonts w:hint="eastAsia" w:ascii="宋体" w:hAnsi="宋体" w:cs="宋体"/>
                <w:color w:val="000000"/>
                <w:kern w:val="0"/>
                <w:szCs w:val="21"/>
              </w:rPr>
              <w:t>房地产估价机构资质核准</w:t>
            </w:r>
          </w:p>
        </w:tc>
        <w:tc>
          <w:tcPr>
            <w:tcW w:w="1465" w:type="dxa"/>
            <w:shd w:val="clear" w:color="auto" w:fill="auto"/>
            <w:vAlign w:val="center"/>
          </w:tcPr>
          <w:p>
            <w:pPr>
              <w:spacing w:line="280" w:lineRule="exact"/>
              <w:ind w:left="-42" w:leftChars="-20" w:right="-42" w:rightChars="-20"/>
              <w:rPr>
                <w:rFonts w:hint="eastAsia" w:ascii="宋体" w:hAnsi="宋体" w:cs="宋体"/>
                <w:color w:val="000000"/>
                <w:kern w:val="0"/>
                <w:szCs w:val="21"/>
              </w:rPr>
            </w:pPr>
            <w:r>
              <w:rPr>
                <w:rFonts w:hint="eastAsia" w:ascii="宋体" w:hAnsi="宋体" w:cs="宋体"/>
                <w:color w:val="000000"/>
                <w:kern w:val="0"/>
                <w:szCs w:val="21"/>
              </w:rPr>
              <w:t>市规划国土委</w:t>
            </w:r>
          </w:p>
        </w:tc>
        <w:tc>
          <w:tcPr>
            <w:tcW w:w="4640" w:type="dxa"/>
            <w:shd w:val="clear" w:color="auto" w:fill="auto"/>
            <w:vAlign w:val="center"/>
          </w:tcPr>
          <w:p>
            <w:pPr>
              <w:spacing w:line="280" w:lineRule="exact"/>
              <w:ind w:left="-42" w:leftChars="-20" w:right="-42" w:rightChars="-20"/>
              <w:rPr>
                <w:rFonts w:hint="eastAsia" w:ascii="宋体" w:hAnsi="宋体" w:cs="宋体"/>
                <w:color w:val="000000"/>
                <w:kern w:val="0"/>
                <w:szCs w:val="21"/>
              </w:rPr>
            </w:pPr>
            <w:r>
              <w:rPr>
                <w:rFonts w:hint="eastAsia" w:ascii="宋体" w:hAnsi="宋体" w:cs="宋体"/>
                <w:color w:val="000000"/>
                <w:kern w:val="0"/>
                <w:szCs w:val="21"/>
              </w:rPr>
              <w:t>取消审批后，实行备案管理。市规划国土委要根据《广东省整顿规范房地产中介行为专项治理实施方案》有关安排，开展随机抽查，建立常态化的市场监管机制，要加强与价格、公安、税务、工商、金融等部门的协同合作，建立完善守信联合激励和失信联合惩戒制度，依法查处房地产中介机构和房地产估价人员的违法行为。</w:t>
            </w:r>
          </w:p>
        </w:tc>
        <w:tc>
          <w:tcPr>
            <w:tcW w:w="4893" w:type="dxa"/>
            <w:shd w:val="clear" w:color="auto" w:fill="auto"/>
            <w:vAlign w:val="center"/>
          </w:tcPr>
          <w:p>
            <w:pPr>
              <w:spacing w:line="270" w:lineRule="exact"/>
              <w:ind w:left="-42" w:leftChars="-20" w:right="-42" w:rightChars="-20"/>
              <w:rPr>
                <w:rFonts w:hint="eastAsia" w:ascii="宋体" w:hAnsi="宋体" w:cs="宋体"/>
                <w:color w:val="000000"/>
                <w:kern w:val="21"/>
                <w:szCs w:val="21"/>
              </w:rPr>
            </w:pPr>
            <w:r>
              <w:rPr>
                <w:rFonts w:hint="eastAsia" w:ascii="宋体" w:hAnsi="宋体" w:cs="宋体"/>
                <w:color w:val="000000"/>
                <w:kern w:val="21"/>
                <w:szCs w:val="21"/>
              </w:rPr>
              <w:t>依据《广东省人民政府关于取消50项行政许可事项的决定》（粤府〔2017〕76号）第10项。</w:t>
            </w:r>
          </w:p>
          <w:p>
            <w:pPr>
              <w:spacing w:line="270" w:lineRule="exact"/>
              <w:ind w:left="-42" w:leftChars="-20" w:right="-42" w:rightChars="-20"/>
              <w:rPr>
                <w:rFonts w:hint="eastAsia" w:ascii="宋体" w:hAnsi="宋体" w:cs="宋体"/>
                <w:color w:val="000000"/>
                <w:kern w:val="0"/>
                <w:szCs w:val="21"/>
              </w:rPr>
            </w:pPr>
            <w:r>
              <w:rPr>
                <w:rFonts w:hint="eastAsia" w:ascii="宋体" w:hAnsi="宋体" w:cs="宋体"/>
                <w:color w:val="000000"/>
                <w:kern w:val="0"/>
                <w:szCs w:val="21"/>
              </w:rPr>
              <w:t>“房地产估价机构资质核准”分为以下小项：1.房地产估价机构一级资质变更初审；2.房地产估价机构一级资质核定初审；3.房地产估价机构一级资质延续初审；4.房地产估价机构二级资质变更初审；5.房地产估价机构二级资质核定初审；6.房地产估价机构二级资质延续初审；7.房地产估价机构三级资质核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60" w:type="dxa"/>
            <w:shd w:val="clear" w:color="auto" w:fill="auto"/>
            <w:vAlign w:val="center"/>
          </w:tcPr>
          <w:p>
            <w:pPr>
              <w:spacing w:line="260" w:lineRule="exact"/>
              <w:ind w:left="-42" w:leftChars="-20" w:right="-42" w:rightChars="-20"/>
              <w:jc w:val="center"/>
              <w:rPr>
                <w:rFonts w:hint="eastAsia" w:ascii="宋体" w:hAnsi="宋体" w:cs="宋体"/>
                <w:color w:val="000000"/>
                <w:kern w:val="0"/>
                <w:szCs w:val="21"/>
              </w:rPr>
            </w:pPr>
            <w:r>
              <w:rPr>
                <w:rFonts w:hint="eastAsia" w:ascii="宋体" w:hAnsi="宋体" w:cs="宋体"/>
                <w:color w:val="000000"/>
                <w:kern w:val="0"/>
                <w:szCs w:val="21"/>
              </w:rPr>
              <w:t>2</w:t>
            </w:r>
          </w:p>
        </w:tc>
        <w:tc>
          <w:tcPr>
            <w:tcW w:w="1636" w:type="dxa"/>
            <w:shd w:val="clear" w:color="auto" w:fill="auto"/>
            <w:vAlign w:val="center"/>
          </w:tcPr>
          <w:p>
            <w:pPr>
              <w:spacing w:line="280" w:lineRule="exact"/>
              <w:ind w:left="-42" w:leftChars="-20" w:right="-42" w:rightChars="-20"/>
              <w:rPr>
                <w:rFonts w:hint="eastAsia" w:ascii="宋体" w:hAnsi="宋体" w:cs="宋体"/>
                <w:color w:val="000000"/>
                <w:kern w:val="0"/>
                <w:szCs w:val="21"/>
              </w:rPr>
            </w:pPr>
            <w:r>
              <w:rPr>
                <w:rFonts w:hint="eastAsia" w:ascii="宋体" w:hAnsi="宋体" w:cs="宋体"/>
                <w:color w:val="000000"/>
                <w:kern w:val="0"/>
                <w:szCs w:val="21"/>
              </w:rPr>
              <w:t>对住房城乡建设部负责的城乡规划编制单位甲级资质认定的初审</w:t>
            </w:r>
          </w:p>
        </w:tc>
        <w:tc>
          <w:tcPr>
            <w:tcW w:w="1465" w:type="dxa"/>
            <w:shd w:val="clear" w:color="auto" w:fill="auto"/>
            <w:vAlign w:val="center"/>
          </w:tcPr>
          <w:p>
            <w:pPr>
              <w:spacing w:line="280" w:lineRule="exact"/>
              <w:ind w:left="-42" w:leftChars="-20" w:right="-42" w:rightChars="-20"/>
              <w:rPr>
                <w:rFonts w:hint="eastAsia" w:ascii="宋体" w:hAnsi="宋体" w:cs="宋体"/>
                <w:color w:val="000000"/>
                <w:kern w:val="0"/>
                <w:szCs w:val="21"/>
              </w:rPr>
            </w:pPr>
            <w:r>
              <w:rPr>
                <w:rFonts w:hint="eastAsia" w:ascii="宋体" w:hAnsi="宋体" w:cs="宋体"/>
                <w:color w:val="000000"/>
                <w:kern w:val="0"/>
                <w:szCs w:val="21"/>
              </w:rPr>
              <w:t>市规划国土委</w:t>
            </w:r>
          </w:p>
        </w:tc>
        <w:tc>
          <w:tcPr>
            <w:tcW w:w="4640" w:type="dxa"/>
            <w:shd w:val="clear" w:color="auto" w:fill="auto"/>
            <w:vAlign w:val="center"/>
          </w:tcPr>
          <w:p>
            <w:pPr>
              <w:spacing w:line="270" w:lineRule="exact"/>
              <w:ind w:left="-42" w:leftChars="-20" w:right="-42" w:rightChars="-20"/>
              <w:rPr>
                <w:rFonts w:hint="eastAsia" w:ascii="宋体" w:hAnsi="宋体" w:cs="宋体"/>
                <w:color w:val="000000"/>
                <w:kern w:val="0"/>
                <w:szCs w:val="21"/>
              </w:rPr>
            </w:pPr>
            <w:r>
              <w:rPr>
                <w:rFonts w:hint="eastAsia" w:ascii="宋体" w:hAnsi="宋体" w:cs="宋体"/>
                <w:color w:val="000000"/>
                <w:kern w:val="0"/>
                <w:szCs w:val="21"/>
              </w:rPr>
              <w:t>取消申请资料核对后，市规划国土委要在省城乡规划主管部门的督促指导下加强对城乡规划编制单位的管理和服务，做好城乡规划统计工作，及时掌握全省持有城乡规划编制资质证书的法人机构人员、财务、业务开展情况，加大事中事后监管力度，促进行业健康有序发展。</w:t>
            </w:r>
          </w:p>
        </w:tc>
        <w:tc>
          <w:tcPr>
            <w:tcW w:w="4893" w:type="dxa"/>
            <w:shd w:val="clear" w:color="auto" w:fill="auto"/>
            <w:vAlign w:val="center"/>
          </w:tcPr>
          <w:p>
            <w:pPr>
              <w:spacing w:line="280" w:lineRule="exact"/>
              <w:ind w:left="-42" w:leftChars="-20" w:right="-42" w:rightChars="-20"/>
              <w:rPr>
                <w:rFonts w:hint="eastAsia" w:ascii="宋体" w:hAnsi="宋体" w:cs="宋体"/>
                <w:color w:val="000000"/>
                <w:kern w:val="21"/>
                <w:szCs w:val="21"/>
              </w:rPr>
            </w:pPr>
            <w:r>
              <w:rPr>
                <w:rFonts w:hint="eastAsia" w:ascii="宋体" w:hAnsi="宋体" w:cs="宋体"/>
                <w:color w:val="000000"/>
                <w:kern w:val="21"/>
                <w:szCs w:val="21"/>
              </w:rPr>
              <w:t>依据《广东省人民政府关于取消50项行政许可事项的决定》（粤府〔2017〕76号）第11项。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60" w:type="dxa"/>
            <w:shd w:val="clear" w:color="auto" w:fill="auto"/>
            <w:vAlign w:val="center"/>
          </w:tcPr>
          <w:p>
            <w:pPr>
              <w:spacing w:line="260" w:lineRule="exact"/>
              <w:ind w:left="-42" w:leftChars="-20" w:right="-42" w:rightChars="-20"/>
              <w:jc w:val="center"/>
              <w:rPr>
                <w:rFonts w:hint="eastAsia" w:ascii="宋体" w:hAnsi="宋体" w:cs="宋体"/>
                <w:color w:val="000000"/>
                <w:kern w:val="0"/>
                <w:szCs w:val="21"/>
              </w:rPr>
            </w:pPr>
            <w:r>
              <w:rPr>
                <w:rFonts w:hint="eastAsia" w:ascii="宋体" w:hAnsi="宋体" w:cs="宋体"/>
                <w:color w:val="000000"/>
                <w:kern w:val="0"/>
                <w:szCs w:val="21"/>
              </w:rPr>
              <w:t>3</w:t>
            </w:r>
          </w:p>
        </w:tc>
        <w:tc>
          <w:tcPr>
            <w:tcW w:w="1636" w:type="dxa"/>
            <w:shd w:val="clear" w:color="auto" w:fill="auto"/>
            <w:vAlign w:val="center"/>
          </w:tcPr>
          <w:p>
            <w:pPr>
              <w:spacing w:line="280" w:lineRule="exact"/>
              <w:ind w:left="-42" w:leftChars="-20" w:right="-42" w:rightChars="-20"/>
              <w:rPr>
                <w:rFonts w:hint="eastAsia" w:ascii="宋体" w:hAnsi="宋体" w:cs="宋体"/>
                <w:color w:val="000000"/>
                <w:kern w:val="0"/>
                <w:szCs w:val="21"/>
              </w:rPr>
            </w:pPr>
            <w:r>
              <w:rPr>
                <w:rFonts w:hint="eastAsia" w:ascii="宋体" w:hAnsi="宋体" w:cs="宋体"/>
                <w:color w:val="000000"/>
                <w:kern w:val="0"/>
                <w:szCs w:val="21"/>
              </w:rPr>
              <w:t>物业服务企业二级及以下资质认定</w:t>
            </w:r>
          </w:p>
        </w:tc>
        <w:tc>
          <w:tcPr>
            <w:tcW w:w="1465" w:type="dxa"/>
            <w:shd w:val="clear" w:color="auto" w:fill="auto"/>
            <w:vAlign w:val="center"/>
          </w:tcPr>
          <w:p>
            <w:pPr>
              <w:spacing w:line="280" w:lineRule="exact"/>
              <w:ind w:left="-42" w:leftChars="-20" w:right="-42" w:rightChars="-20"/>
              <w:rPr>
                <w:rFonts w:hint="eastAsia" w:ascii="宋体" w:hAnsi="宋体" w:cs="宋体"/>
                <w:color w:val="000000"/>
                <w:kern w:val="0"/>
                <w:szCs w:val="21"/>
              </w:rPr>
            </w:pPr>
            <w:r>
              <w:rPr>
                <w:rFonts w:hint="eastAsia" w:ascii="宋体" w:hAnsi="宋体" w:cs="宋体"/>
                <w:color w:val="000000"/>
                <w:kern w:val="0"/>
                <w:szCs w:val="21"/>
              </w:rPr>
              <w:t>市住房建设局</w:t>
            </w:r>
          </w:p>
        </w:tc>
        <w:tc>
          <w:tcPr>
            <w:tcW w:w="4640" w:type="dxa"/>
            <w:shd w:val="clear" w:color="auto" w:fill="auto"/>
            <w:vAlign w:val="center"/>
          </w:tcPr>
          <w:p>
            <w:pPr>
              <w:spacing w:line="280" w:lineRule="exact"/>
              <w:ind w:left="-42" w:leftChars="-20" w:right="-42" w:rightChars="-20"/>
              <w:rPr>
                <w:rFonts w:hint="eastAsia" w:ascii="宋体" w:hAnsi="宋体" w:cs="宋体"/>
                <w:color w:val="000000"/>
                <w:kern w:val="0"/>
                <w:szCs w:val="21"/>
              </w:rPr>
            </w:pPr>
            <w:r>
              <w:rPr>
                <w:rFonts w:hint="eastAsia" w:ascii="宋体" w:hAnsi="宋体" w:cs="宋体"/>
                <w:color w:val="000000"/>
                <w:kern w:val="0"/>
                <w:szCs w:val="21"/>
              </w:rPr>
              <w:t>取消审批后，市住房建设局要完善物业服务标准规范，通过建立黑名单制度、开展随机抽查、畅通信访举报渠道、推动行业自律等方式，加强事中事后监管。</w:t>
            </w:r>
          </w:p>
        </w:tc>
        <w:tc>
          <w:tcPr>
            <w:tcW w:w="4893" w:type="dxa"/>
            <w:shd w:val="clear" w:color="auto" w:fill="auto"/>
            <w:vAlign w:val="center"/>
          </w:tcPr>
          <w:p>
            <w:pPr>
              <w:spacing w:line="270" w:lineRule="exact"/>
              <w:ind w:left="-42" w:leftChars="-20" w:right="-42" w:rightChars="-20"/>
              <w:rPr>
                <w:rFonts w:hint="eastAsia" w:ascii="宋体" w:hAnsi="宋体" w:cs="宋体"/>
                <w:color w:val="000000"/>
                <w:kern w:val="21"/>
                <w:szCs w:val="21"/>
              </w:rPr>
            </w:pPr>
            <w:r>
              <w:rPr>
                <w:rFonts w:hint="eastAsia" w:ascii="宋体" w:hAnsi="宋体" w:cs="宋体"/>
                <w:color w:val="000000"/>
                <w:kern w:val="21"/>
                <w:szCs w:val="21"/>
              </w:rPr>
              <w:t>依据《广东省人民政府关于取消50项行政许可事项的决定》（粤府〔2017〕76号）第12项。</w:t>
            </w:r>
          </w:p>
          <w:p>
            <w:pPr>
              <w:spacing w:line="270" w:lineRule="exact"/>
              <w:ind w:left="-42" w:leftChars="-20" w:right="-42" w:rightChars="-20"/>
              <w:rPr>
                <w:rFonts w:hint="eastAsia" w:ascii="宋体" w:hAnsi="宋体" w:cs="宋体"/>
                <w:color w:val="000000"/>
                <w:kern w:val="21"/>
                <w:szCs w:val="21"/>
              </w:rPr>
            </w:pPr>
            <w:r>
              <w:rPr>
                <w:rFonts w:hint="eastAsia" w:ascii="宋体" w:hAnsi="宋体" w:cs="仿宋_GB2312"/>
                <w:kern w:val="21"/>
                <w:szCs w:val="21"/>
              </w:rPr>
              <w:t>“物业服务企业二级及以下资质认定”分为以下小项：1.物业服务企业（三级暂定）资质核准；2.物业服务企业资质升级初审和核查（二级）；3.物业服务企业资质证书信息变更（二级企业法人、注册资本、地址、企业类型变更）；4.物业服务企业二级资质证书信息变更初审（企业名称变更）；5.物业服务企业资质证书补办（二级）；6.物业服务企业资质注销（二级）；7.物业服务企业资质证书信息变更（三级及三级暂定）；8.物业服务企业资质证书补办（三级及三级暂定）；9.物业服务企业资质注销（三级）。</w:t>
            </w:r>
          </w:p>
        </w:tc>
      </w:tr>
    </w:tbl>
    <w:p>
      <w:pPr>
        <w:rPr>
          <w:rFonts w:hint="eastAsia"/>
        </w:rPr>
      </w:pPr>
    </w:p>
    <w:tbl>
      <w:tblPr>
        <w:tblStyle w:val="7"/>
        <w:tblW w:w="1319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
        <w:gridCol w:w="1636"/>
        <w:gridCol w:w="1465"/>
        <w:gridCol w:w="4640"/>
        <w:gridCol w:w="4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60" w:type="dxa"/>
            <w:shd w:val="clear" w:color="auto" w:fill="auto"/>
            <w:vAlign w:val="center"/>
          </w:tcPr>
          <w:p>
            <w:pPr>
              <w:spacing w:line="260" w:lineRule="exact"/>
              <w:ind w:left="-42" w:leftChars="-20" w:right="-42" w:rightChars="-20"/>
              <w:jc w:val="center"/>
              <w:rPr>
                <w:rFonts w:hint="eastAsia" w:ascii="黑体" w:hAnsi="宋体" w:eastAsia="黑体" w:cs="宋体"/>
                <w:bCs/>
                <w:color w:val="000000"/>
                <w:kern w:val="0"/>
                <w:szCs w:val="21"/>
              </w:rPr>
            </w:pPr>
            <w:r>
              <w:rPr>
                <w:rFonts w:hint="eastAsia" w:ascii="黑体" w:hAnsi="宋体" w:eastAsia="黑体" w:cs="宋体"/>
                <w:bCs/>
                <w:color w:val="000000"/>
                <w:kern w:val="0"/>
                <w:szCs w:val="21"/>
              </w:rPr>
              <w:t>序号</w:t>
            </w:r>
          </w:p>
        </w:tc>
        <w:tc>
          <w:tcPr>
            <w:tcW w:w="1636" w:type="dxa"/>
            <w:shd w:val="clear" w:color="auto" w:fill="auto"/>
            <w:vAlign w:val="center"/>
          </w:tcPr>
          <w:p>
            <w:pPr>
              <w:spacing w:line="260" w:lineRule="exact"/>
              <w:ind w:left="-42" w:leftChars="-20" w:right="-42" w:rightChars="-20"/>
              <w:jc w:val="center"/>
              <w:rPr>
                <w:rFonts w:hint="eastAsia" w:ascii="黑体" w:hAnsi="宋体" w:eastAsia="黑体" w:cs="宋体"/>
                <w:bCs/>
                <w:color w:val="000000"/>
                <w:kern w:val="0"/>
                <w:szCs w:val="21"/>
              </w:rPr>
            </w:pPr>
            <w:r>
              <w:rPr>
                <w:rFonts w:hint="eastAsia" w:ascii="黑体" w:hAnsi="宋体" w:eastAsia="黑体" w:cs="宋体"/>
                <w:bCs/>
                <w:color w:val="000000"/>
                <w:kern w:val="0"/>
                <w:szCs w:val="21"/>
              </w:rPr>
              <w:t>项目名称</w:t>
            </w:r>
          </w:p>
        </w:tc>
        <w:tc>
          <w:tcPr>
            <w:tcW w:w="1465" w:type="dxa"/>
            <w:shd w:val="clear" w:color="auto" w:fill="auto"/>
            <w:vAlign w:val="center"/>
          </w:tcPr>
          <w:p>
            <w:pPr>
              <w:spacing w:line="260" w:lineRule="exact"/>
              <w:ind w:left="-42" w:leftChars="-20" w:right="-42" w:rightChars="-20"/>
              <w:jc w:val="center"/>
              <w:rPr>
                <w:rFonts w:hint="eastAsia" w:ascii="黑体" w:hAnsi="宋体" w:eastAsia="黑体" w:cs="宋体"/>
                <w:bCs/>
                <w:color w:val="000000"/>
                <w:kern w:val="0"/>
                <w:szCs w:val="21"/>
              </w:rPr>
            </w:pPr>
            <w:r>
              <w:rPr>
                <w:rFonts w:hint="eastAsia" w:ascii="黑体" w:hAnsi="宋体" w:eastAsia="黑体" w:cs="宋体"/>
                <w:bCs/>
                <w:color w:val="000000"/>
                <w:kern w:val="0"/>
                <w:szCs w:val="21"/>
              </w:rPr>
              <w:t>实施部门</w:t>
            </w:r>
          </w:p>
        </w:tc>
        <w:tc>
          <w:tcPr>
            <w:tcW w:w="4640" w:type="dxa"/>
            <w:shd w:val="clear" w:color="auto" w:fill="auto"/>
            <w:vAlign w:val="center"/>
          </w:tcPr>
          <w:p>
            <w:pPr>
              <w:spacing w:line="260" w:lineRule="exact"/>
              <w:ind w:left="-42" w:leftChars="-20" w:right="-42" w:rightChars="-20"/>
              <w:jc w:val="center"/>
              <w:rPr>
                <w:rFonts w:hint="eastAsia" w:ascii="黑体" w:hAnsi="宋体" w:eastAsia="黑体" w:cs="宋体"/>
                <w:bCs/>
                <w:color w:val="000000"/>
                <w:kern w:val="0"/>
                <w:szCs w:val="21"/>
              </w:rPr>
            </w:pPr>
            <w:r>
              <w:rPr>
                <w:rFonts w:hint="eastAsia" w:ascii="黑体" w:hAnsi="宋体" w:eastAsia="黑体" w:cs="宋体"/>
                <w:bCs/>
                <w:color w:val="000000"/>
                <w:kern w:val="0"/>
                <w:szCs w:val="21"/>
              </w:rPr>
              <w:t>加强事中事后监管措施</w:t>
            </w:r>
          </w:p>
        </w:tc>
        <w:tc>
          <w:tcPr>
            <w:tcW w:w="4893" w:type="dxa"/>
            <w:shd w:val="clear" w:color="auto" w:fill="auto"/>
            <w:vAlign w:val="center"/>
          </w:tcPr>
          <w:p>
            <w:pPr>
              <w:spacing w:line="260" w:lineRule="exact"/>
              <w:ind w:left="-42" w:leftChars="-20" w:right="-42" w:rightChars="-20"/>
              <w:jc w:val="center"/>
              <w:rPr>
                <w:rFonts w:hint="eastAsia" w:ascii="黑体" w:hAnsi="宋体" w:eastAsia="黑体" w:cs="宋体"/>
                <w:bCs/>
                <w:color w:val="000000"/>
                <w:kern w:val="0"/>
                <w:szCs w:val="21"/>
              </w:rPr>
            </w:pPr>
            <w:r>
              <w:rPr>
                <w:rFonts w:hint="eastAsia" w:ascii="黑体" w:hAnsi="宋体" w:eastAsia="黑体" w:cs="宋体"/>
                <w:bCs/>
                <w:color w:val="00000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60" w:type="dxa"/>
            <w:shd w:val="clear" w:color="auto" w:fill="auto"/>
            <w:vAlign w:val="center"/>
          </w:tcPr>
          <w:p>
            <w:pPr>
              <w:spacing w:line="260" w:lineRule="exact"/>
              <w:ind w:left="-42" w:leftChars="-20" w:right="-42" w:rightChars="-20"/>
              <w:jc w:val="center"/>
              <w:rPr>
                <w:rFonts w:hint="eastAsia" w:ascii="宋体" w:hAnsi="宋体" w:cs="宋体"/>
                <w:color w:val="000000"/>
                <w:kern w:val="0"/>
                <w:szCs w:val="21"/>
              </w:rPr>
            </w:pPr>
            <w:r>
              <w:rPr>
                <w:rFonts w:hint="eastAsia" w:ascii="宋体" w:hAnsi="宋体" w:cs="宋体"/>
                <w:color w:val="000000"/>
                <w:kern w:val="0"/>
                <w:szCs w:val="21"/>
              </w:rPr>
              <w:t>4</w:t>
            </w:r>
          </w:p>
        </w:tc>
        <w:tc>
          <w:tcPr>
            <w:tcW w:w="1636" w:type="dxa"/>
            <w:shd w:val="clear" w:color="auto" w:fill="auto"/>
            <w:vAlign w:val="center"/>
          </w:tcPr>
          <w:p>
            <w:pPr>
              <w:spacing w:line="280" w:lineRule="exact"/>
              <w:ind w:left="-42" w:leftChars="-20" w:right="-42" w:rightChars="-20"/>
              <w:rPr>
                <w:rFonts w:hint="eastAsia" w:ascii="宋体" w:hAnsi="宋体" w:cs="宋体"/>
                <w:color w:val="000000"/>
                <w:kern w:val="21"/>
                <w:szCs w:val="21"/>
              </w:rPr>
            </w:pPr>
            <w:r>
              <w:rPr>
                <w:rFonts w:hint="eastAsia" w:ascii="宋体" w:hAnsi="宋体" w:cs="宋体"/>
                <w:color w:val="000000"/>
                <w:kern w:val="21"/>
                <w:szCs w:val="21"/>
              </w:rPr>
              <w:t>城市园林绿化企业二级及以下资质核准</w:t>
            </w:r>
          </w:p>
        </w:tc>
        <w:tc>
          <w:tcPr>
            <w:tcW w:w="1465" w:type="dxa"/>
            <w:shd w:val="clear" w:color="auto" w:fill="auto"/>
            <w:vAlign w:val="center"/>
          </w:tcPr>
          <w:p>
            <w:pPr>
              <w:spacing w:line="280" w:lineRule="exact"/>
              <w:ind w:left="-42" w:leftChars="-20" w:right="-42" w:rightChars="-20"/>
              <w:rPr>
                <w:rFonts w:hint="eastAsia" w:ascii="宋体" w:hAnsi="宋体" w:cs="宋体"/>
                <w:color w:val="000000"/>
                <w:kern w:val="21"/>
                <w:szCs w:val="21"/>
              </w:rPr>
            </w:pPr>
            <w:r>
              <w:rPr>
                <w:rFonts w:hint="eastAsia" w:ascii="宋体" w:hAnsi="宋体" w:cs="宋体"/>
                <w:color w:val="000000"/>
                <w:kern w:val="21"/>
                <w:szCs w:val="21"/>
              </w:rPr>
              <w:t>市城管局</w:t>
            </w:r>
          </w:p>
        </w:tc>
        <w:tc>
          <w:tcPr>
            <w:tcW w:w="4640" w:type="dxa"/>
            <w:shd w:val="clear" w:color="auto" w:fill="auto"/>
            <w:vAlign w:val="center"/>
          </w:tcPr>
          <w:p>
            <w:pPr>
              <w:spacing w:line="280" w:lineRule="exact"/>
              <w:ind w:left="-42" w:leftChars="-20" w:right="-42" w:rightChars="-20"/>
              <w:rPr>
                <w:rFonts w:hint="eastAsia" w:ascii="宋体" w:hAnsi="宋体" w:cs="宋体"/>
                <w:color w:val="000000"/>
                <w:kern w:val="21"/>
                <w:szCs w:val="21"/>
              </w:rPr>
            </w:pPr>
            <w:r>
              <w:rPr>
                <w:rFonts w:hint="eastAsia" w:ascii="宋体" w:hAnsi="宋体" w:cs="宋体"/>
                <w:color w:val="000000"/>
                <w:kern w:val="21"/>
                <w:szCs w:val="21"/>
              </w:rPr>
              <w:t>取消审批后，市城管局要创新城市园林绿化市场管理方式，探索建立健全园林绿化企业信用评价、守信激励、失信惩戒等信用管理制度，加强事中事后监管，维护市场公平竞争秩序。</w:t>
            </w:r>
          </w:p>
        </w:tc>
        <w:tc>
          <w:tcPr>
            <w:tcW w:w="4893" w:type="dxa"/>
            <w:shd w:val="clear" w:color="auto" w:fill="auto"/>
            <w:vAlign w:val="center"/>
          </w:tcPr>
          <w:p>
            <w:pPr>
              <w:spacing w:line="280" w:lineRule="exact"/>
              <w:ind w:left="-42" w:leftChars="-20" w:right="-42" w:rightChars="-20"/>
              <w:rPr>
                <w:rFonts w:hint="eastAsia" w:ascii="宋体" w:hAnsi="宋体" w:cs="宋体"/>
                <w:color w:val="000000"/>
                <w:kern w:val="21"/>
                <w:szCs w:val="21"/>
              </w:rPr>
            </w:pPr>
            <w:r>
              <w:rPr>
                <w:rFonts w:hint="eastAsia" w:ascii="宋体" w:hAnsi="宋体" w:cs="宋体"/>
                <w:color w:val="000000"/>
                <w:kern w:val="21"/>
                <w:szCs w:val="21"/>
              </w:rPr>
              <w:t>依据《广东省人民政府关于取消50项行政许可事项的决定》（粤府〔2017〕76号）第13项。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60" w:type="dxa"/>
            <w:shd w:val="clear" w:color="auto" w:fill="auto"/>
            <w:vAlign w:val="center"/>
          </w:tcPr>
          <w:p>
            <w:pPr>
              <w:spacing w:line="260" w:lineRule="exact"/>
              <w:ind w:left="-42" w:leftChars="-20" w:right="-42" w:rightChars="-20"/>
              <w:jc w:val="center"/>
              <w:rPr>
                <w:rFonts w:hint="eastAsia" w:ascii="宋体" w:hAnsi="宋体" w:cs="宋体"/>
                <w:color w:val="000000"/>
                <w:kern w:val="0"/>
                <w:szCs w:val="21"/>
              </w:rPr>
            </w:pPr>
            <w:r>
              <w:rPr>
                <w:rFonts w:hint="eastAsia" w:ascii="宋体" w:hAnsi="宋体" w:cs="宋体"/>
                <w:color w:val="000000"/>
                <w:kern w:val="0"/>
                <w:szCs w:val="21"/>
              </w:rPr>
              <w:t>5</w:t>
            </w:r>
          </w:p>
        </w:tc>
        <w:tc>
          <w:tcPr>
            <w:tcW w:w="1636" w:type="dxa"/>
            <w:shd w:val="clear" w:color="auto" w:fill="auto"/>
            <w:vAlign w:val="center"/>
          </w:tcPr>
          <w:p>
            <w:pPr>
              <w:spacing w:line="280" w:lineRule="exact"/>
              <w:ind w:left="-42" w:leftChars="-20" w:right="-42" w:rightChars="-20"/>
              <w:rPr>
                <w:rFonts w:hint="eastAsia" w:ascii="宋体" w:hAnsi="宋体" w:cs="宋体"/>
                <w:color w:val="000000"/>
                <w:kern w:val="21"/>
                <w:szCs w:val="21"/>
              </w:rPr>
            </w:pPr>
            <w:r>
              <w:rPr>
                <w:rFonts w:hint="eastAsia" w:ascii="宋体" w:hAnsi="宋体" w:cs="宋体"/>
                <w:color w:val="000000"/>
                <w:kern w:val="21"/>
                <w:szCs w:val="21"/>
              </w:rPr>
              <w:t>运输保护野生动物及其产品出省（县）境审批</w:t>
            </w:r>
          </w:p>
        </w:tc>
        <w:tc>
          <w:tcPr>
            <w:tcW w:w="1465" w:type="dxa"/>
            <w:shd w:val="clear" w:color="auto" w:fill="auto"/>
            <w:vAlign w:val="center"/>
          </w:tcPr>
          <w:p>
            <w:pPr>
              <w:spacing w:line="280" w:lineRule="exact"/>
              <w:ind w:left="-42" w:leftChars="-20" w:right="-42" w:rightChars="-20"/>
              <w:rPr>
                <w:rFonts w:hint="eastAsia" w:ascii="宋体" w:hAnsi="宋体" w:cs="宋体"/>
                <w:color w:val="000000"/>
                <w:kern w:val="21"/>
                <w:szCs w:val="21"/>
              </w:rPr>
            </w:pPr>
            <w:r>
              <w:rPr>
                <w:rFonts w:hint="eastAsia" w:ascii="宋体" w:hAnsi="宋体" w:cs="宋体"/>
                <w:color w:val="000000"/>
                <w:kern w:val="21"/>
                <w:szCs w:val="21"/>
              </w:rPr>
              <w:t>市、区林业主管部门</w:t>
            </w:r>
          </w:p>
        </w:tc>
        <w:tc>
          <w:tcPr>
            <w:tcW w:w="4640" w:type="dxa"/>
            <w:shd w:val="clear" w:color="auto" w:fill="auto"/>
            <w:vAlign w:val="center"/>
          </w:tcPr>
          <w:p>
            <w:pPr>
              <w:spacing w:line="280" w:lineRule="exact"/>
              <w:ind w:left="-42" w:leftChars="-20" w:right="-42" w:rightChars="-20"/>
              <w:rPr>
                <w:rFonts w:hint="eastAsia" w:ascii="宋体" w:hAnsi="宋体" w:cs="宋体"/>
                <w:color w:val="000000"/>
                <w:kern w:val="21"/>
                <w:szCs w:val="21"/>
              </w:rPr>
            </w:pPr>
            <w:r>
              <w:rPr>
                <w:rFonts w:hint="eastAsia" w:ascii="宋体" w:hAnsi="宋体" w:cs="宋体"/>
                <w:color w:val="000000"/>
                <w:kern w:val="21"/>
                <w:szCs w:val="21"/>
              </w:rPr>
              <w:t>取消审批后，市、区林业主管部门要会同交通运输、铁路、民航、邮政等部门，按照职责分工强化对野生动物及其制品出售、购买、利用、运输、寄递等活动的监督检查和检验，依法查处违法行为。</w:t>
            </w:r>
          </w:p>
        </w:tc>
        <w:tc>
          <w:tcPr>
            <w:tcW w:w="4893" w:type="dxa"/>
            <w:shd w:val="clear" w:color="auto" w:fill="auto"/>
            <w:vAlign w:val="center"/>
          </w:tcPr>
          <w:p>
            <w:pPr>
              <w:spacing w:line="280" w:lineRule="exact"/>
              <w:ind w:left="-42" w:leftChars="-20" w:right="-42" w:rightChars="-20"/>
              <w:rPr>
                <w:rFonts w:hint="eastAsia" w:ascii="宋体" w:hAnsi="宋体" w:cs="宋体"/>
                <w:color w:val="000000"/>
                <w:kern w:val="21"/>
                <w:szCs w:val="21"/>
              </w:rPr>
            </w:pPr>
            <w:r>
              <w:rPr>
                <w:rFonts w:hint="eastAsia" w:ascii="宋体" w:hAnsi="宋体" w:cs="宋体"/>
                <w:color w:val="000000"/>
                <w:kern w:val="21"/>
                <w:szCs w:val="21"/>
              </w:rPr>
              <w:t>依据《广东省人民政府关于取消50项行政许可事项的决定》（粤府〔2017〕76号）第22项。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60" w:type="dxa"/>
            <w:shd w:val="clear" w:color="auto" w:fill="auto"/>
            <w:vAlign w:val="center"/>
          </w:tcPr>
          <w:p>
            <w:pPr>
              <w:spacing w:line="260" w:lineRule="exact"/>
              <w:ind w:left="-42" w:leftChars="-20" w:right="-42" w:rightChars="-20"/>
              <w:jc w:val="center"/>
              <w:rPr>
                <w:rFonts w:hint="eastAsia" w:ascii="宋体" w:hAnsi="宋体" w:cs="宋体"/>
                <w:color w:val="000000"/>
                <w:kern w:val="0"/>
                <w:szCs w:val="21"/>
              </w:rPr>
            </w:pPr>
            <w:r>
              <w:rPr>
                <w:rFonts w:hint="eastAsia" w:ascii="宋体" w:hAnsi="宋体" w:cs="宋体"/>
                <w:color w:val="000000"/>
                <w:kern w:val="0"/>
                <w:szCs w:val="21"/>
              </w:rPr>
              <w:t>6</w:t>
            </w:r>
          </w:p>
        </w:tc>
        <w:tc>
          <w:tcPr>
            <w:tcW w:w="1636" w:type="dxa"/>
            <w:shd w:val="clear" w:color="auto" w:fill="auto"/>
            <w:vAlign w:val="center"/>
          </w:tcPr>
          <w:p>
            <w:pPr>
              <w:spacing w:line="280" w:lineRule="exact"/>
              <w:ind w:left="-42" w:leftChars="-20" w:right="-42" w:rightChars="-20"/>
              <w:rPr>
                <w:rFonts w:hint="eastAsia" w:ascii="宋体" w:hAnsi="宋体" w:cs="宋体"/>
                <w:color w:val="000000"/>
                <w:kern w:val="21"/>
                <w:szCs w:val="21"/>
              </w:rPr>
            </w:pPr>
            <w:r>
              <w:rPr>
                <w:rFonts w:hint="eastAsia" w:ascii="宋体" w:hAnsi="宋体" w:cs="宋体"/>
                <w:color w:val="000000"/>
                <w:kern w:val="21"/>
                <w:szCs w:val="21"/>
              </w:rPr>
              <w:t>对外承包工程经营资格审批</w:t>
            </w:r>
          </w:p>
        </w:tc>
        <w:tc>
          <w:tcPr>
            <w:tcW w:w="1465" w:type="dxa"/>
            <w:shd w:val="clear" w:color="auto" w:fill="auto"/>
            <w:vAlign w:val="center"/>
          </w:tcPr>
          <w:p>
            <w:pPr>
              <w:spacing w:line="280" w:lineRule="exact"/>
              <w:ind w:left="-42" w:leftChars="-20" w:right="-42" w:rightChars="-20"/>
              <w:rPr>
                <w:rFonts w:hint="eastAsia" w:ascii="宋体" w:hAnsi="宋体" w:cs="宋体"/>
                <w:color w:val="000000"/>
                <w:kern w:val="21"/>
                <w:szCs w:val="21"/>
              </w:rPr>
            </w:pPr>
            <w:r>
              <w:rPr>
                <w:rFonts w:hint="eastAsia" w:ascii="宋体" w:hAnsi="宋体" w:cs="宋体"/>
                <w:color w:val="000000"/>
                <w:kern w:val="21"/>
                <w:szCs w:val="21"/>
              </w:rPr>
              <w:t>市经贸信息委</w:t>
            </w:r>
            <w:r>
              <w:rPr>
                <w:rFonts w:hint="eastAsia" w:ascii="宋体" w:hAnsi="宋体" w:cs="宋体"/>
                <w:color w:val="000000"/>
                <w:spacing w:val="-40"/>
                <w:kern w:val="21"/>
                <w:szCs w:val="21"/>
              </w:rPr>
              <w:t>、</w:t>
            </w:r>
            <w:r>
              <w:rPr>
                <w:rFonts w:hint="eastAsia" w:ascii="宋体" w:hAnsi="宋体" w:cs="宋体"/>
                <w:color w:val="000000"/>
                <w:kern w:val="21"/>
                <w:szCs w:val="21"/>
              </w:rPr>
              <w:t>前海蛇口自贸片区管委会</w:t>
            </w:r>
          </w:p>
        </w:tc>
        <w:tc>
          <w:tcPr>
            <w:tcW w:w="4640" w:type="dxa"/>
            <w:shd w:val="clear" w:color="auto" w:fill="auto"/>
            <w:vAlign w:val="center"/>
          </w:tcPr>
          <w:p>
            <w:pPr>
              <w:spacing w:line="280" w:lineRule="exact"/>
              <w:ind w:left="-42" w:leftChars="-20" w:right="-42" w:rightChars="-20"/>
              <w:rPr>
                <w:rFonts w:hint="eastAsia" w:ascii="宋体" w:hAnsi="宋体" w:cs="宋体"/>
                <w:color w:val="000000"/>
                <w:kern w:val="21"/>
                <w:szCs w:val="21"/>
              </w:rPr>
            </w:pPr>
            <w:r>
              <w:rPr>
                <w:rFonts w:hint="eastAsia" w:ascii="宋体" w:hAnsi="宋体" w:cs="宋体"/>
                <w:color w:val="000000"/>
                <w:kern w:val="21"/>
                <w:szCs w:val="21"/>
              </w:rPr>
              <w:t>取消审批后，市经贸信息委、前海蛇口自贸片区管委会要加强对外承包工程活动的监督管理，建立健全对外承包工程突发事件预警、防范和应急处置机制，依法查处违法违规行为。</w:t>
            </w:r>
          </w:p>
        </w:tc>
        <w:tc>
          <w:tcPr>
            <w:tcW w:w="4893" w:type="dxa"/>
            <w:shd w:val="clear" w:color="auto" w:fill="auto"/>
            <w:vAlign w:val="center"/>
          </w:tcPr>
          <w:p>
            <w:pPr>
              <w:spacing w:line="280" w:lineRule="exact"/>
              <w:ind w:left="-42" w:leftChars="-20" w:right="-42" w:rightChars="-20"/>
              <w:rPr>
                <w:rFonts w:hint="eastAsia" w:ascii="宋体" w:hAnsi="宋体" w:cs="宋体"/>
                <w:color w:val="000000"/>
                <w:kern w:val="21"/>
                <w:szCs w:val="21"/>
              </w:rPr>
            </w:pPr>
            <w:r>
              <w:rPr>
                <w:rFonts w:hint="eastAsia" w:ascii="宋体" w:hAnsi="宋体" w:cs="宋体"/>
                <w:color w:val="000000"/>
                <w:kern w:val="21"/>
                <w:szCs w:val="21"/>
              </w:rPr>
              <w:t>依据《广东省人民政府关于取消50项行政许可事项的决定》（粤府〔2017〕76号）第34项。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60" w:type="dxa"/>
            <w:shd w:val="clear" w:color="auto" w:fill="auto"/>
            <w:vAlign w:val="center"/>
          </w:tcPr>
          <w:p>
            <w:pPr>
              <w:spacing w:line="260" w:lineRule="exact"/>
              <w:ind w:left="-42" w:leftChars="-20" w:right="-42" w:rightChars="-20"/>
              <w:jc w:val="center"/>
              <w:rPr>
                <w:rFonts w:hint="eastAsia" w:ascii="宋体" w:hAnsi="宋体" w:cs="宋体"/>
                <w:color w:val="000000"/>
                <w:kern w:val="0"/>
                <w:szCs w:val="21"/>
              </w:rPr>
            </w:pPr>
            <w:r>
              <w:rPr>
                <w:rFonts w:hint="eastAsia" w:ascii="宋体" w:hAnsi="宋体" w:cs="宋体"/>
                <w:color w:val="000000"/>
                <w:kern w:val="0"/>
                <w:szCs w:val="21"/>
              </w:rPr>
              <w:t>7</w:t>
            </w:r>
          </w:p>
        </w:tc>
        <w:tc>
          <w:tcPr>
            <w:tcW w:w="1636" w:type="dxa"/>
            <w:shd w:val="clear" w:color="auto" w:fill="auto"/>
            <w:vAlign w:val="center"/>
          </w:tcPr>
          <w:p>
            <w:pPr>
              <w:spacing w:line="280" w:lineRule="exact"/>
              <w:ind w:left="-42" w:leftChars="-20" w:right="-42" w:rightChars="-20"/>
              <w:rPr>
                <w:rFonts w:hint="eastAsia" w:ascii="宋体" w:hAnsi="宋体" w:cs="宋体"/>
                <w:kern w:val="21"/>
                <w:szCs w:val="21"/>
              </w:rPr>
            </w:pPr>
            <w:r>
              <w:rPr>
                <w:rFonts w:hint="eastAsia" w:ascii="宋体" w:hAnsi="宋体" w:cs="宋体"/>
                <w:kern w:val="21"/>
                <w:szCs w:val="21"/>
              </w:rPr>
              <w:t>运输国家一、二级及省重点保护水生动物或其产品的审批</w:t>
            </w:r>
          </w:p>
        </w:tc>
        <w:tc>
          <w:tcPr>
            <w:tcW w:w="1465" w:type="dxa"/>
            <w:shd w:val="clear" w:color="auto" w:fill="auto"/>
            <w:vAlign w:val="center"/>
          </w:tcPr>
          <w:p>
            <w:pPr>
              <w:spacing w:line="280" w:lineRule="exact"/>
              <w:ind w:left="-42" w:leftChars="-20" w:right="-42" w:rightChars="-20"/>
              <w:rPr>
                <w:rFonts w:hint="eastAsia" w:ascii="宋体" w:hAnsi="宋体" w:cs="宋体"/>
                <w:color w:val="000000"/>
                <w:kern w:val="21"/>
                <w:szCs w:val="21"/>
              </w:rPr>
            </w:pPr>
            <w:r>
              <w:rPr>
                <w:rFonts w:hint="eastAsia" w:ascii="宋体" w:hAnsi="宋体" w:cs="宋体"/>
                <w:color w:val="000000"/>
                <w:kern w:val="21"/>
                <w:szCs w:val="21"/>
              </w:rPr>
              <w:t>市、区经贸信息部门</w:t>
            </w:r>
          </w:p>
        </w:tc>
        <w:tc>
          <w:tcPr>
            <w:tcW w:w="4640" w:type="dxa"/>
            <w:shd w:val="clear" w:color="auto" w:fill="auto"/>
            <w:vAlign w:val="center"/>
          </w:tcPr>
          <w:p>
            <w:pPr>
              <w:spacing w:line="280" w:lineRule="exact"/>
              <w:ind w:left="-42" w:leftChars="-20" w:right="-42" w:rightChars="-20"/>
              <w:rPr>
                <w:rFonts w:hint="eastAsia" w:ascii="宋体" w:hAnsi="宋体" w:cs="宋体"/>
                <w:color w:val="000000"/>
                <w:kern w:val="21"/>
                <w:szCs w:val="21"/>
              </w:rPr>
            </w:pPr>
            <w:r>
              <w:rPr>
                <w:rFonts w:hint="eastAsia" w:ascii="宋体" w:hAnsi="宋体" w:cs="宋体"/>
                <w:color w:val="000000"/>
                <w:kern w:val="21"/>
                <w:szCs w:val="21"/>
              </w:rPr>
              <w:t>取消审批后，市、区经贸信息部门要会同交通运输、铁路、民航、邮政等部门，按照职责分工强化对</w:t>
            </w:r>
            <w:r>
              <w:rPr>
                <w:rFonts w:hint="eastAsia" w:ascii="宋体" w:hAnsi="宋体" w:cs="宋体"/>
                <w:kern w:val="21"/>
                <w:szCs w:val="21"/>
              </w:rPr>
              <w:t>运输国家一、二级及省重点保护水生动物或其产品</w:t>
            </w:r>
            <w:r>
              <w:rPr>
                <w:rFonts w:hint="eastAsia" w:ascii="宋体" w:hAnsi="宋体" w:cs="宋体"/>
                <w:color w:val="000000"/>
                <w:kern w:val="21"/>
                <w:szCs w:val="21"/>
              </w:rPr>
              <w:t>等活动的监督检查和检验，依法查处违法行为。</w:t>
            </w:r>
          </w:p>
        </w:tc>
        <w:tc>
          <w:tcPr>
            <w:tcW w:w="4893" w:type="dxa"/>
            <w:shd w:val="clear" w:color="auto" w:fill="auto"/>
            <w:vAlign w:val="center"/>
          </w:tcPr>
          <w:p>
            <w:pPr>
              <w:spacing w:line="280" w:lineRule="exact"/>
              <w:ind w:left="-42" w:leftChars="-20" w:right="-42" w:rightChars="-20"/>
              <w:rPr>
                <w:rFonts w:hint="eastAsia" w:ascii="宋体" w:hAnsi="宋体" w:cs="宋体"/>
                <w:color w:val="000000"/>
                <w:kern w:val="21"/>
                <w:szCs w:val="21"/>
              </w:rPr>
            </w:pPr>
            <w:r>
              <w:rPr>
                <w:rFonts w:hint="eastAsia" w:ascii="宋体" w:hAnsi="宋体" w:cs="宋体"/>
                <w:color w:val="000000"/>
                <w:kern w:val="21"/>
                <w:szCs w:val="21"/>
              </w:rPr>
              <w:t>依据《广东省人民政府关于取消50项行政许可事项的决定》（粤府〔2017〕76号）第22项。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60" w:type="dxa"/>
            <w:shd w:val="clear" w:color="auto" w:fill="auto"/>
            <w:vAlign w:val="center"/>
          </w:tcPr>
          <w:p>
            <w:pPr>
              <w:spacing w:line="260" w:lineRule="exact"/>
              <w:ind w:left="-42" w:leftChars="-20" w:right="-42" w:rightChars="-20"/>
              <w:jc w:val="center"/>
              <w:rPr>
                <w:rFonts w:hint="eastAsia" w:ascii="宋体" w:hAnsi="宋体" w:cs="宋体"/>
                <w:color w:val="000000"/>
                <w:kern w:val="0"/>
                <w:szCs w:val="21"/>
              </w:rPr>
            </w:pPr>
            <w:r>
              <w:rPr>
                <w:rFonts w:hint="eastAsia" w:ascii="宋体" w:hAnsi="宋体" w:cs="宋体"/>
                <w:color w:val="000000"/>
                <w:kern w:val="0"/>
                <w:szCs w:val="21"/>
              </w:rPr>
              <w:t>8</w:t>
            </w:r>
          </w:p>
        </w:tc>
        <w:tc>
          <w:tcPr>
            <w:tcW w:w="1636" w:type="dxa"/>
            <w:shd w:val="clear" w:color="auto" w:fill="auto"/>
            <w:vAlign w:val="center"/>
          </w:tcPr>
          <w:p>
            <w:pPr>
              <w:spacing w:line="280" w:lineRule="exact"/>
              <w:ind w:left="-42" w:leftChars="-20" w:right="-42" w:rightChars="-20"/>
              <w:rPr>
                <w:rFonts w:hint="eastAsia" w:ascii="宋体" w:hAnsi="宋体" w:cs="宋体"/>
                <w:kern w:val="21"/>
                <w:szCs w:val="21"/>
              </w:rPr>
            </w:pPr>
            <w:r>
              <w:rPr>
                <w:rFonts w:hint="eastAsia" w:ascii="宋体" w:hAnsi="宋体" w:cs="宋体"/>
                <w:spacing w:val="-6"/>
                <w:kern w:val="21"/>
                <w:szCs w:val="21"/>
              </w:rPr>
              <w:t>资产评估机构（含</w:t>
            </w:r>
            <w:r>
              <w:rPr>
                <w:rFonts w:hint="eastAsia" w:ascii="宋体" w:hAnsi="宋体" w:cs="宋体"/>
                <w:kern w:val="21"/>
                <w:szCs w:val="21"/>
              </w:rPr>
              <w:t>分支机构）审批</w:t>
            </w:r>
          </w:p>
        </w:tc>
        <w:tc>
          <w:tcPr>
            <w:tcW w:w="1465" w:type="dxa"/>
            <w:shd w:val="clear" w:color="auto" w:fill="auto"/>
            <w:vAlign w:val="center"/>
          </w:tcPr>
          <w:p>
            <w:pPr>
              <w:spacing w:line="280" w:lineRule="exact"/>
              <w:ind w:left="-42" w:leftChars="-20" w:right="-42" w:rightChars="-20"/>
              <w:rPr>
                <w:rFonts w:hint="eastAsia" w:ascii="宋体" w:hAnsi="宋体" w:cs="宋体"/>
                <w:color w:val="000000"/>
                <w:kern w:val="21"/>
                <w:szCs w:val="21"/>
              </w:rPr>
            </w:pPr>
            <w:r>
              <w:rPr>
                <w:rFonts w:hint="eastAsia" w:ascii="宋体" w:hAnsi="宋体" w:cs="宋体"/>
                <w:color w:val="000000"/>
                <w:kern w:val="21"/>
                <w:szCs w:val="21"/>
              </w:rPr>
              <w:t>前海蛇口自贸片区管委会</w:t>
            </w:r>
          </w:p>
        </w:tc>
        <w:tc>
          <w:tcPr>
            <w:tcW w:w="4640" w:type="dxa"/>
            <w:shd w:val="clear" w:color="auto" w:fill="auto"/>
            <w:vAlign w:val="center"/>
          </w:tcPr>
          <w:p>
            <w:pPr>
              <w:spacing w:line="280" w:lineRule="exact"/>
              <w:ind w:left="-42" w:leftChars="-20" w:right="-42" w:rightChars="-20"/>
              <w:rPr>
                <w:rFonts w:hint="eastAsia" w:ascii="宋体" w:hAnsi="宋体" w:cs="宋体"/>
                <w:color w:val="000000"/>
                <w:kern w:val="21"/>
                <w:szCs w:val="21"/>
              </w:rPr>
            </w:pPr>
            <w:r>
              <w:rPr>
                <w:rFonts w:hint="eastAsia" w:ascii="宋体" w:hAnsi="宋体" w:cs="宋体"/>
                <w:color w:val="000000"/>
                <w:kern w:val="21"/>
                <w:szCs w:val="21"/>
              </w:rPr>
              <w:t>取消审批后，实行备案管理。前海蛇口自贸片区管委会要推动资产评估备案机构在“双公示”平台进行公示，加强行业执业质量检查工作，依法查处违法行为。要充分发挥行业协会作用，加强行业自律和行业规范。</w:t>
            </w:r>
          </w:p>
        </w:tc>
        <w:tc>
          <w:tcPr>
            <w:tcW w:w="4893" w:type="dxa"/>
            <w:shd w:val="clear" w:color="auto" w:fill="auto"/>
            <w:vAlign w:val="center"/>
          </w:tcPr>
          <w:p>
            <w:pPr>
              <w:spacing w:line="280" w:lineRule="exact"/>
              <w:ind w:left="-42" w:leftChars="-20" w:right="-42" w:rightChars="-20"/>
              <w:rPr>
                <w:rFonts w:hint="eastAsia" w:ascii="宋体" w:hAnsi="宋体" w:cs="宋体"/>
                <w:color w:val="000000"/>
                <w:kern w:val="21"/>
                <w:szCs w:val="21"/>
              </w:rPr>
            </w:pPr>
            <w:r>
              <w:rPr>
                <w:rFonts w:hint="eastAsia" w:ascii="宋体" w:hAnsi="宋体" w:cs="宋体"/>
                <w:color w:val="000000"/>
                <w:kern w:val="21"/>
                <w:szCs w:val="21"/>
              </w:rPr>
              <w:t>依据《广东省人民政府关于取消50项行政许可事项的决定》（粤府〔2017〕76号）第9项。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60" w:type="dxa"/>
            <w:shd w:val="clear" w:color="auto" w:fill="auto"/>
            <w:vAlign w:val="center"/>
          </w:tcPr>
          <w:p>
            <w:pPr>
              <w:spacing w:line="260" w:lineRule="exact"/>
              <w:ind w:left="-42" w:leftChars="-20" w:right="-42" w:rightChars="-20"/>
              <w:jc w:val="center"/>
              <w:rPr>
                <w:rFonts w:hint="eastAsia" w:ascii="宋体" w:hAnsi="宋体" w:cs="宋体"/>
                <w:color w:val="000000"/>
                <w:kern w:val="0"/>
                <w:szCs w:val="21"/>
              </w:rPr>
            </w:pPr>
            <w:r>
              <w:rPr>
                <w:rFonts w:hint="eastAsia" w:ascii="宋体" w:hAnsi="宋体" w:cs="宋体"/>
                <w:color w:val="000000"/>
                <w:kern w:val="0"/>
                <w:szCs w:val="21"/>
              </w:rPr>
              <w:t>9</w:t>
            </w:r>
          </w:p>
        </w:tc>
        <w:tc>
          <w:tcPr>
            <w:tcW w:w="1636" w:type="dxa"/>
            <w:shd w:val="clear" w:color="auto" w:fill="auto"/>
            <w:vAlign w:val="center"/>
          </w:tcPr>
          <w:p>
            <w:pPr>
              <w:spacing w:line="280" w:lineRule="exact"/>
              <w:ind w:left="-42" w:leftChars="-20" w:right="-42" w:rightChars="-20"/>
              <w:rPr>
                <w:rFonts w:hint="eastAsia" w:ascii="宋体" w:hAnsi="宋体" w:cs="宋体"/>
                <w:kern w:val="21"/>
                <w:szCs w:val="21"/>
              </w:rPr>
            </w:pPr>
            <w:r>
              <w:rPr>
                <w:rFonts w:hint="eastAsia" w:ascii="宋体" w:hAnsi="宋体" w:cs="宋体"/>
                <w:kern w:val="21"/>
                <w:szCs w:val="21"/>
              </w:rPr>
              <w:t>限制类商品进出口经营资质初审</w:t>
            </w:r>
          </w:p>
        </w:tc>
        <w:tc>
          <w:tcPr>
            <w:tcW w:w="1465" w:type="dxa"/>
            <w:shd w:val="clear" w:color="auto" w:fill="auto"/>
            <w:vAlign w:val="center"/>
          </w:tcPr>
          <w:p>
            <w:pPr>
              <w:spacing w:line="280" w:lineRule="exact"/>
              <w:ind w:left="-42" w:leftChars="-20" w:right="-42" w:rightChars="-20"/>
              <w:rPr>
                <w:rFonts w:hint="eastAsia" w:ascii="宋体" w:hAnsi="宋体" w:cs="宋体"/>
                <w:color w:val="000000"/>
                <w:kern w:val="21"/>
                <w:szCs w:val="21"/>
              </w:rPr>
            </w:pPr>
            <w:r>
              <w:rPr>
                <w:rFonts w:hint="eastAsia" w:ascii="宋体" w:hAnsi="宋体" w:cs="宋体"/>
                <w:color w:val="000000"/>
                <w:kern w:val="21"/>
                <w:szCs w:val="21"/>
              </w:rPr>
              <w:t>前海蛇口自贸片区管委会</w:t>
            </w:r>
          </w:p>
        </w:tc>
        <w:tc>
          <w:tcPr>
            <w:tcW w:w="4640" w:type="dxa"/>
            <w:shd w:val="clear" w:color="auto" w:fill="auto"/>
            <w:vAlign w:val="center"/>
          </w:tcPr>
          <w:p>
            <w:pPr>
              <w:spacing w:line="280" w:lineRule="exact"/>
              <w:ind w:left="-42" w:leftChars="-20" w:right="-42" w:rightChars="-20"/>
              <w:rPr>
                <w:rFonts w:hint="eastAsia" w:ascii="宋体" w:hAnsi="宋体" w:cs="宋体"/>
                <w:color w:val="000000"/>
                <w:kern w:val="21"/>
                <w:szCs w:val="21"/>
              </w:rPr>
            </w:pPr>
            <w:r>
              <w:rPr>
                <w:rFonts w:hint="eastAsia" w:ascii="宋体" w:hAnsi="宋体" w:cs="宋体"/>
                <w:color w:val="000000"/>
                <w:kern w:val="21"/>
                <w:szCs w:val="21"/>
              </w:rPr>
              <w:t>取消地方初审后，前海蛇口自贸片区管委会仅负责接收及转送企业申请材料，及时将企业申报过程中遇到的问题反馈商务部。</w:t>
            </w:r>
          </w:p>
        </w:tc>
        <w:tc>
          <w:tcPr>
            <w:tcW w:w="4893" w:type="dxa"/>
            <w:shd w:val="clear" w:color="auto" w:fill="auto"/>
            <w:vAlign w:val="center"/>
          </w:tcPr>
          <w:p>
            <w:pPr>
              <w:spacing w:line="280" w:lineRule="exact"/>
              <w:ind w:left="-42" w:leftChars="-20" w:right="-42" w:rightChars="-20"/>
              <w:rPr>
                <w:rFonts w:hint="eastAsia" w:ascii="宋体" w:hAnsi="宋体" w:cs="宋体"/>
                <w:color w:val="000000"/>
                <w:kern w:val="21"/>
                <w:szCs w:val="21"/>
              </w:rPr>
            </w:pPr>
            <w:r>
              <w:rPr>
                <w:rFonts w:hint="eastAsia" w:ascii="宋体" w:hAnsi="宋体" w:cs="宋体"/>
                <w:color w:val="000000"/>
                <w:kern w:val="21"/>
                <w:szCs w:val="21"/>
              </w:rPr>
              <w:t>依据《广东省人民政府关于取消50项行政许可事项的决定》（粤府〔2017〕76号）第32项。</w:t>
            </w:r>
          </w:p>
        </w:tc>
      </w:tr>
    </w:tbl>
    <w:p/>
    <w:sectPr>
      <w:pgSz w:w="16838" w:h="11906" w:orient="landscape"/>
      <w:pgMar w:top="1417" w:right="1843" w:bottom="1417" w:left="1843" w:header="851" w:footer="992" w:gutter="0"/>
      <w:paperSrc/>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AFF" w:usb1="C0007843" w:usb2="00000009" w:usb3="00000000" w:csb0="400001FF" w:csb1="FFFF0000"/>
  </w:font>
  <w:font w:name="文鼎小标宋简">
    <w:altName w:val="Arial Unicode MS"/>
    <w:panose1 w:val="0201060901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_x000B__x000C_">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公文小标宋简">
    <w:altName w:val="Arial Unicode MS"/>
    <w:panose1 w:val="02010609010101010101"/>
    <w:charset w:val="86"/>
    <w:family w:val="modern"/>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
    <w:altName w:val="Times New Roman"/>
    <w:panose1 w:val="00000000000000000000"/>
    <w:charset w:val="00"/>
    <w:family w:val="roman"/>
    <w:pitch w:val="default"/>
    <w:sig w:usb0="00000000" w:usb1="00000000" w:usb2="00000000" w:usb3="00000000" w:csb0="00000001" w:csb1="00000000"/>
  </w:font>
  <w:font w:name="Helvetica">
    <w:altName w:val="Arial"/>
    <w:panose1 w:val="020B0604020202020204"/>
    <w:charset w:val="00"/>
    <w:family w:val="swiss"/>
    <w:pitch w:val="default"/>
    <w:sig w:usb0="00000000" w:usb1="00000000" w:usb2="00000000" w:usb3="00000000" w:csb0="00000001" w:csb1="00000000"/>
  </w:font>
  <w:font w:name="Calibri Light">
    <w:panose1 w:val="020F0302020204030204"/>
    <w:charset w:val="00"/>
    <w:family w:val="roman"/>
    <w:pitch w:val="default"/>
    <w:sig w:usb0="A00002EF" w:usb1="4000207B" w:usb2="00000000" w:usb3="00000000" w:csb0="2000019F" w:csb1="00000000"/>
  </w:font>
  <w:font w:name="方正书宋_GBK">
    <w:altName w:val="宋体"/>
    <w:panose1 w:val="03000509000000000000"/>
    <w:charset w:val="86"/>
    <w:family w:val="auto"/>
    <w:pitch w:val="default"/>
    <w:sig w:usb0="00000000" w:usb1="00000000" w:usb2="00000000" w:usb3="00000000" w:csb0="00040000" w:csb1="00000000"/>
  </w:font>
  <w:font w:name="Verdana, Arial, 宋体">
    <w:altName w:val="宋体"/>
    <w:panose1 w:val="00000000000000000000"/>
    <w:charset w:val="86"/>
    <w:family w:val="roman"/>
    <w:pitch w:val="default"/>
    <w:sig w:usb0="00000000" w:usb1="00000000" w:usb2="00000010" w:usb3="00000000" w:csb0="00040000" w:csb1="00000000"/>
  </w:font>
  <w:font w:name="MT Extra">
    <w:panose1 w:val="05050102010205020202"/>
    <w:charset w:val="02"/>
    <w:family w:val="roman"/>
    <w:pitch w:val="default"/>
    <w:sig w:usb0="8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A61FD1"/>
    <w:rsid w:val="72A61FD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kern w:val="2"/>
      <w:sz w:val="21"/>
      <w:szCs w:val="22"/>
      <w:lang w:val="en-US" w:eastAsia="zh-CN" w:bidi="ar-SA"/>
    </w:rPr>
  </w:style>
  <w:style w:type="character" w:default="1" w:styleId="4">
    <w:name w:val="Default Paragraph Font"/>
    <w:link w:val="5"/>
    <w:semiHidden/>
    <w:uiPriority w:val="0"/>
    <w:rPr>
      <w:rFonts w:ascii="Times New Roman" w:hAnsi="Times New Roman"/>
      <w:kern w:val="36"/>
      <w:sz w:val="36"/>
      <w:szCs w:val="24"/>
    </w:rPr>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paragraph" w:customStyle="1" w:styleId="5">
    <w:name w:val=" Char1"/>
    <w:basedOn w:val="1"/>
    <w:link w:val="4"/>
    <w:uiPriority w:val="0"/>
    <w:rPr>
      <w:rFonts w:ascii="Times New Roman" w:hAnsi="Times New Roman"/>
      <w:kern w:val="36"/>
      <w:sz w:val="36"/>
      <w:szCs w:val="24"/>
    </w:rPr>
  </w:style>
  <w:style w:type="character" w:styleId="6">
    <w:name w:val="page number"/>
    <w:basedOn w:val="4"/>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2017-10-17T08:30:00Z</dcterms:created>
  <dc:creator>qinglj</dc:creator>
  <cp:lastModifiedBy>qinglj</cp:lastModifiedBy>
  <dcterms:modified xsi:type="dcterms:W3CDTF">2017-10-17T08:31:41Z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