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ascii="宋体" w:hAnsi="宋体" w:cs="黑体"/>
          <w:color w:val="000000"/>
          <w:sz w:val="24"/>
          <w:szCs w:val="24"/>
        </w:rPr>
      </w:pPr>
      <w:r>
        <w:rPr>
          <w:rFonts w:hint="eastAsia" w:ascii="宋体" w:hAnsi="宋体" w:cs="黑体"/>
          <w:color w:val="000000"/>
          <w:sz w:val="24"/>
          <w:szCs w:val="24"/>
        </w:rPr>
        <w:t>附件</w:t>
      </w:r>
    </w:p>
    <w:p>
      <w:pPr>
        <w:spacing w:after="156" w:afterLines="50" w:line="0" w:lineRule="atLeast"/>
        <w:jc w:val="center"/>
        <w:rPr>
          <w:rFonts w:ascii="宋体" w:hAnsi="宋体" w:cs="方正小标宋_GBK"/>
          <w:color w:val="000000"/>
          <w:sz w:val="36"/>
          <w:szCs w:val="36"/>
        </w:rPr>
      </w:pPr>
      <w:bookmarkStart w:id="0" w:name="_GoBack"/>
      <w:bookmarkEnd w:id="0"/>
      <w:r>
        <w:rPr>
          <w:rFonts w:hint="eastAsia" w:ascii="宋体" w:hAnsi="宋体" w:cs="方正小标宋_GBK"/>
          <w:color w:val="000000"/>
          <w:sz w:val="36"/>
          <w:szCs w:val="36"/>
        </w:rPr>
        <w:t>清理规范市直部门行政职权涉及中介服务事项目录（第四批）</w:t>
      </w:r>
    </w:p>
    <w:tbl>
      <w:tblPr>
        <w:tblStyle w:val="6"/>
        <w:tblW w:w="13234" w:type="dxa"/>
        <w:jc w:val="center"/>
        <w:tblInd w:w="0" w:type="dxa"/>
        <w:tblLayout w:type="fixed"/>
        <w:tblCellMar>
          <w:top w:w="0" w:type="dxa"/>
          <w:left w:w="108" w:type="dxa"/>
          <w:bottom w:w="0" w:type="dxa"/>
          <w:right w:w="108" w:type="dxa"/>
        </w:tblCellMar>
      </w:tblPr>
      <w:tblGrid>
        <w:gridCol w:w="572"/>
        <w:gridCol w:w="1862"/>
        <w:gridCol w:w="1075"/>
        <w:gridCol w:w="1947"/>
        <w:gridCol w:w="3662"/>
        <w:gridCol w:w="1813"/>
        <w:gridCol w:w="2303"/>
      </w:tblGrid>
      <w:tr>
        <w:tblPrEx>
          <w:tblLayout w:type="fixed"/>
          <w:tblCellMar>
            <w:top w:w="0" w:type="dxa"/>
            <w:left w:w="108" w:type="dxa"/>
            <w:bottom w:w="0" w:type="dxa"/>
            <w:right w:w="108" w:type="dxa"/>
          </w:tblCellMar>
        </w:tblPrEx>
        <w:trPr>
          <w:trHeight w:val="284" w:hRule="atLeast"/>
          <w:tblHeader/>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序号</w:t>
            </w:r>
          </w:p>
        </w:tc>
        <w:tc>
          <w:tcPr>
            <w:tcW w:w="1862" w:type="dxa"/>
            <w:tcBorders>
              <w:top w:val="single" w:color="auto" w:sz="4" w:space="0"/>
              <w:left w:val="nil"/>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行政职权实施部门</w:t>
            </w:r>
          </w:p>
        </w:tc>
        <w:tc>
          <w:tcPr>
            <w:tcW w:w="1075" w:type="dxa"/>
            <w:tcBorders>
              <w:top w:val="single" w:color="auto" w:sz="4" w:space="0"/>
              <w:left w:val="nil"/>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行政职权事项名称</w:t>
            </w:r>
          </w:p>
        </w:tc>
        <w:tc>
          <w:tcPr>
            <w:tcW w:w="1947" w:type="dxa"/>
            <w:tcBorders>
              <w:top w:val="single" w:color="auto" w:sz="4" w:space="0"/>
              <w:left w:val="single" w:color="auto" w:sz="4" w:space="0"/>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中介服务事项名称</w:t>
            </w:r>
          </w:p>
        </w:tc>
        <w:tc>
          <w:tcPr>
            <w:tcW w:w="3662" w:type="dxa"/>
            <w:tcBorders>
              <w:top w:val="single" w:color="auto" w:sz="4" w:space="0"/>
              <w:left w:val="nil"/>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中介服务设定依据</w:t>
            </w:r>
          </w:p>
        </w:tc>
        <w:tc>
          <w:tcPr>
            <w:tcW w:w="1813" w:type="dxa"/>
            <w:tcBorders>
              <w:top w:val="single" w:color="auto" w:sz="4" w:space="0"/>
              <w:left w:val="nil"/>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中介服务实施机构</w:t>
            </w:r>
          </w:p>
        </w:tc>
        <w:tc>
          <w:tcPr>
            <w:tcW w:w="2303" w:type="dxa"/>
            <w:tcBorders>
              <w:top w:val="single" w:color="auto" w:sz="4" w:space="0"/>
              <w:left w:val="nil"/>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清理决定</w:t>
            </w:r>
          </w:p>
        </w:tc>
      </w:tr>
      <w:tr>
        <w:tblPrEx>
          <w:tblLayout w:type="fixed"/>
          <w:tblCellMar>
            <w:top w:w="0" w:type="dxa"/>
            <w:left w:w="108" w:type="dxa"/>
            <w:bottom w:w="0" w:type="dxa"/>
            <w:right w:w="108" w:type="dxa"/>
          </w:tblCellMar>
        </w:tblPrEx>
        <w:trPr>
          <w:trHeight w:val="284"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line="280" w:lineRule="exact"/>
              <w:ind w:left="-20" w:right="-20"/>
              <w:jc w:val="center"/>
              <w:rPr>
                <w:rFonts w:ascii="宋体" w:hAnsi="宋体" w:cs="仿宋_GB2312"/>
                <w:bCs/>
                <w:kern w:val="21"/>
                <w:szCs w:val="21"/>
              </w:rPr>
            </w:pPr>
            <w:r>
              <w:rPr>
                <w:rFonts w:ascii="宋体" w:hAnsi="宋体" w:cs="仿宋_GB2312"/>
                <w:bCs/>
                <w:kern w:val="21"/>
                <w:szCs w:val="21"/>
              </w:rPr>
              <w:t>1</w:t>
            </w:r>
          </w:p>
        </w:tc>
        <w:tc>
          <w:tcPr>
            <w:tcW w:w="1862"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bCs/>
                <w:kern w:val="21"/>
                <w:szCs w:val="21"/>
              </w:rPr>
            </w:pPr>
            <w:r>
              <w:rPr>
                <w:rFonts w:hint="eastAsia" w:ascii="宋体" w:hAnsi="宋体" w:cs="仿宋_GB2312"/>
                <w:bCs/>
                <w:kern w:val="21"/>
                <w:szCs w:val="21"/>
              </w:rPr>
              <w:t>市司法局</w:t>
            </w:r>
          </w:p>
        </w:tc>
        <w:tc>
          <w:tcPr>
            <w:tcW w:w="1075"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法律职业资格初审</w:t>
            </w:r>
          </w:p>
        </w:tc>
        <w:tc>
          <w:tcPr>
            <w:tcW w:w="194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香港、澳门永久性居民申请法律职业资格身份证明公证</w:t>
            </w:r>
          </w:p>
        </w:tc>
        <w:tc>
          <w:tcPr>
            <w:tcW w:w="3662"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《香港特别行政区和澳门特别行政区居民参加国家司法考试若干规定》（司法部令第</w:t>
            </w:r>
            <w:r>
              <w:rPr>
                <w:rFonts w:ascii="宋体" w:hAnsi="宋体" w:cs="仿宋_GB2312"/>
                <w:color w:val="000000"/>
                <w:kern w:val="21"/>
                <w:szCs w:val="21"/>
              </w:rPr>
              <w:t>94</w:t>
            </w:r>
            <w:r>
              <w:rPr>
                <w:rFonts w:hint="eastAsia" w:ascii="宋体" w:hAnsi="宋体" w:cs="仿宋_GB2312"/>
                <w:color w:val="000000"/>
                <w:kern w:val="21"/>
                <w:szCs w:val="21"/>
              </w:rPr>
              <w:t>号）。</w:t>
            </w:r>
          </w:p>
        </w:tc>
        <w:tc>
          <w:tcPr>
            <w:tcW w:w="1813"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公证机构</w:t>
            </w:r>
          </w:p>
        </w:tc>
        <w:tc>
          <w:tcPr>
            <w:tcW w:w="2303"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kern w:val="21"/>
                <w:szCs w:val="21"/>
              </w:rPr>
            </w:pPr>
            <w:r>
              <w:rPr>
                <w:rFonts w:hint="eastAsia" w:ascii="宋体" w:hAnsi="宋体" w:cs="仿宋_GB2312"/>
                <w:kern w:val="21"/>
                <w:szCs w:val="21"/>
              </w:rPr>
              <w:t>不再要求申请人提供身份证明公证</w:t>
            </w:r>
          </w:p>
        </w:tc>
      </w:tr>
      <w:tr>
        <w:tblPrEx>
          <w:tblLayout w:type="fixed"/>
          <w:tblCellMar>
            <w:top w:w="0" w:type="dxa"/>
            <w:left w:w="108" w:type="dxa"/>
            <w:bottom w:w="0" w:type="dxa"/>
            <w:right w:w="108" w:type="dxa"/>
          </w:tblCellMar>
        </w:tblPrEx>
        <w:trPr>
          <w:trHeight w:val="284"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line="280" w:lineRule="exact"/>
              <w:ind w:left="-20" w:right="-20"/>
              <w:jc w:val="center"/>
              <w:rPr>
                <w:rFonts w:ascii="宋体" w:hAnsi="宋体" w:cs="仿宋_GB2312"/>
                <w:color w:val="000000"/>
                <w:kern w:val="21"/>
                <w:szCs w:val="21"/>
              </w:rPr>
            </w:pPr>
            <w:r>
              <w:rPr>
                <w:rFonts w:ascii="宋体" w:hAnsi="宋体" w:cs="仿宋_GB2312"/>
                <w:color w:val="000000"/>
                <w:kern w:val="21"/>
                <w:szCs w:val="21"/>
              </w:rPr>
              <w:t>2</w:t>
            </w:r>
          </w:p>
        </w:tc>
        <w:tc>
          <w:tcPr>
            <w:tcW w:w="1862"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市规划国土委、前海蛇口自贸片区管委会</w:t>
            </w:r>
          </w:p>
        </w:tc>
        <w:tc>
          <w:tcPr>
            <w:tcW w:w="1075"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建设项目用地预审</w:t>
            </w:r>
          </w:p>
        </w:tc>
        <w:tc>
          <w:tcPr>
            <w:tcW w:w="1947" w:type="dxa"/>
            <w:tcBorders>
              <w:top w:val="single" w:color="auto" w:sz="4" w:space="0"/>
              <w:left w:val="single" w:color="auto" w:sz="4" w:space="0"/>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建设项目地质灾害危险性评估</w:t>
            </w:r>
          </w:p>
        </w:tc>
        <w:tc>
          <w:tcPr>
            <w:tcW w:w="3662"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《建设项目用地预审管理办法》（国土资源部令第</w:t>
            </w:r>
            <w:r>
              <w:rPr>
                <w:rFonts w:ascii="宋体" w:hAnsi="宋体" w:cs="仿宋_GB2312"/>
                <w:color w:val="000000"/>
                <w:kern w:val="21"/>
                <w:szCs w:val="21"/>
              </w:rPr>
              <w:t>42</w:t>
            </w:r>
            <w:r>
              <w:rPr>
                <w:rFonts w:hint="eastAsia" w:ascii="宋体" w:hAnsi="宋体" w:cs="仿宋_GB2312"/>
                <w:color w:val="000000"/>
                <w:kern w:val="21"/>
                <w:szCs w:val="21"/>
              </w:rPr>
              <w:t>号）；</w:t>
            </w:r>
          </w:p>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《地质灾害危险性评估单位资质管理办法》（国土资源部令第</w:t>
            </w:r>
            <w:r>
              <w:rPr>
                <w:rFonts w:ascii="宋体" w:hAnsi="宋体" w:cs="仿宋_GB2312"/>
                <w:color w:val="000000"/>
                <w:kern w:val="21"/>
                <w:szCs w:val="21"/>
              </w:rPr>
              <w:t>29</w:t>
            </w:r>
            <w:r>
              <w:rPr>
                <w:rFonts w:hint="eastAsia" w:ascii="宋体" w:hAnsi="宋体" w:cs="仿宋_GB2312"/>
                <w:color w:val="000000"/>
                <w:kern w:val="21"/>
                <w:szCs w:val="21"/>
              </w:rPr>
              <w:t>号发布，国土资源部令第</w:t>
            </w:r>
            <w:r>
              <w:rPr>
                <w:rFonts w:ascii="宋体" w:hAnsi="宋体" w:cs="仿宋_GB2312"/>
                <w:color w:val="000000"/>
                <w:kern w:val="21"/>
                <w:szCs w:val="21"/>
              </w:rPr>
              <w:t>62</w:t>
            </w:r>
            <w:r>
              <w:rPr>
                <w:rFonts w:hint="eastAsia" w:ascii="宋体" w:hAnsi="宋体" w:cs="仿宋_GB2312"/>
                <w:color w:val="000000"/>
                <w:kern w:val="21"/>
                <w:szCs w:val="21"/>
              </w:rPr>
              <w:t>号予以修正）；</w:t>
            </w:r>
          </w:p>
          <w:p>
            <w:pPr>
              <w:spacing w:line="286" w:lineRule="exact"/>
              <w:ind w:left="-23" w:right="-23"/>
              <w:rPr>
                <w:rFonts w:hint="eastAsia" w:ascii="宋体" w:hAnsi="宋体" w:cs="仿宋_GB2312"/>
                <w:color w:val="000000"/>
                <w:kern w:val="21"/>
                <w:szCs w:val="21"/>
              </w:rPr>
            </w:pPr>
            <w:r>
              <w:rPr>
                <w:rFonts w:hint="eastAsia" w:ascii="宋体" w:hAnsi="宋体" w:cs="仿宋_GB2312"/>
                <w:color w:val="000000"/>
                <w:spacing w:val="-4"/>
                <w:kern w:val="21"/>
                <w:szCs w:val="21"/>
              </w:rPr>
              <w:t>《中国（广东）自由贸易试验区各片区</w:t>
            </w:r>
            <w:r>
              <w:rPr>
                <w:rFonts w:hint="eastAsia" w:ascii="宋体" w:hAnsi="宋体" w:cs="仿宋_GB2312"/>
                <w:color w:val="000000"/>
                <w:kern w:val="21"/>
                <w:szCs w:val="21"/>
              </w:rPr>
              <w:t>管委会实施的第一批省级管理事项目录》</w:t>
            </w:r>
            <w:r>
              <w:rPr>
                <w:rFonts w:ascii="宋体" w:hAnsi="宋体" w:cs="仿宋_GB2312"/>
                <w:color w:val="000000"/>
                <w:kern w:val="21"/>
                <w:szCs w:val="21"/>
              </w:rPr>
              <w:t>（</w:t>
            </w:r>
            <w:r>
              <w:rPr>
                <w:rFonts w:hint="eastAsia" w:ascii="宋体" w:hAnsi="宋体" w:cs="仿宋_GB2312"/>
                <w:color w:val="000000"/>
                <w:kern w:val="21"/>
                <w:szCs w:val="21"/>
              </w:rPr>
              <w:t>广东省人民政府令第</w:t>
            </w:r>
            <w:r>
              <w:rPr>
                <w:rFonts w:ascii="宋体" w:hAnsi="宋体" w:cs="仿宋_GB2312"/>
                <w:color w:val="000000"/>
                <w:kern w:val="21"/>
                <w:szCs w:val="21"/>
              </w:rPr>
              <w:t>214</w:t>
            </w:r>
            <w:r>
              <w:rPr>
                <w:rFonts w:hint="eastAsia" w:ascii="宋体" w:hAnsi="宋体" w:cs="仿宋_GB2312"/>
                <w:color w:val="000000"/>
                <w:kern w:val="21"/>
                <w:szCs w:val="21"/>
              </w:rPr>
              <w:t>号</w:t>
            </w:r>
            <w:r>
              <w:rPr>
                <w:rFonts w:ascii="宋体" w:hAnsi="宋体" w:cs="仿宋_GB2312"/>
                <w:color w:val="000000"/>
                <w:kern w:val="21"/>
                <w:szCs w:val="21"/>
              </w:rPr>
              <w:t>）</w:t>
            </w:r>
            <w:r>
              <w:rPr>
                <w:rFonts w:hint="eastAsia" w:ascii="宋体" w:hAnsi="宋体" w:cs="仿宋_GB2312"/>
                <w:color w:val="000000"/>
                <w:kern w:val="21"/>
                <w:szCs w:val="21"/>
              </w:rPr>
              <w:t>。</w:t>
            </w:r>
          </w:p>
        </w:tc>
        <w:tc>
          <w:tcPr>
            <w:tcW w:w="1813"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具有地质灾害危险性评估资质的单位</w:t>
            </w:r>
          </w:p>
        </w:tc>
        <w:tc>
          <w:tcPr>
            <w:tcW w:w="2303"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不再要求申请人提供建设项目地质灾害危险性评估材料</w:t>
            </w:r>
          </w:p>
        </w:tc>
      </w:tr>
      <w:tr>
        <w:tblPrEx>
          <w:tblLayout w:type="fixed"/>
          <w:tblCellMar>
            <w:top w:w="0" w:type="dxa"/>
            <w:left w:w="108" w:type="dxa"/>
            <w:bottom w:w="0" w:type="dxa"/>
            <w:right w:w="108" w:type="dxa"/>
          </w:tblCellMar>
        </w:tblPrEx>
        <w:trPr>
          <w:trHeight w:val="284"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line="280" w:lineRule="exact"/>
              <w:ind w:left="-20" w:right="-20"/>
              <w:jc w:val="center"/>
              <w:rPr>
                <w:rFonts w:ascii="宋体" w:hAnsi="宋体" w:cs="仿宋_GB2312"/>
                <w:color w:val="000000"/>
                <w:kern w:val="21"/>
                <w:szCs w:val="21"/>
              </w:rPr>
            </w:pPr>
            <w:r>
              <w:rPr>
                <w:rFonts w:ascii="宋体" w:hAnsi="宋体" w:cs="仿宋_GB2312"/>
                <w:color w:val="000000"/>
                <w:kern w:val="21"/>
                <w:szCs w:val="21"/>
              </w:rPr>
              <w:t>3</w:t>
            </w:r>
          </w:p>
        </w:tc>
        <w:tc>
          <w:tcPr>
            <w:tcW w:w="1862"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市人居环境委、前海蛇口自贸片区管委会</w:t>
            </w:r>
          </w:p>
        </w:tc>
        <w:tc>
          <w:tcPr>
            <w:tcW w:w="1075"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建设项目环境保护设施验收</w:t>
            </w:r>
          </w:p>
        </w:tc>
        <w:tc>
          <w:tcPr>
            <w:tcW w:w="1947" w:type="dxa"/>
            <w:tcBorders>
              <w:top w:val="single" w:color="auto" w:sz="4" w:space="0"/>
              <w:left w:val="single" w:color="auto" w:sz="4" w:space="0"/>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建设项目环境影响评价文件批复要求开展的施工期环境监理报告编制</w:t>
            </w:r>
          </w:p>
        </w:tc>
        <w:tc>
          <w:tcPr>
            <w:tcW w:w="3662"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《建设项目竣工环境保护验收管理办法》（国家环境保护总局令第</w:t>
            </w:r>
            <w:r>
              <w:rPr>
                <w:rFonts w:ascii="宋体" w:hAnsi="宋体" w:cs="仿宋_GB2312"/>
                <w:color w:val="000000"/>
                <w:kern w:val="21"/>
                <w:szCs w:val="21"/>
              </w:rPr>
              <w:t>13</w:t>
            </w:r>
            <w:r>
              <w:rPr>
                <w:rFonts w:hint="eastAsia" w:ascii="宋体" w:hAnsi="宋体" w:cs="仿宋_GB2312"/>
                <w:color w:val="000000"/>
                <w:kern w:val="21"/>
                <w:szCs w:val="21"/>
              </w:rPr>
              <w:t>号）；</w:t>
            </w:r>
          </w:p>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《深圳市人民政府关于印发前海</w:t>
            </w:r>
            <w:r>
              <w:rPr>
                <w:rFonts w:ascii="宋体" w:hAnsi="宋体" w:cs="仿宋_GB2312"/>
                <w:color w:val="000000"/>
                <w:kern w:val="21"/>
                <w:szCs w:val="21"/>
              </w:rPr>
              <w:t>e</w:t>
            </w:r>
            <w:r>
              <w:rPr>
                <w:rFonts w:hint="eastAsia" w:ascii="宋体" w:hAnsi="宋体" w:cs="仿宋_GB2312"/>
                <w:color w:val="000000"/>
                <w:kern w:val="21"/>
                <w:szCs w:val="21"/>
              </w:rPr>
              <w:t>站通服务体系试行方案的通知》（深府函〔</w:t>
            </w:r>
            <w:r>
              <w:rPr>
                <w:rFonts w:ascii="宋体" w:hAnsi="宋体" w:cs="仿宋_GB2312"/>
                <w:color w:val="000000"/>
                <w:kern w:val="21"/>
                <w:szCs w:val="21"/>
              </w:rPr>
              <w:t>2013</w:t>
            </w:r>
            <w:r>
              <w:rPr>
                <w:rFonts w:hint="eastAsia" w:ascii="宋体" w:hAnsi="宋体" w:cs="仿宋_GB2312"/>
                <w:color w:val="000000"/>
                <w:kern w:val="21"/>
                <w:szCs w:val="21"/>
              </w:rPr>
              <w:t>〕</w:t>
            </w:r>
            <w:r>
              <w:rPr>
                <w:rFonts w:ascii="宋体" w:hAnsi="宋体" w:cs="仿宋_GB2312"/>
                <w:color w:val="000000"/>
                <w:kern w:val="21"/>
                <w:szCs w:val="21"/>
              </w:rPr>
              <w:t>22</w:t>
            </w:r>
            <w:r>
              <w:rPr>
                <w:rFonts w:hint="eastAsia" w:ascii="宋体" w:hAnsi="宋体" w:cs="仿宋_GB2312"/>
                <w:color w:val="000000"/>
                <w:kern w:val="21"/>
                <w:szCs w:val="21"/>
              </w:rPr>
              <w:t>号）。</w:t>
            </w:r>
          </w:p>
        </w:tc>
        <w:tc>
          <w:tcPr>
            <w:tcW w:w="1813" w:type="dxa"/>
            <w:tcBorders>
              <w:top w:val="single" w:color="auto" w:sz="4" w:space="0"/>
              <w:left w:val="nil"/>
              <w:bottom w:val="single" w:color="auto" w:sz="4" w:space="0"/>
              <w:right w:val="single" w:color="auto" w:sz="4" w:space="0"/>
            </w:tcBorders>
            <w:vAlign w:val="center"/>
          </w:tcPr>
          <w:p>
            <w:pPr>
              <w:autoSpaceDE w:val="0"/>
              <w:autoSpaceDN w:val="0"/>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具有相关监理资质的单位</w:t>
            </w:r>
          </w:p>
        </w:tc>
        <w:tc>
          <w:tcPr>
            <w:tcW w:w="2303" w:type="dxa"/>
            <w:tcBorders>
              <w:top w:val="single" w:color="auto" w:sz="4" w:space="0"/>
              <w:left w:val="nil"/>
              <w:bottom w:val="single" w:color="auto" w:sz="4" w:space="0"/>
              <w:right w:val="single" w:color="auto" w:sz="4" w:space="0"/>
            </w:tcBorders>
            <w:vAlign w:val="center"/>
          </w:tcPr>
          <w:p>
            <w:pPr>
              <w:autoSpaceDE w:val="0"/>
              <w:autoSpaceDN w:val="0"/>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根据《国务院关于修改〈建设项目环境保护管理条例〉的决定》（国务院令第</w:t>
            </w:r>
            <w:r>
              <w:rPr>
                <w:rFonts w:ascii="宋体" w:hAnsi="宋体" w:cs="仿宋_GB2312"/>
                <w:color w:val="000000"/>
                <w:kern w:val="21"/>
                <w:szCs w:val="21"/>
              </w:rPr>
              <w:t>682</w:t>
            </w:r>
            <w:r>
              <w:rPr>
                <w:rFonts w:hint="eastAsia" w:ascii="宋体" w:hAnsi="宋体" w:cs="仿宋_GB2312"/>
                <w:color w:val="000000"/>
                <w:kern w:val="21"/>
                <w:szCs w:val="21"/>
              </w:rPr>
              <w:t>号</w:t>
            </w:r>
            <w:r>
              <w:rPr>
                <w:rFonts w:ascii="宋体" w:hAnsi="宋体" w:cs="仿宋_GB2312"/>
                <w:color w:val="000000"/>
                <w:kern w:val="21"/>
                <w:szCs w:val="21"/>
              </w:rPr>
              <w:t>）,</w:t>
            </w:r>
            <w:r>
              <w:rPr>
                <w:rFonts w:hint="eastAsia" w:ascii="宋体" w:hAnsi="宋体" w:cs="仿宋_GB2312"/>
                <w:color w:val="000000"/>
                <w:kern w:val="21"/>
                <w:szCs w:val="21"/>
              </w:rPr>
              <w:t>“建设项目环境保护设施验收”事项已取消</w:t>
            </w:r>
            <w:r>
              <w:rPr>
                <w:rFonts w:ascii="宋体" w:hAnsi="宋体" w:cs="仿宋_GB2312"/>
                <w:color w:val="000000"/>
                <w:kern w:val="21"/>
                <w:szCs w:val="21"/>
              </w:rPr>
              <w:t>,</w:t>
            </w:r>
            <w:r>
              <w:rPr>
                <w:rFonts w:hint="eastAsia" w:ascii="宋体" w:hAnsi="宋体" w:cs="仿宋_GB2312"/>
                <w:color w:val="000000"/>
                <w:kern w:val="21"/>
                <w:szCs w:val="21"/>
              </w:rPr>
              <w:t>该中介服务事项相应取消</w:t>
            </w:r>
          </w:p>
        </w:tc>
      </w:tr>
      <w:tr>
        <w:tblPrEx>
          <w:tblLayout w:type="fixed"/>
          <w:tblCellMar>
            <w:top w:w="0" w:type="dxa"/>
            <w:left w:w="108" w:type="dxa"/>
            <w:bottom w:w="0" w:type="dxa"/>
            <w:right w:w="108" w:type="dxa"/>
          </w:tblCellMar>
        </w:tblPrEx>
        <w:trPr>
          <w:trHeight w:val="284"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line="280" w:lineRule="exact"/>
              <w:ind w:left="-20" w:right="-20"/>
              <w:jc w:val="center"/>
              <w:rPr>
                <w:rFonts w:ascii="宋体" w:hAnsi="宋体" w:cs="仿宋_GB2312"/>
                <w:color w:val="000000"/>
                <w:kern w:val="21"/>
                <w:szCs w:val="21"/>
              </w:rPr>
            </w:pPr>
            <w:r>
              <w:rPr>
                <w:rFonts w:ascii="宋体" w:hAnsi="宋体" w:cs="仿宋_GB2312"/>
                <w:color w:val="000000"/>
                <w:kern w:val="21"/>
                <w:szCs w:val="21"/>
              </w:rPr>
              <w:t>4</w:t>
            </w:r>
          </w:p>
        </w:tc>
        <w:tc>
          <w:tcPr>
            <w:tcW w:w="1862"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市卫生计生委</w:t>
            </w:r>
          </w:p>
        </w:tc>
        <w:tc>
          <w:tcPr>
            <w:tcW w:w="1075"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涉及饮用水卫生安全产品卫生许可</w:t>
            </w:r>
          </w:p>
        </w:tc>
        <w:tc>
          <w:tcPr>
            <w:tcW w:w="1947" w:type="dxa"/>
            <w:tcBorders>
              <w:top w:val="single" w:color="auto" w:sz="4" w:space="0"/>
              <w:left w:val="single" w:color="auto" w:sz="4" w:space="0"/>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涉及饮用水卫生安全产品检验</w:t>
            </w:r>
          </w:p>
        </w:tc>
        <w:tc>
          <w:tcPr>
            <w:tcW w:w="3662"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《生活饮用水卫生监督管理办法》（建设部、卫生部令第</w:t>
            </w:r>
            <w:r>
              <w:rPr>
                <w:rFonts w:ascii="宋体" w:hAnsi="宋体" w:cs="仿宋_GB2312"/>
                <w:color w:val="000000"/>
                <w:kern w:val="21"/>
                <w:szCs w:val="21"/>
              </w:rPr>
              <w:t>53</w:t>
            </w:r>
            <w:r>
              <w:rPr>
                <w:rFonts w:hint="eastAsia" w:ascii="宋体" w:hAnsi="宋体" w:cs="仿宋_GB2312"/>
                <w:color w:val="000000"/>
                <w:kern w:val="21"/>
                <w:szCs w:val="21"/>
              </w:rPr>
              <w:t>号）；</w:t>
            </w:r>
          </w:p>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《省级涉及饮用水卫生安全产品卫生行政许可规定》（国卫办监督发〔</w:t>
            </w:r>
            <w:r>
              <w:rPr>
                <w:rFonts w:ascii="宋体" w:hAnsi="宋体" w:cs="仿宋_GB2312"/>
                <w:color w:val="000000"/>
                <w:kern w:val="21"/>
                <w:szCs w:val="21"/>
              </w:rPr>
              <w:t>2014</w:t>
            </w:r>
            <w:r>
              <w:rPr>
                <w:rFonts w:hint="eastAsia" w:ascii="宋体" w:hAnsi="宋体" w:cs="仿宋_GB2312"/>
                <w:color w:val="000000"/>
                <w:kern w:val="21"/>
                <w:szCs w:val="21"/>
              </w:rPr>
              <w:t>〕</w:t>
            </w:r>
            <w:r>
              <w:rPr>
                <w:rFonts w:ascii="宋体" w:hAnsi="宋体" w:cs="仿宋_GB2312"/>
                <w:color w:val="000000"/>
                <w:kern w:val="21"/>
                <w:szCs w:val="21"/>
              </w:rPr>
              <w:t>63</w:t>
            </w:r>
            <w:r>
              <w:rPr>
                <w:rFonts w:hint="eastAsia" w:ascii="宋体" w:hAnsi="宋体" w:cs="仿宋_GB2312"/>
                <w:color w:val="000000"/>
                <w:kern w:val="21"/>
                <w:szCs w:val="21"/>
              </w:rPr>
              <w:t>号）。</w:t>
            </w:r>
          </w:p>
        </w:tc>
        <w:tc>
          <w:tcPr>
            <w:tcW w:w="1813"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具有相关资质的检验机构</w:t>
            </w:r>
          </w:p>
        </w:tc>
        <w:tc>
          <w:tcPr>
            <w:tcW w:w="2303" w:type="dxa"/>
            <w:tcBorders>
              <w:top w:val="single" w:color="auto" w:sz="4" w:space="0"/>
              <w:left w:val="nil"/>
              <w:bottom w:val="single" w:color="auto" w:sz="4" w:space="0"/>
              <w:right w:val="single" w:color="auto" w:sz="4" w:space="0"/>
            </w:tcBorders>
            <w:vAlign w:val="center"/>
          </w:tcPr>
          <w:p>
            <w:pPr>
              <w:spacing w:line="286" w:lineRule="exact"/>
              <w:ind w:left="-23" w:right="-23"/>
              <w:rPr>
                <w:rFonts w:ascii="宋体" w:hAnsi="宋体" w:cs="仿宋_GB2312"/>
                <w:color w:val="000000"/>
                <w:kern w:val="21"/>
                <w:szCs w:val="21"/>
              </w:rPr>
            </w:pPr>
            <w:r>
              <w:rPr>
                <w:rFonts w:hint="eastAsia" w:ascii="宋体" w:hAnsi="宋体" w:cs="仿宋_GB2312"/>
                <w:color w:val="000000"/>
                <w:kern w:val="21"/>
                <w:szCs w:val="21"/>
              </w:rPr>
              <w:t>申请人可按照国家卫生标准和卫生规范要求，对产品自行检验，也可委托有关机构开展检验，审批部门不得以任何形式要求申请人必须委托中介机构提供服务</w:t>
            </w:r>
          </w:p>
        </w:tc>
      </w:tr>
    </w:tbl>
    <w:p>
      <w:pPr>
        <w:rPr>
          <w:rFonts w:hint="eastAsia"/>
        </w:rPr>
      </w:pPr>
    </w:p>
    <w:tbl>
      <w:tblPr>
        <w:tblStyle w:val="6"/>
        <w:tblW w:w="13234" w:type="dxa"/>
        <w:jc w:val="center"/>
        <w:tblInd w:w="0" w:type="dxa"/>
        <w:tblLayout w:type="fixed"/>
        <w:tblCellMar>
          <w:top w:w="0" w:type="dxa"/>
          <w:left w:w="108" w:type="dxa"/>
          <w:bottom w:w="0" w:type="dxa"/>
          <w:right w:w="108" w:type="dxa"/>
        </w:tblCellMar>
      </w:tblPr>
      <w:tblGrid>
        <w:gridCol w:w="573"/>
        <w:gridCol w:w="1820"/>
        <w:gridCol w:w="1068"/>
        <w:gridCol w:w="1956"/>
        <w:gridCol w:w="3681"/>
        <w:gridCol w:w="1822"/>
        <w:gridCol w:w="2314"/>
      </w:tblGrid>
      <w:tr>
        <w:tblPrEx>
          <w:tblLayout w:type="fixed"/>
          <w:tblCellMar>
            <w:top w:w="0" w:type="dxa"/>
            <w:left w:w="108" w:type="dxa"/>
            <w:bottom w:w="0" w:type="dxa"/>
            <w:right w:w="108" w:type="dxa"/>
          </w:tblCellMar>
        </w:tblPrEx>
        <w:trPr>
          <w:trHeight w:val="284" w:hRule="atLeast"/>
          <w:tblHeader/>
          <w:jc w:val="center"/>
        </w:trPr>
        <w:tc>
          <w:tcPr>
            <w:tcW w:w="573" w:type="dxa"/>
            <w:tcBorders>
              <w:top w:val="single" w:color="auto" w:sz="4" w:space="0"/>
              <w:left w:val="single" w:color="auto" w:sz="4" w:space="0"/>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序号</w:t>
            </w:r>
          </w:p>
        </w:tc>
        <w:tc>
          <w:tcPr>
            <w:tcW w:w="1820" w:type="dxa"/>
            <w:tcBorders>
              <w:top w:val="single" w:color="auto" w:sz="4" w:space="0"/>
              <w:left w:val="nil"/>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行政职权实施部门</w:t>
            </w:r>
          </w:p>
        </w:tc>
        <w:tc>
          <w:tcPr>
            <w:tcW w:w="1068" w:type="dxa"/>
            <w:tcBorders>
              <w:top w:val="single" w:color="auto" w:sz="4" w:space="0"/>
              <w:left w:val="nil"/>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行政职权事项名称</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中介服务事项名称</w:t>
            </w:r>
          </w:p>
        </w:tc>
        <w:tc>
          <w:tcPr>
            <w:tcW w:w="3681" w:type="dxa"/>
            <w:tcBorders>
              <w:top w:val="single" w:color="auto" w:sz="4" w:space="0"/>
              <w:left w:val="nil"/>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中介服务设定依据</w:t>
            </w:r>
          </w:p>
        </w:tc>
        <w:tc>
          <w:tcPr>
            <w:tcW w:w="1822" w:type="dxa"/>
            <w:tcBorders>
              <w:top w:val="single" w:color="auto" w:sz="4" w:space="0"/>
              <w:left w:val="nil"/>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中介服务实施机构</w:t>
            </w:r>
          </w:p>
        </w:tc>
        <w:tc>
          <w:tcPr>
            <w:tcW w:w="2314" w:type="dxa"/>
            <w:tcBorders>
              <w:top w:val="single" w:color="auto" w:sz="4" w:space="0"/>
              <w:left w:val="nil"/>
              <w:bottom w:val="single" w:color="auto" w:sz="4" w:space="0"/>
              <w:right w:val="single" w:color="auto" w:sz="4" w:space="0"/>
            </w:tcBorders>
            <w:vAlign w:val="center"/>
          </w:tcPr>
          <w:p>
            <w:pPr>
              <w:spacing w:line="280" w:lineRule="exact"/>
              <w:ind w:left="-42" w:leftChars="-20" w:right="-42" w:rightChars="-20"/>
              <w:jc w:val="center"/>
              <w:rPr>
                <w:rFonts w:hint="eastAsia" w:ascii="黑体" w:hAnsi="宋体" w:eastAsia="黑体" w:cs="宋体"/>
                <w:bCs/>
                <w:kern w:val="0"/>
                <w:szCs w:val="21"/>
              </w:rPr>
            </w:pPr>
            <w:r>
              <w:rPr>
                <w:rFonts w:hint="eastAsia" w:ascii="黑体" w:hAnsi="宋体" w:eastAsia="黑体" w:cs="宋体"/>
                <w:bCs/>
                <w:kern w:val="0"/>
                <w:szCs w:val="21"/>
              </w:rPr>
              <w:t>清理决定</w:t>
            </w:r>
          </w:p>
        </w:tc>
      </w:tr>
      <w:tr>
        <w:tblPrEx>
          <w:tblLayout w:type="fixed"/>
          <w:tblCellMar>
            <w:top w:w="0" w:type="dxa"/>
            <w:left w:w="108" w:type="dxa"/>
            <w:bottom w:w="0" w:type="dxa"/>
            <w:right w:w="108" w:type="dxa"/>
          </w:tblCellMar>
        </w:tblPrEx>
        <w:trPr>
          <w:trHeight w:val="284"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pStyle w:val="7"/>
              <w:autoSpaceDE/>
              <w:autoSpaceDN/>
              <w:adjustRightInd/>
              <w:spacing w:line="300" w:lineRule="exact"/>
              <w:ind w:left="-20" w:right="-20"/>
              <w:jc w:val="center"/>
              <w:rPr>
                <w:rFonts w:ascii="宋体" w:hAnsi="宋体" w:eastAsia="宋体"/>
                <w:sz w:val="21"/>
                <w:szCs w:val="21"/>
              </w:rPr>
            </w:pPr>
            <w:r>
              <w:rPr>
                <w:rFonts w:ascii="宋体" w:hAnsi="宋体" w:eastAsia="宋体"/>
                <w:sz w:val="21"/>
                <w:szCs w:val="21"/>
              </w:rPr>
              <w:t>5</w:t>
            </w:r>
          </w:p>
        </w:tc>
        <w:tc>
          <w:tcPr>
            <w:tcW w:w="1820"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0"/>
                <w:szCs w:val="21"/>
              </w:rPr>
            </w:pPr>
            <w:r>
              <w:rPr>
                <w:rFonts w:hint="eastAsia" w:ascii="宋体" w:hAnsi="宋体" w:cs="仿宋_GB2312"/>
                <w:color w:val="000000"/>
                <w:kern w:val="0"/>
                <w:szCs w:val="21"/>
              </w:rPr>
              <w:t>前海蛇口自贸片区管委会</w:t>
            </w:r>
          </w:p>
        </w:tc>
        <w:tc>
          <w:tcPr>
            <w:tcW w:w="1068"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馆藏文物修复、复制、拓印许可</w:t>
            </w:r>
          </w:p>
        </w:tc>
        <w:tc>
          <w:tcPr>
            <w:tcW w:w="1956" w:type="dxa"/>
            <w:tcBorders>
              <w:top w:val="single" w:color="auto" w:sz="4" w:space="0"/>
              <w:left w:val="single" w:color="auto" w:sz="4" w:space="0"/>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文物修复、复制、拓印方案编制</w:t>
            </w:r>
          </w:p>
        </w:tc>
        <w:tc>
          <w:tcPr>
            <w:tcW w:w="3681"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《中华人民共和国文物保护法实施条例》（国务院令第</w:t>
            </w:r>
            <w:r>
              <w:rPr>
                <w:rFonts w:ascii="宋体" w:hAnsi="宋体" w:cs="仿宋_GB2312"/>
                <w:color w:val="000000"/>
                <w:kern w:val="21"/>
                <w:szCs w:val="21"/>
              </w:rPr>
              <w:t>377</w:t>
            </w:r>
            <w:r>
              <w:rPr>
                <w:rFonts w:hint="eastAsia" w:ascii="宋体" w:hAnsi="宋体" w:cs="仿宋_GB2312"/>
                <w:color w:val="000000"/>
                <w:kern w:val="21"/>
                <w:szCs w:val="21"/>
              </w:rPr>
              <w:t>号）；</w:t>
            </w:r>
          </w:p>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《可移动文物修复管理办法》（文物博发〔</w:t>
            </w:r>
            <w:r>
              <w:rPr>
                <w:rFonts w:ascii="宋体" w:hAnsi="宋体" w:cs="仿宋_GB2312"/>
                <w:color w:val="000000"/>
                <w:kern w:val="21"/>
                <w:szCs w:val="21"/>
              </w:rPr>
              <w:t>2014</w:t>
            </w:r>
            <w:r>
              <w:rPr>
                <w:rFonts w:hint="eastAsia" w:ascii="宋体" w:hAnsi="宋体" w:cs="仿宋_GB2312"/>
                <w:color w:val="000000"/>
                <w:kern w:val="21"/>
                <w:szCs w:val="21"/>
              </w:rPr>
              <w:t>〕</w:t>
            </w:r>
            <w:r>
              <w:rPr>
                <w:rFonts w:ascii="宋体" w:hAnsi="宋体" w:cs="仿宋_GB2312"/>
                <w:color w:val="000000"/>
                <w:kern w:val="21"/>
                <w:szCs w:val="21"/>
              </w:rPr>
              <w:t>25</w:t>
            </w:r>
            <w:r>
              <w:rPr>
                <w:rFonts w:hint="eastAsia" w:ascii="宋体" w:hAnsi="宋体" w:cs="仿宋_GB2312"/>
                <w:color w:val="000000"/>
                <w:kern w:val="21"/>
                <w:szCs w:val="21"/>
              </w:rPr>
              <w:t>号）；</w:t>
            </w:r>
          </w:p>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《文物复制拓印管理办法》</w:t>
            </w:r>
            <w:r>
              <w:rPr>
                <w:rFonts w:ascii="宋体" w:hAnsi="宋体" w:cs="仿宋_GB2312"/>
                <w:color w:val="000000"/>
                <w:kern w:val="21"/>
                <w:szCs w:val="21"/>
              </w:rPr>
              <w:t>（</w:t>
            </w:r>
            <w:r>
              <w:rPr>
                <w:rFonts w:hint="eastAsia" w:ascii="宋体" w:hAnsi="宋体" w:cs="仿宋_GB2312"/>
                <w:color w:val="000000"/>
                <w:kern w:val="21"/>
                <w:szCs w:val="21"/>
              </w:rPr>
              <w:t>文物政发〔</w:t>
            </w:r>
            <w:r>
              <w:rPr>
                <w:rFonts w:ascii="宋体" w:hAnsi="宋体" w:cs="仿宋_GB2312"/>
                <w:color w:val="000000"/>
                <w:kern w:val="21"/>
                <w:szCs w:val="21"/>
              </w:rPr>
              <w:t>20ll</w:t>
            </w:r>
            <w:r>
              <w:rPr>
                <w:rFonts w:hint="eastAsia" w:ascii="宋体" w:hAnsi="宋体" w:cs="仿宋_GB2312"/>
                <w:color w:val="000000"/>
                <w:kern w:val="21"/>
                <w:szCs w:val="21"/>
              </w:rPr>
              <w:t>〕</w:t>
            </w:r>
            <w:r>
              <w:rPr>
                <w:rFonts w:ascii="宋体" w:hAnsi="宋体" w:cs="仿宋_GB2312"/>
                <w:color w:val="000000"/>
                <w:kern w:val="21"/>
                <w:szCs w:val="21"/>
              </w:rPr>
              <w:t>1</w:t>
            </w:r>
            <w:r>
              <w:rPr>
                <w:rFonts w:hint="eastAsia" w:ascii="宋体" w:hAnsi="宋体" w:cs="仿宋_GB2312"/>
                <w:color w:val="000000"/>
                <w:kern w:val="21"/>
                <w:szCs w:val="21"/>
              </w:rPr>
              <w:t>号</w:t>
            </w:r>
            <w:r>
              <w:rPr>
                <w:rFonts w:ascii="宋体" w:hAnsi="宋体" w:cs="仿宋_GB2312"/>
                <w:color w:val="000000"/>
                <w:kern w:val="21"/>
                <w:szCs w:val="21"/>
              </w:rPr>
              <w:t>）</w:t>
            </w:r>
            <w:r>
              <w:rPr>
                <w:rFonts w:hint="eastAsia" w:ascii="宋体" w:hAnsi="宋体" w:cs="仿宋_GB2312"/>
                <w:color w:val="000000"/>
                <w:kern w:val="21"/>
                <w:szCs w:val="21"/>
              </w:rPr>
              <w:t>；</w:t>
            </w:r>
          </w:p>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spacing w:val="-4"/>
                <w:kern w:val="21"/>
                <w:szCs w:val="21"/>
              </w:rPr>
              <w:t>《中国（广东）自由贸易试验区各片区</w:t>
            </w:r>
            <w:r>
              <w:rPr>
                <w:rFonts w:hint="eastAsia" w:ascii="宋体" w:hAnsi="宋体" w:cs="仿宋_GB2312"/>
                <w:color w:val="000000"/>
                <w:kern w:val="21"/>
                <w:szCs w:val="21"/>
              </w:rPr>
              <w:t>管委会实施的第二批省级管理事项目录》（广东省人民政府令第</w:t>
            </w:r>
            <w:r>
              <w:rPr>
                <w:rFonts w:ascii="宋体" w:hAnsi="宋体" w:cs="仿宋_GB2312"/>
                <w:color w:val="000000"/>
                <w:kern w:val="21"/>
                <w:szCs w:val="21"/>
              </w:rPr>
              <w:t>232</w:t>
            </w:r>
            <w:r>
              <w:rPr>
                <w:rFonts w:hint="eastAsia" w:ascii="宋体" w:hAnsi="宋体" w:cs="仿宋_GB2312"/>
                <w:color w:val="000000"/>
                <w:kern w:val="21"/>
                <w:szCs w:val="21"/>
              </w:rPr>
              <w:t>号）。</w:t>
            </w:r>
          </w:p>
        </w:tc>
        <w:tc>
          <w:tcPr>
            <w:tcW w:w="1822"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具有从事可移动文物修复、复制、拓印资质的单位</w:t>
            </w:r>
          </w:p>
        </w:tc>
        <w:tc>
          <w:tcPr>
            <w:tcW w:w="2314"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申请人可按要求自行编制修复、复制、拓印方案</w:t>
            </w:r>
            <w:r>
              <w:rPr>
                <w:rFonts w:ascii="宋体" w:hAnsi="宋体" w:cs="仿宋_GB2312"/>
                <w:color w:val="000000"/>
                <w:kern w:val="21"/>
                <w:szCs w:val="21"/>
              </w:rPr>
              <w:t>,</w:t>
            </w:r>
            <w:r>
              <w:rPr>
                <w:rFonts w:hint="eastAsia" w:ascii="宋体" w:hAnsi="宋体" w:cs="仿宋_GB2312"/>
                <w:color w:val="000000"/>
                <w:kern w:val="21"/>
                <w:szCs w:val="21"/>
              </w:rPr>
              <w:t>也可委托有关机构编制</w:t>
            </w:r>
            <w:r>
              <w:rPr>
                <w:rFonts w:ascii="宋体" w:hAnsi="宋体" w:cs="仿宋_GB2312"/>
                <w:color w:val="000000"/>
                <w:kern w:val="21"/>
                <w:szCs w:val="21"/>
              </w:rPr>
              <w:t>,</w:t>
            </w:r>
            <w:r>
              <w:rPr>
                <w:rFonts w:hint="eastAsia" w:ascii="宋体" w:hAnsi="宋体" w:cs="仿宋_GB2312"/>
                <w:color w:val="000000"/>
                <w:kern w:val="21"/>
                <w:szCs w:val="21"/>
              </w:rPr>
              <w:t>审批部门不得以任何形式要求申请人必须委托中介机构提供服务</w:t>
            </w:r>
          </w:p>
        </w:tc>
      </w:tr>
      <w:tr>
        <w:tblPrEx>
          <w:tblLayout w:type="fixed"/>
          <w:tblCellMar>
            <w:top w:w="0" w:type="dxa"/>
            <w:left w:w="108" w:type="dxa"/>
            <w:bottom w:w="0" w:type="dxa"/>
            <w:right w:w="108" w:type="dxa"/>
          </w:tblCellMar>
        </w:tblPrEx>
        <w:trPr>
          <w:trHeight w:val="284"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spacing w:line="300" w:lineRule="exact"/>
              <w:ind w:left="-20" w:right="-20"/>
              <w:jc w:val="center"/>
              <w:rPr>
                <w:rFonts w:ascii="宋体" w:hAnsi="宋体" w:cs="仿宋_GB2312"/>
                <w:color w:val="000000"/>
                <w:kern w:val="0"/>
                <w:szCs w:val="21"/>
              </w:rPr>
            </w:pPr>
            <w:r>
              <w:rPr>
                <w:rFonts w:ascii="宋体" w:hAnsi="宋体" w:cs="仿宋_GB2312"/>
                <w:color w:val="000000"/>
                <w:kern w:val="0"/>
                <w:szCs w:val="21"/>
              </w:rPr>
              <w:t>6</w:t>
            </w:r>
          </w:p>
        </w:tc>
        <w:tc>
          <w:tcPr>
            <w:tcW w:w="1820"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0"/>
                <w:szCs w:val="21"/>
              </w:rPr>
            </w:pPr>
            <w:r>
              <w:rPr>
                <w:rFonts w:hint="eastAsia" w:ascii="宋体" w:hAnsi="宋体" w:cs="仿宋_GB2312"/>
                <w:color w:val="000000"/>
                <w:kern w:val="0"/>
                <w:szCs w:val="21"/>
              </w:rPr>
              <w:t>市人居环境委</w:t>
            </w:r>
          </w:p>
        </w:tc>
        <w:tc>
          <w:tcPr>
            <w:tcW w:w="1068"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放射性同位素与射线装置辐射安全许可证核发</w:t>
            </w:r>
          </w:p>
        </w:tc>
        <w:tc>
          <w:tcPr>
            <w:tcW w:w="1956" w:type="dxa"/>
            <w:tcBorders>
              <w:top w:val="single" w:color="auto" w:sz="4" w:space="0"/>
              <w:left w:val="single" w:color="auto" w:sz="4" w:space="0"/>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辐射场所监测</w:t>
            </w:r>
          </w:p>
        </w:tc>
        <w:tc>
          <w:tcPr>
            <w:tcW w:w="3681"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hint="eastAsia" w:ascii="楷体_GB2312" w:hAnsi="宋体" w:eastAsia="楷体_GB2312" w:cs="仿宋_GB2312"/>
                <w:color w:val="000000"/>
                <w:kern w:val="21"/>
                <w:szCs w:val="21"/>
              </w:rPr>
            </w:pPr>
            <w:r>
              <w:rPr>
                <w:rFonts w:hint="eastAsia" w:ascii="楷体_GB2312" w:hAnsi="宋体" w:eastAsia="楷体_GB2312" w:cs="仿宋_GB2312"/>
                <w:color w:val="000000"/>
                <w:kern w:val="21"/>
                <w:szCs w:val="21"/>
              </w:rPr>
              <w:t>注：审批工作中要求申请人提供中介机构出具的辐射场所监测报告。</w:t>
            </w:r>
          </w:p>
        </w:tc>
        <w:tc>
          <w:tcPr>
            <w:tcW w:w="1822"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具备相应资质的机构</w:t>
            </w:r>
          </w:p>
        </w:tc>
        <w:tc>
          <w:tcPr>
            <w:tcW w:w="2314"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企业可自行监测或自主委托第三方监测</w:t>
            </w:r>
            <w:r>
              <w:rPr>
                <w:rFonts w:ascii="宋体" w:hAnsi="宋体" w:cs="仿宋_GB2312"/>
                <w:color w:val="000000"/>
                <w:kern w:val="21"/>
                <w:szCs w:val="21"/>
              </w:rPr>
              <w:t>,</w:t>
            </w:r>
            <w:r>
              <w:rPr>
                <w:rFonts w:hint="eastAsia" w:ascii="宋体" w:hAnsi="宋体" w:cs="仿宋_GB2312"/>
                <w:color w:val="000000"/>
                <w:kern w:val="21"/>
                <w:szCs w:val="21"/>
              </w:rPr>
              <w:t>审批部门不得以任何形式要求申请人必须委托中介机构提供服务</w:t>
            </w:r>
          </w:p>
        </w:tc>
      </w:tr>
      <w:tr>
        <w:tblPrEx>
          <w:tblLayout w:type="fixed"/>
          <w:tblCellMar>
            <w:top w:w="0" w:type="dxa"/>
            <w:left w:w="108" w:type="dxa"/>
            <w:bottom w:w="0" w:type="dxa"/>
            <w:right w:w="108" w:type="dxa"/>
          </w:tblCellMar>
        </w:tblPrEx>
        <w:trPr>
          <w:trHeight w:val="284"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spacing w:line="300" w:lineRule="exact"/>
              <w:ind w:left="-20" w:right="-20"/>
              <w:jc w:val="center"/>
              <w:rPr>
                <w:rFonts w:ascii="宋体" w:hAnsi="宋体" w:cs="仿宋_GB2312"/>
                <w:color w:val="000000"/>
                <w:kern w:val="0"/>
                <w:szCs w:val="21"/>
              </w:rPr>
            </w:pPr>
            <w:r>
              <w:rPr>
                <w:rFonts w:ascii="宋体" w:hAnsi="宋体" w:cs="仿宋_GB2312"/>
                <w:color w:val="000000"/>
                <w:kern w:val="0"/>
                <w:szCs w:val="21"/>
              </w:rPr>
              <w:t>7</w:t>
            </w:r>
          </w:p>
        </w:tc>
        <w:tc>
          <w:tcPr>
            <w:tcW w:w="1820"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0"/>
                <w:szCs w:val="21"/>
              </w:rPr>
            </w:pPr>
            <w:r>
              <w:rPr>
                <w:rFonts w:hint="eastAsia" w:ascii="宋体" w:hAnsi="宋体" w:cs="仿宋_GB2312"/>
                <w:color w:val="000000"/>
                <w:kern w:val="0"/>
                <w:szCs w:val="21"/>
              </w:rPr>
              <w:t>市人居环境委</w:t>
            </w:r>
          </w:p>
        </w:tc>
        <w:tc>
          <w:tcPr>
            <w:tcW w:w="1068"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放射性同位素与射线装置辐射安全许可证核发</w:t>
            </w:r>
          </w:p>
        </w:tc>
        <w:tc>
          <w:tcPr>
            <w:tcW w:w="1956" w:type="dxa"/>
            <w:tcBorders>
              <w:top w:val="single" w:color="auto" w:sz="4" w:space="0"/>
              <w:left w:val="single" w:color="auto" w:sz="4" w:space="0"/>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年度评估监测</w:t>
            </w:r>
          </w:p>
        </w:tc>
        <w:tc>
          <w:tcPr>
            <w:tcW w:w="3681"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hint="eastAsia" w:ascii="楷体_GB2312" w:hAnsi="宋体" w:eastAsia="楷体_GB2312" w:cs="仿宋_GB2312"/>
                <w:color w:val="000000"/>
                <w:kern w:val="21"/>
                <w:szCs w:val="21"/>
              </w:rPr>
            </w:pPr>
            <w:r>
              <w:rPr>
                <w:rFonts w:hint="eastAsia" w:ascii="楷体_GB2312" w:hAnsi="宋体" w:eastAsia="楷体_GB2312" w:cs="仿宋_GB2312"/>
                <w:color w:val="000000"/>
                <w:kern w:val="21"/>
                <w:szCs w:val="21"/>
              </w:rPr>
              <w:t>注：审批工作中要求申请人提供中介机构出具的年度评估监测报告。</w:t>
            </w:r>
          </w:p>
        </w:tc>
        <w:tc>
          <w:tcPr>
            <w:tcW w:w="1822"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具备相应资质的机构</w:t>
            </w:r>
          </w:p>
        </w:tc>
        <w:tc>
          <w:tcPr>
            <w:tcW w:w="2314" w:type="dxa"/>
            <w:tcBorders>
              <w:top w:val="single" w:color="auto" w:sz="4" w:space="0"/>
              <w:left w:val="nil"/>
              <w:bottom w:val="single" w:color="auto" w:sz="4" w:space="0"/>
              <w:right w:val="single" w:color="auto" w:sz="4" w:space="0"/>
            </w:tcBorders>
            <w:vAlign w:val="center"/>
          </w:tcPr>
          <w:p>
            <w:pPr>
              <w:spacing w:line="300" w:lineRule="exact"/>
              <w:ind w:left="-42" w:leftChars="-20" w:right="-42" w:rightChars="-20"/>
              <w:rPr>
                <w:rFonts w:ascii="宋体" w:hAnsi="宋体" w:cs="仿宋_GB2312"/>
                <w:color w:val="000000"/>
                <w:kern w:val="21"/>
                <w:szCs w:val="21"/>
              </w:rPr>
            </w:pPr>
            <w:r>
              <w:rPr>
                <w:rFonts w:hint="eastAsia" w:ascii="宋体" w:hAnsi="宋体" w:cs="仿宋_GB2312"/>
                <w:color w:val="000000"/>
                <w:kern w:val="21"/>
                <w:szCs w:val="21"/>
              </w:rPr>
              <w:t>企业可自行监测或自主委托第三方监测，审批部门不得以任何形式要求申请人必须委托中介机构提供服务</w:t>
            </w:r>
          </w:p>
        </w:tc>
      </w:tr>
    </w:tbl>
    <w:p>
      <w:r>
        <w:rPr>
          <w:rFonts w:hint="eastAsia" w:ascii="楷体_GB2312" w:hAnsi="宋体" w:eastAsia="楷体_GB2312" w:cs="仿宋_GB2312"/>
          <w:szCs w:val="21"/>
        </w:rPr>
        <w:t>说明：行政职权实施部门系指中介服务事项所涉及行政职权事项的办理部门，即提供审批或服务的政府机关</w:t>
      </w:r>
    </w:p>
    <w:sectPr>
      <w:pgSz w:w="16838" w:h="11906" w:orient="landscape"/>
      <w:pgMar w:top="1417" w:right="1843" w:bottom="1417" w:left="184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420FD"/>
    <w:rsid w:val="351420F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Defaul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nglj\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2018-06-04T07:02:00Z</dcterms:created>
  <dc:creator>琉璃</dc:creator>
  <cp:lastModifiedBy>琉璃</cp:lastModifiedBy>
  <dcterms:modified xsi:type="dcterms:W3CDTF">2018-06-04T07:03:58Z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