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D7" w:rsidRDefault="00B849D7" w:rsidP="00B849D7"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附件3</w:t>
      </w:r>
    </w:p>
    <w:p w:rsidR="00B849D7" w:rsidRDefault="00B849D7" w:rsidP="00B849D7">
      <w:pPr>
        <w:spacing w:afterLines="50" w:after="156" w:line="0" w:lineRule="atLeast"/>
        <w:jc w:val="center"/>
        <w:rPr>
          <w:rFonts w:ascii="宋体" w:hAnsi="宋体" w:cs="方正小标宋_GBK" w:hint="eastAsia"/>
          <w:sz w:val="32"/>
          <w:szCs w:val="32"/>
        </w:rPr>
      </w:pPr>
      <w:bookmarkStart w:id="0" w:name="_GoBack"/>
      <w:r>
        <w:rPr>
          <w:rFonts w:ascii="宋体" w:hAnsi="宋体" w:cs="方正小标宋_GBK" w:hint="eastAsia"/>
          <w:sz w:val="32"/>
          <w:szCs w:val="32"/>
        </w:rPr>
        <w:t>深圳市地下水禁采区、限采区划分汇总表</w:t>
      </w:r>
    </w:p>
    <w:tbl>
      <w:tblPr>
        <w:tblW w:w="4850" w:type="pct"/>
        <w:jc w:val="center"/>
        <w:tblLayout w:type="fixed"/>
        <w:tblLook w:val="00A0" w:firstRow="1" w:lastRow="0" w:firstColumn="1" w:lastColumn="0" w:noHBand="0" w:noVBand="0"/>
      </w:tblPr>
      <w:tblGrid>
        <w:gridCol w:w="849"/>
        <w:gridCol w:w="959"/>
        <w:gridCol w:w="1324"/>
        <w:gridCol w:w="1272"/>
        <w:gridCol w:w="3862"/>
      </w:tblGrid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所属区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面积（平方公里）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30" w:left="-63" w:rightChars="-30" w:right="-63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禁采区面积（平方公里）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30" w:left="-63" w:rightChars="-30" w:right="-63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限采区面积（平方公里）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主要区域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福田区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78.66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42.43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36.23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禁采区：海水入侵及潜在入侵区、水源地一级保护区、距离地铁和铁路0—200米范围内的区域；</w:t>
            </w:r>
          </w:p>
          <w:p w:rsidR="00B849D7" w:rsidRDefault="00B849D7">
            <w:pPr>
              <w:spacing w:line="260" w:lineRule="atLeast"/>
              <w:ind w:leftChars="-20" w:left="-42" w:rightChars="-30" w:right="-63"/>
              <w:rPr>
                <w:rFonts w:ascii="宋体" w:hAnsi="宋体" w:cs="仿宋_GB2312"/>
                <w:spacing w:val="-3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限采区：行政区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</w:tbl>
    <w:p w:rsidR="00B849D7" w:rsidRDefault="00B849D7" w:rsidP="00B849D7">
      <w:pPr>
        <w:spacing w:line="240" w:lineRule="exact"/>
        <w:rPr>
          <w:rFonts w:hint="eastAsia"/>
        </w:rPr>
      </w:pPr>
    </w:p>
    <w:tbl>
      <w:tblPr>
        <w:tblW w:w="4850" w:type="pct"/>
        <w:jc w:val="center"/>
        <w:tblLayout w:type="fixed"/>
        <w:tblLook w:val="00A0" w:firstRow="1" w:lastRow="0" w:firstColumn="1" w:lastColumn="0" w:noHBand="0" w:noVBand="0"/>
      </w:tblPr>
      <w:tblGrid>
        <w:gridCol w:w="849"/>
        <w:gridCol w:w="959"/>
        <w:gridCol w:w="1324"/>
        <w:gridCol w:w="1272"/>
        <w:gridCol w:w="3862"/>
      </w:tblGrid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所属区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面积（平方公里）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30" w:left="-63" w:rightChars="-30" w:right="-63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禁采区面积（平方公里）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30" w:left="-63" w:rightChars="-30" w:right="-63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限采区面积（平方公里）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60" w:lineRule="atLeas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主要区域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罗湖区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78.75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23.29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55.46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禁采区：水源地一级保护区、距离地铁和铁路0—200米范围内的区域；</w:t>
            </w:r>
          </w:p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限采区：行政区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盐田区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74.64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21.66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52.98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禁采区：水源地一级保护区、海水入侵及潜在入侵区、距离地铁和铁路0—200米范围内的区域；</w:t>
            </w:r>
          </w:p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pacing w:val="-3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限采区：行政区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南山区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187.17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82.82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104.35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禁采区：水源地一级保护区、海水入侵及潜在入侵区、距离地铁和铁路0—200米范围内的区域；</w:t>
            </w:r>
          </w:p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限采区：行政区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宝安区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396.69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206.48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190.21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禁采区：水源地一级保护区、海水入侵及潜在入侵区、机场管理区、距离地铁和铁路0—200米范围内的区域；</w:t>
            </w:r>
          </w:p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限采区：行政区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龙岗区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388.59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104.16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284.43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禁采区：龙岗街道荷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坳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—龙岗中心区、坪地、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茜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坑三个岩溶塌陷易发区以及水源地一级保护区、距离地铁和铁路0—200米范围内的区域；</w:t>
            </w:r>
          </w:p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限采区：行政区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szCs w:val="21"/>
              </w:rPr>
              <w:t>坪山区</w:t>
            </w:r>
            <w:proofErr w:type="gram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165.94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29.14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136.80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禁采区：坑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梓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街道—龙田街道、石井—咸水湖、碧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岭—汤坑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和牛角龙村四个岩溶塌陷易发区以及水源地一级保护区、距离地铁和铁路0—200米范围内的区域；</w:t>
            </w:r>
          </w:p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限采区：行政区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szCs w:val="21"/>
              </w:rPr>
              <w:t>龙华区</w:t>
            </w:r>
            <w:proofErr w:type="gram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175.58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20.90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154.68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禁采区：水源地一级保护区、距离地铁和铁路0—200米范围内的区域；</w:t>
            </w:r>
          </w:p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lastRenderedPageBreak/>
              <w:t>限采区：行政区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30" w:left="-63" w:rightChars="-30" w:right="-63"/>
              <w:jc w:val="center"/>
              <w:rPr>
                <w:rFonts w:ascii="宋体" w:hAnsi="宋体" w:cs="仿宋_GB2312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pacing w:val="-4"/>
                <w:szCs w:val="21"/>
              </w:rPr>
              <w:lastRenderedPageBreak/>
              <w:t>光明新区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155.44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25.12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130.32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禁采区：水源地一级保护区、距离地铁和铁路0—200米范围内的区域；</w:t>
            </w:r>
          </w:p>
          <w:p w:rsidR="00B849D7" w:rsidRDefault="00B849D7">
            <w:pPr>
              <w:spacing w:line="296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限采区：功能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区内除禁采区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30" w:left="-63" w:rightChars="-30" w:right="-63"/>
              <w:jc w:val="center"/>
              <w:rPr>
                <w:rFonts w:ascii="宋体" w:hAnsi="宋体" w:cs="仿宋_GB2312"/>
                <w:spacing w:val="-4"/>
                <w:szCs w:val="21"/>
              </w:rPr>
            </w:pPr>
            <w:r>
              <w:rPr>
                <w:rFonts w:ascii="宋体" w:hAnsi="宋体" w:cs="仿宋_GB2312" w:hint="eastAsia"/>
                <w:spacing w:val="-4"/>
                <w:szCs w:val="21"/>
              </w:rPr>
              <w:t>大鹏新区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295.32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56.18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20" w:left="-42" w:rightChars="-20" w:right="-4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239.14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禁采区：海水入侵及潜在入侵区、葵涌镇深水田—高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圳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头—白石光沿线岩溶塌陷易发区、水源地一级保护区、大鹏所城国家重点文物保护单位、距离地铁和铁路0—200米范围内的区域；</w:t>
            </w:r>
          </w:p>
          <w:p w:rsidR="00B849D7" w:rsidRDefault="00B849D7">
            <w:pPr>
              <w:spacing w:line="300" w:lineRule="exact"/>
              <w:ind w:leftChars="-20" w:left="-42" w:rightChars="-30" w:right="-63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pacing w:val="-3"/>
                <w:szCs w:val="21"/>
              </w:rPr>
              <w:t>限采区：功能</w:t>
            </w:r>
            <w:proofErr w:type="gramStart"/>
            <w:r>
              <w:rPr>
                <w:rFonts w:ascii="宋体" w:hAnsi="宋体" w:cs="仿宋_GB2312" w:hint="eastAsia"/>
                <w:spacing w:val="-3"/>
                <w:szCs w:val="21"/>
              </w:rPr>
              <w:t>区内除禁采区</w:t>
            </w:r>
            <w:proofErr w:type="gramEnd"/>
            <w:r>
              <w:rPr>
                <w:rFonts w:ascii="宋体" w:hAnsi="宋体" w:cs="仿宋_GB2312" w:hint="eastAsia"/>
                <w:spacing w:val="-3"/>
                <w:szCs w:val="21"/>
              </w:rPr>
              <w:t>以外的其他区域。</w:t>
            </w:r>
          </w:p>
        </w:tc>
      </w:tr>
      <w:tr w:rsidR="00B849D7" w:rsidTr="00B849D7">
        <w:trPr>
          <w:trHeight w:val="28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全市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1996.78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612.18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9D7" w:rsidRDefault="00B849D7">
            <w:pPr>
              <w:spacing w:line="300" w:lineRule="exact"/>
              <w:ind w:leftChars="-20" w:left="-42" w:rightChars="-20" w:right="-42"/>
              <w:jc w:val="center"/>
              <w:rPr>
                <w:rFonts w:ascii="黑体" w:eastAsia="黑体" w:hAnsi="宋体" w:cs="仿宋_GB2312"/>
                <w:szCs w:val="21"/>
              </w:rPr>
            </w:pPr>
            <w:r>
              <w:rPr>
                <w:rFonts w:ascii="黑体" w:eastAsia="黑体" w:hAnsi="宋体" w:cs="仿宋_GB2312" w:hint="eastAsia"/>
                <w:szCs w:val="21"/>
              </w:rPr>
              <w:t>1384.60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D7" w:rsidRDefault="00B849D7">
            <w:pPr>
              <w:spacing w:line="300" w:lineRule="exact"/>
              <w:ind w:leftChars="-20" w:left="-42" w:rightChars="-20" w:right="-42"/>
              <w:rPr>
                <w:rFonts w:ascii="黑体" w:eastAsia="黑体" w:hAnsi="宋体" w:cs="仿宋_GB2312"/>
                <w:szCs w:val="21"/>
              </w:rPr>
            </w:pPr>
          </w:p>
        </w:tc>
      </w:tr>
    </w:tbl>
    <w:p w:rsidR="00DD55C1" w:rsidRDefault="00DD55C1"/>
    <w:sectPr w:rsidR="00DD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D7"/>
    <w:rsid w:val="00B849D7"/>
    <w:rsid w:val="00DD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2018-09-28T08:55:00Z</dcterms:created>
  <dcterms:modified xsi:type="dcterms:W3CDTF">2018-09-28T08:56:00Z</dcterms:modified>
</cp:coreProperties>
</file>