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eastAsia="仿宋_GB2312"/>
          <w:spacing w:val="-1"/>
          <w:sz w:val="32"/>
          <w:szCs w:val="32"/>
        </w:rPr>
      </w:pPr>
    </w:p>
    <w:p>
      <w:pPr>
        <w:snapToGrid w:val="0"/>
        <w:spacing w:line="312" w:lineRule="auto"/>
        <w:rPr>
          <w:rFonts w:hint="eastAsia" w:ascii="仿宋_GB2312" w:eastAsia="仿宋_GB2312"/>
          <w:spacing w:val="-1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仿宋_GB2312" w:eastAsia="仿宋_GB2312"/>
          <w:spacing w:val="-1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深建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规</w:t>
      </w:r>
      <w:r>
        <w:rPr>
          <w:rFonts w:hint="eastAsia" w:ascii="仿宋_GB2312" w:eastAsia="仿宋_GB2312"/>
          <w:spacing w:val="-1"/>
          <w:sz w:val="32"/>
          <w:szCs w:val="32"/>
        </w:rPr>
        <w:t>〔201</w:t>
      </w:r>
      <w:r>
        <w:rPr>
          <w:rFonts w:hint="eastAsia" w:ascii="仿宋_GB2312" w:eastAsia="仿宋_GB2312"/>
          <w:spacing w:val="-1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1"/>
          <w:sz w:val="32"/>
          <w:szCs w:val="32"/>
        </w:rPr>
        <w:t>〕</w:t>
      </w:r>
      <w:r>
        <w:rPr>
          <w:rFonts w:hint="eastAsia" w:ascii="仿宋_GB2312" w:eastAsia="仿宋_GB2312"/>
          <w:spacing w:val="-1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pacing w:val="-1"/>
          <w:sz w:val="32"/>
          <w:szCs w:val="32"/>
        </w:rPr>
        <w:t>号</w:t>
      </w:r>
    </w:p>
    <w:p>
      <w:pPr>
        <w:snapToGrid w:val="0"/>
        <w:spacing w:line="288" w:lineRule="auto"/>
        <w:rPr>
          <w:rFonts w:ascii="仿宋_GB2312" w:eastAsia="仿宋_GB2312"/>
          <w:spacing w:val="-1"/>
          <w:sz w:val="32"/>
          <w:szCs w:val="32"/>
        </w:rPr>
      </w:pPr>
    </w:p>
    <w:p>
      <w:pPr>
        <w:snapToGrid w:val="0"/>
        <w:spacing w:line="288" w:lineRule="auto"/>
        <w:rPr>
          <w:rFonts w:ascii="仿宋_GB2312" w:eastAsia="仿宋_GB2312"/>
          <w:spacing w:val="-1"/>
          <w:sz w:val="32"/>
          <w:szCs w:val="32"/>
        </w:rPr>
      </w:pPr>
    </w:p>
    <w:p>
      <w:pPr>
        <w:snapToGrid w:val="0"/>
        <w:spacing w:before="0" w:beforeLines="0" w:after="0" w:afterLines="0" w:line="216" w:lineRule="auto"/>
        <w:jc w:val="center"/>
        <w:rPr>
          <w:rFonts w:hint="eastAsia" w:ascii="宋体" w:hAnsi="宋体" w:eastAsia="宋体" w:cs="宋体"/>
          <w:b/>
          <w:bCs w:val="0"/>
          <w:spacing w:val="-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-3"/>
          <w:sz w:val="44"/>
          <w:szCs w:val="44"/>
          <w:lang w:val="en-US" w:eastAsia="zh-CN"/>
        </w:rPr>
        <w:t>深圳市住房和建设局关于印发《</w:t>
      </w:r>
      <w:r>
        <w:rPr>
          <w:rFonts w:hint="eastAsia" w:ascii="宋体" w:hAnsi="宋体" w:eastAsia="宋体" w:cs="宋体"/>
          <w:b/>
          <w:bCs w:val="0"/>
          <w:spacing w:val="-3"/>
          <w:sz w:val="44"/>
          <w:szCs w:val="44"/>
        </w:rPr>
        <w:t>深圳市棚户区改</w:t>
      </w:r>
      <w:r>
        <w:rPr>
          <w:rFonts w:hint="eastAsia" w:ascii="宋体" w:hAnsi="宋体" w:eastAsia="宋体" w:cs="宋体"/>
          <w:b/>
          <w:bCs w:val="0"/>
          <w:spacing w:val="-3"/>
          <w:sz w:val="44"/>
          <w:szCs w:val="44"/>
          <w:lang w:eastAsia="zh-CN"/>
        </w:rPr>
        <w:t>造项目界定标准</w:t>
      </w:r>
      <w:r>
        <w:rPr>
          <w:rFonts w:hint="eastAsia" w:ascii="宋体" w:hAnsi="宋体" w:eastAsia="宋体" w:cs="宋体"/>
          <w:b/>
          <w:bCs w:val="0"/>
          <w:spacing w:val="-3"/>
          <w:sz w:val="44"/>
          <w:szCs w:val="44"/>
          <w:lang w:val="en-US" w:eastAsia="zh-CN"/>
        </w:rPr>
        <w:t>》的通知</w:t>
      </w:r>
    </w:p>
    <w:p>
      <w:pPr>
        <w:snapToGrid w:val="0"/>
        <w:spacing w:before="0" w:beforeLines="0" w:after="0" w:afterLines="0" w:line="216" w:lineRule="auto"/>
        <w:jc w:val="left"/>
        <w:rPr>
          <w:rFonts w:hint="eastAsia" w:ascii="仿宋_GB2312" w:hAnsi="仿宋_GB2312" w:eastAsia="仿宋_GB2312" w:cs="仿宋_GB2312"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324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各区政府（新区管委会），各有关单位：</w:t>
      </w:r>
    </w:p>
    <w:p>
      <w:pPr>
        <w:snapToGrid w:val="0"/>
        <w:spacing w:before="0" w:beforeLines="0" w:after="0" w:afterLines="0" w:line="324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《深圳市棚户区改造项目界定标准》已经市政府批准，现予印发，请遵照实行。</w:t>
      </w:r>
    </w:p>
    <w:p>
      <w:pPr>
        <w:snapToGrid w:val="0"/>
        <w:spacing w:before="0" w:beforeLines="0" w:after="0" w:afterLines="0" w:line="324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特此通知</w:t>
      </w:r>
    </w:p>
    <w:p>
      <w:pPr>
        <w:snapToGrid w:val="0"/>
        <w:spacing w:before="0" w:beforeLines="0" w:after="0" w:afterLines="0" w:line="28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8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附：深圳市棚户区改造项目界定标准</w:t>
      </w:r>
    </w:p>
    <w:p>
      <w:pPr>
        <w:snapToGrid w:val="0"/>
        <w:spacing w:before="0" w:beforeLines="0" w:after="0" w:afterLines="0"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4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napToGrid w:val="0"/>
        <w:spacing w:before="0" w:beforeLines="0" w:after="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深圳市住房和建设局</w:t>
      </w:r>
    </w:p>
    <w:p>
      <w:pPr>
        <w:snapToGrid w:val="0"/>
        <w:spacing w:before="0" w:beforeLines="0" w:after="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2016年6月16日</w:t>
      </w:r>
    </w:p>
    <w:p>
      <w:pPr>
        <w:snapToGrid w:val="0"/>
        <w:spacing w:before="0" w:beforeLines="0" w:after="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312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shd w:val="clear" w:color="auto" w:fill="auto"/>
        <w:snapToGrid w:val="0"/>
        <w:spacing w:beforeLines="0" w:afterLine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深圳市住房和建设局办公室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16日</w:t>
      </w:r>
      <w:r>
        <w:rPr>
          <w:rFonts w:hint="eastAsia" w:ascii="仿宋_GB2312" w:eastAsia="仿宋_GB2312"/>
          <w:sz w:val="28"/>
          <w:szCs w:val="28"/>
        </w:rPr>
        <w:t>印发</w:t>
      </w:r>
    </w:p>
    <w:p>
      <w:pPr>
        <w:snapToGrid w:val="0"/>
        <w:spacing w:before="0" w:beforeLines="0" w:after="0" w:afterLine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napToGrid w:val="0"/>
        <w:spacing w:before="0" w:beforeLines="0" w:after="0" w:afterLine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napToGrid w:val="0"/>
        <w:spacing w:before="0" w:beforeLines="0" w:after="0" w:afterLine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napToGrid w:val="0"/>
        <w:spacing w:before="0" w:beforeLines="0" w:after="0" w:afterLine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附件：</w:t>
      </w:r>
    </w:p>
    <w:p>
      <w:pPr>
        <w:snapToGrid w:val="0"/>
        <w:spacing w:before="0" w:beforeLines="0" w:after="0" w:afterLine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/>
        <w:jc w:val="center"/>
        <w:rPr>
          <w:rFonts w:ascii="黑体" w:hAnsi="黑体" w:eastAsia="黑体"/>
          <w:b w:val="0"/>
          <w:bCs/>
          <w:sz w:val="40"/>
          <w:szCs w:val="32"/>
        </w:rPr>
      </w:pPr>
      <w:r>
        <w:rPr>
          <w:rFonts w:hint="eastAsia" w:ascii="黑体" w:hAnsi="黑体" w:eastAsia="黑体"/>
          <w:b w:val="0"/>
          <w:bCs/>
          <w:sz w:val="40"/>
          <w:szCs w:val="32"/>
        </w:rPr>
        <w:t>深圳市棚户区改造项目</w:t>
      </w:r>
      <w:r>
        <w:rPr>
          <w:rFonts w:hint="eastAsia" w:ascii="黑体" w:hAnsi="黑体" w:eastAsia="黑体"/>
          <w:b w:val="0"/>
          <w:bCs/>
          <w:sz w:val="40"/>
          <w:szCs w:val="32"/>
          <w:lang w:eastAsia="zh-CN"/>
        </w:rPr>
        <w:t>界定标准</w:t>
      </w:r>
    </w:p>
    <w:p>
      <w:pPr>
        <w:pStyle w:val="4"/>
        <w:numPr>
          <w:ilvl w:val="0"/>
          <w:numId w:val="0"/>
        </w:numPr>
        <w:snapToGrid w:val="0"/>
        <w:spacing w:before="0" w:beforeLines="0" w:after="0" w:afterLines="0" w:line="240" w:lineRule="auto"/>
        <w:ind w:left="0" w:firstLine="0" w:firstLineChars="0"/>
        <w:jc w:val="center"/>
        <w:outlineLvl w:val="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firstLine="0" w:firstLineChars="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进一步规范棚户区改造工作，科学合理界定棚户区改造范围，统一棚户区改造界定标准，按照国家有关政策及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《广东省人民政府关于加快棚户区改造工作的实施意见》（粤府〔2014〕2号）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《广东省城市和国有工矿棚户区改造界定标准》（粤建保〔2015〕103号）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仿宋" w:eastAsia="仿宋_GB2312"/>
          <w:sz w:val="32"/>
          <w:szCs w:val="32"/>
        </w:rPr>
        <w:t>，结合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深圳实践</w:t>
      </w:r>
      <w:r>
        <w:rPr>
          <w:rFonts w:hint="eastAsia" w:ascii="仿宋_GB2312" w:hAnsi="仿宋" w:eastAsia="仿宋_GB2312"/>
          <w:sz w:val="32"/>
          <w:szCs w:val="32"/>
        </w:rPr>
        <w:t>，制定本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标准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firstLine="0" w:firstLineChars="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本标准所</w:t>
      </w:r>
      <w:r>
        <w:rPr>
          <w:rFonts w:hint="eastAsia" w:ascii="仿宋_GB2312" w:hAnsi="仿宋" w:eastAsia="仿宋_GB2312"/>
          <w:sz w:val="32"/>
          <w:szCs w:val="32"/>
        </w:rPr>
        <w:t>指棚户区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改造项目</w:t>
      </w:r>
      <w:r>
        <w:rPr>
          <w:rFonts w:hint="eastAsia" w:ascii="仿宋_GB2312" w:hAnsi="仿宋" w:eastAsia="仿宋_GB2312"/>
          <w:sz w:val="32"/>
          <w:szCs w:val="32"/>
        </w:rPr>
        <w:t>，是指位于深圳市范围内使用年限较久、房屋质量较差、建筑安全隐患较多、使用功能不完善、配套设施不齐全等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危旧住宅、住宅区和城中村改造项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目，主要包括以下区域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（含已纳入城市更新计划的改造项目）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4"/>
        <w:widowControl w:val="0"/>
        <w:tabs>
          <w:tab w:val="left" w:pos="1985"/>
        </w:tabs>
        <w:snapToGrid w:val="0"/>
        <w:spacing w:before="0" w:beforeLines="0" w:after="0" w:afterLines="0" w:line="341" w:lineRule="auto"/>
        <w:ind w:firstLine="566" w:firstLineChars="177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（一）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房屋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结构简易，影响城市规划实施和有碍城市景观，使用年限超过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 w:bidi="zh-TW"/>
        </w:rPr>
        <w:t>30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的危旧房屋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。</w:t>
      </w:r>
    </w:p>
    <w:p>
      <w:pPr>
        <w:pStyle w:val="4"/>
        <w:widowControl w:val="0"/>
        <w:tabs>
          <w:tab w:val="left" w:pos="1985"/>
        </w:tabs>
        <w:snapToGrid w:val="0"/>
        <w:spacing w:beforeLines="0" w:afterLines="0" w:line="341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（二）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按照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《房屋完损等级评定标准》和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《危险房屋鉴定标准》（</w:t>
      </w:r>
      <w:r>
        <w:rPr>
          <w:rStyle w:val="5"/>
          <w:rFonts w:ascii="仿宋_GB2312" w:hAnsi="仿宋" w:eastAsia="仿宋_GB2312"/>
          <w:sz w:val="32"/>
          <w:szCs w:val="32"/>
          <w:lang w:eastAsia="zh-CN"/>
        </w:rPr>
        <w:t>JGJ</w:t>
      </w:r>
      <w:r>
        <w:rPr>
          <w:rFonts w:ascii="仿宋_GB2312" w:hAnsi="仿宋" w:eastAsia="仿宋_GB2312"/>
          <w:sz w:val="32"/>
          <w:szCs w:val="32"/>
        </w:rPr>
        <w:t>125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—</w:t>
      </w:r>
      <w:r>
        <w:rPr>
          <w:rFonts w:ascii="仿宋_GB2312" w:hAnsi="仿宋" w:eastAsia="仿宋_GB2312"/>
          <w:sz w:val="32"/>
          <w:szCs w:val="32"/>
        </w:rPr>
        <w:t>99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)，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经专业机构评定属于危险房屋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或严重损坏房屋。</w:t>
      </w:r>
    </w:p>
    <w:p>
      <w:pPr>
        <w:pStyle w:val="4"/>
        <w:widowControl w:val="0"/>
        <w:tabs>
          <w:tab w:val="left" w:pos="1985"/>
        </w:tabs>
        <w:snapToGrid w:val="0"/>
        <w:spacing w:before="0" w:beforeLines="0" w:after="0" w:afterLines="0" w:line="341" w:lineRule="auto"/>
        <w:ind w:firstLine="566" w:firstLineChars="177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（三）房屋使用功能不全，包括房屋室内空间和设施不能满足安全和卫生要求（无集中供水、无分户厨卫）。</w:t>
      </w:r>
    </w:p>
    <w:p>
      <w:pPr>
        <w:pStyle w:val="4"/>
        <w:widowControl w:val="0"/>
        <w:tabs>
          <w:tab w:val="left" w:pos="1985"/>
        </w:tabs>
        <w:snapToGrid w:val="0"/>
        <w:spacing w:before="0" w:beforeLines="0" w:after="0" w:afterLines="0" w:line="341" w:lineRule="auto"/>
        <w:ind w:firstLine="566" w:firstLineChars="177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四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排水、交通、供电、供气、通信、环卫等配套基础设施不齐全或年久失修。</w:t>
      </w:r>
    </w:p>
    <w:p>
      <w:pPr>
        <w:pStyle w:val="4"/>
        <w:widowControl w:val="0"/>
        <w:tabs>
          <w:tab w:val="left" w:pos="1985"/>
        </w:tabs>
        <w:snapToGrid w:val="0"/>
        <w:spacing w:beforeLines="0" w:afterLines="0" w:line="341" w:lineRule="auto"/>
        <w:ind w:firstLine="566" w:firstLineChars="177"/>
        <w:jc w:val="both"/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（五）位于二线插花地斜坡类地质灾害易发区，存在安全隐患，建筑密度较大，房屋破旧拥挤，消防设施不健全，道路狭窄，电气线路老化、电气安装不规范等。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0" w:firstLineChars="0"/>
        <w:jc w:val="both"/>
        <w:outlineLvl w:val="9"/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仿宋_GB2312" w:hAnsi="仿宋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" w:eastAsia="仿宋_GB2312" w:cs="Times New Roman"/>
          <w:b/>
          <w:color w:val="000000"/>
          <w:kern w:val="0"/>
          <w:sz w:val="32"/>
          <w:szCs w:val="32"/>
          <w:lang w:val="zh-TW" w:eastAsia="zh-CN"/>
        </w:rPr>
        <w:t>第三条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　具有下列文件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 w:bidi="zh-TW"/>
        </w:rPr>
        <w:t>之一的，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均可作为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 w:bidi="zh-TW"/>
        </w:rPr>
        <w:t>棚户区改造项目界定依据：</w:t>
      </w: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leftChars="0" w:firstLine="0" w:firstLineChars="0"/>
        <w:jc w:val="both"/>
        <w:outlineLvl w:val="9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　　（一）具有相关资质的地质灾害评估机构出具的地质灾害危险性评估报告。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leftChars="0" w:firstLine="0" w:firstLineChars="0"/>
        <w:jc w:val="both"/>
        <w:outlineLvl w:val="9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　　（二）房屋安全鉴定</w:t>
      </w:r>
      <w:r>
        <w:rPr>
          <w:rFonts w:hint="eastAsia" w:ascii="仿宋_GB2312" w:hAnsi="仿宋" w:eastAsia="仿宋_GB2312" w:cs="黑体"/>
          <w:color w:val="000000"/>
          <w:kern w:val="2"/>
          <w:sz w:val="32"/>
          <w:szCs w:val="32"/>
          <w:lang w:val="zh-TW" w:eastAsia="zh-TW" w:bidi="zh-TW"/>
        </w:rPr>
        <w:t>相关专业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机构出具的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危房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鉴定报告。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leftChars="0" w:firstLine="0" w:firstLineChars="0"/>
        <w:jc w:val="both"/>
        <w:outlineLvl w:val="9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　　（三）具有相关资质的</w:t>
      </w:r>
      <w:r>
        <w:rPr>
          <w:rFonts w:hint="eastAsia" w:ascii="仿宋_GB2312" w:hAnsi="仿宋" w:eastAsia="仿宋_GB2312" w:cs="黑体"/>
          <w:color w:val="000000"/>
          <w:kern w:val="2"/>
          <w:sz w:val="32"/>
          <w:szCs w:val="32"/>
          <w:lang w:val="zh-TW" w:eastAsia="zh-TW" w:bidi="zh-TW"/>
        </w:rPr>
        <w:t>消防安全评价机构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出具的</w:t>
      </w:r>
      <w:r>
        <w:rPr>
          <w:rFonts w:hint="eastAsia" w:ascii="仿宋_GB2312" w:hAnsi="仿宋" w:eastAsia="仿宋_GB2312" w:cs="黑体"/>
          <w:b w:val="0"/>
          <w:i w:val="0"/>
          <w:caps w:val="0"/>
          <w:color w:val="000000"/>
          <w:spacing w:val="0"/>
          <w:sz w:val="32"/>
          <w:szCs w:val="32"/>
          <w:lang w:val="zh-TW" w:eastAsia="zh-TW" w:bidi="zh-TW"/>
        </w:rPr>
        <w:t>消防安全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评估报告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firstLine="640" w:firstLineChars="200"/>
        <w:jc w:val="both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（四）具有相关</w:t>
      </w:r>
      <w:r>
        <w:rPr>
          <w:rFonts w:hint="eastAsia" w:ascii="仿宋_GB2312" w:hAnsi="仿宋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资质的规划设计</w:t>
      </w:r>
      <w:r>
        <w:rPr>
          <w:rFonts w:hint="eastAsia" w:ascii="仿宋_GB2312" w:hAnsi="仿宋" w:eastAsia="仿宋_GB2312" w:cs="Times New Roman"/>
          <w:color w:val="auto"/>
          <w:spacing w:val="0"/>
          <w:kern w:val="0"/>
          <w:sz w:val="32"/>
          <w:szCs w:val="32"/>
        </w:rPr>
        <w:t>机构</w:t>
      </w:r>
      <w:r>
        <w:rPr>
          <w:rFonts w:hint="eastAsia" w:ascii="仿宋_GB2312" w:hAnsi="仿宋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出具的基础设施和公共服务设施建设评估报告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firstLine="640" w:firstLineChars="200"/>
        <w:jc w:val="both"/>
        <w:rPr>
          <w:rFonts w:hint="eastAsia" w:ascii="仿宋_GB2312" w:hAnsi="仿宋" w:eastAsia="仿宋_GB2312" w:cs="Times New Roman"/>
          <w:b w:val="0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color w:val="auto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" w:eastAsia="仿宋_GB2312" w:cs="黑体"/>
          <w:b w:val="0"/>
          <w:color w:val="000000"/>
          <w:kern w:val="2"/>
          <w:sz w:val="32"/>
          <w:szCs w:val="32"/>
          <w:lang w:val="zh-TW" w:eastAsia="zh-TW" w:bidi="zh-TW"/>
        </w:rPr>
        <w:t>符合一定条件且</w:t>
      </w:r>
      <w:r>
        <w:rPr>
          <w:rFonts w:hint="eastAsia" w:ascii="仿宋_GB2312" w:hAnsi="仿宋" w:eastAsia="仿宋_GB2312" w:cs="Times New Roman"/>
          <w:b w:val="0"/>
          <w:color w:val="auto"/>
          <w:kern w:val="0"/>
          <w:sz w:val="32"/>
          <w:szCs w:val="32"/>
          <w:lang w:eastAsia="zh-CN"/>
        </w:rPr>
        <w:t>取得《城市更新单元规划》批复。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firstLine="643" w:firstLineChars="200"/>
        <w:jc w:val="both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bidi="zh-TW"/>
        </w:rPr>
      </w:pPr>
      <w:r>
        <w:rPr>
          <w:rFonts w:hint="eastAsia" w:ascii="仿宋_GB2312" w:hAnsi="仿宋" w:eastAsia="仿宋_GB2312" w:cs="Times New Roman"/>
          <w:b/>
          <w:color w:val="000000"/>
          <w:kern w:val="0"/>
          <w:sz w:val="32"/>
          <w:szCs w:val="32"/>
          <w:lang w:eastAsia="zh-CN"/>
        </w:rPr>
        <w:t>第四条　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 w:bidi="zh-TW"/>
        </w:rPr>
        <w:t>区政府</w:t>
      </w:r>
      <w:r>
        <w:rPr>
          <w:rFonts w:hint="eastAsia" w:ascii="仿宋_GB2312" w:hAnsi="仿宋" w:eastAsia="仿宋_GB2312" w:cs="Times New Roman"/>
          <w:bCs w:val="0"/>
          <w:kern w:val="0"/>
          <w:sz w:val="32"/>
          <w:szCs w:val="32"/>
          <w:lang w:eastAsia="zh-CN" w:bidi="zh-TW"/>
        </w:rPr>
        <w:t>负责辖区棚户区改造项目界定，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 w:bidi="zh-TW"/>
        </w:rPr>
        <w:t>受理</w:t>
      </w:r>
      <w:r>
        <w:rPr>
          <w:rFonts w:hint="eastAsia" w:ascii="仿宋_GB2312" w:hAnsi="仿宋" w:eastAsia="仿宋_GB2312" w:cs="Times New Roman"/>
          <w:bCs w:val="0"/>
          <w:kern w:val="0"/>
          <w:sz w:val="32"/>
          <w:szCs w:val="32"/>
          <w:lang w:eastAsia="zh-CN" w:bidi="zh-TW"/>
        </w:rPr>
        <w:t>棚户区改造项目界定申请，审核棚户区改造界定依据文件，改造项目经审核合格，报市棚户区改造领导小组备案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 w:bidi="zh-TW"/>
        </w:rPr>
        <w:t>并</w:t>
      </w:r>
      <w:r>
        <w:rPr>
          <w:rFonts w:hint="eastAsia" w:ascii="仿宋_GB2312" w:hAnsi="仿宋" w:eastAsia="仿宋_GB2312" w:cs="Times New Roman"/>
          <w:bCs w:val="0"/>
          <w:kern w:val="0"/>
          <w:sz w:val="32"/>
          <w:szCs w:val="32"/>
          <w:lang w:eastAsia="zh-CN" w:bidi="zh-TW"/>
        </w:rPr>
        <w:t>纳入市棚户区改造年度计划。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第五条　　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标准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自公布之日起实施，有效期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6773F"/>
    <w:rsid w:val="1586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正文文本 (2) + 间距 0 pt"/>
    <w:basedOn w:val="6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6">
    <w:name w:val="正文文本 (2)_"/>
    <w:basedOn w:val="3"/>
    <w:link w:val="7"/>
    <w:qFormat/>
    <w:uiPriority w:val="0"/>
    <w:rPr>
      <w:rFonts w:ascii="MingLiU" w:hAnsi="MingLiU" w:eastAsia="MingLiU" w:cs="MingLiU"/>
      <w:spacing w:val="30"/>
      <w:kern w:val="0"/>
      <w:sz w:val="30"/>
      <w:szCs w:val="30"/>
    </w:rPr>
  </w:style>
  <w:style w:type="paragraph" w:customStyle="1" w:styleId="7">
    <w:name w:val="正文文本 (2)"/>
    <w:basedOn w:val="1"/>
    <w:link w:val="6"/>
    <w:qFormat/>
    <w:uiPriority w:val="0"/>
    <w:pPr>
      <w:shd w:val="clear" w:color="auto" w:fill="FFFFFF"/>
      <w:spacing w:before="2040" w:after="1500" w:line="0" w:lineRule="atLeast"/>
      <w:jc w:val="left"/>
    </w:pPr>
    <w:rPr>
      <w:rFonts w:ascii="MingLiU" w:hAnsi="MingLiU" w:eastAsia="MingLiU" w:cs="MingLiU"/>
      <w:spacing w:val="3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2019-05-30T10:26:00Z</dcterms:created>
  <dc:creator>好饭友</dc:creator>
  <cp:lastModifiedBy>好饭友</cp:lastModifiedBy>
  <dcterms:modified xsi:type="dcterms:W3CDTF">2019-05-30T10:29:33Z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