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60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600" w:lineRule="exact"/>
        <w:jc w:val="center"/>
        <w:rPr>
          <w:rFonts w:ascii="方正小标宋简体" w:hAnsi="宋体" w:eastAsia="方正小标宋简体" w:cs="方正小标宋简体"/>
          <w:color w:val="000000"/>
          <w:spacing w:val="-20"/>
          <w:kern w:val="0"/>
          <w:sz w:val="44"/>
          <w:szCs w:val="44"/>
        </w:rPr>
      </w:pPr>
      <w:r>
        <w:rPr>
          <w:rFonts w:hint="eastAsia" w:ascii="方正小标宋简体" w:hAnsi="宋体" w:eastAsia="方正小标宋简体" w:cs="方正小标宋简体"/>
          <w:color w:val="000000"/>
          <w:spacing w:val="-20"/>
          <w:kern w:val="0"/>
          <w:sz w:val="44"/>
          <w:szCs w:val="44"/>
        </w:rPr>
        <w:t>起草说明</w:t>
      </w:r>
    </w:p>
    <w:p>
      <w:pPr>
        <w:spacing w:line="600" w:lineRule="exact"/>
        <w:jc w:val="center"/>
        <w:rPr>
          <w:rFonts w:ascii="方正小标宋简体" w:hAnsi="宋体" w:eastAsia="方正小标宋简体" w:cs="方正小标宋简体"/>
          <w:color w:val="000000"/>
          <w:spacing w:val="-20"/>
          <w:kern w:val="0"/>
          <w:sz w:val="44"/>
          <w:szCs w:val="44"/>
        </w:rPr>
      </w:pPr>
    </w:p>
    <w:p>
      <w:pPr>
        <w:numPr>
          <w:ilvl w:val="0"/>
          <w:numId w:val="1"/>
        </w:numPr>
        <w:spacing w:line="60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编制背景</w:t>
      </w:r>
    </w:p>
    <w:p>
      <w:pPr>
        <w:spacing w:line="600" w:lineRule="exact"/>
        <w:ind w:firstLine="640" w:firstLineChars="200"/>
        <w:rPr>
          <w:rFonts w:ascii="Times New Roman" w:hAnsi="Times New Roman" w:eastAsia="仿宋_GB2312"/>
          <w:sz w:val="32"/>
          <w:szCs w:val="32"/>
        </w:rPr>
      </w:pPr>
      <w:r>
        <w:rPr>
          <w:rFonts w:hint="eastAsia" w:ascii="仿宋_GB2312" w:hAnsi="微软雅黑" w:eastAsia="仿宋_GB2312"/>
          <w:sz w:val="32"/>
          <w:szCs w:val="32"/>
        </w:rPr>
        <w:t>注销作为危险化学品企业行政审批工作的一部分，对规范危险化学品和非药品类易制毒化学品企业退出机制十分重要。《危险化学品生产企业安全生产许可证实施办法》《危险化学品经营许可证管理办法》等相关规章均对危险化学品安全许可证的注销作出了要求，但并未对相关细节进行规定。市应急管理局研究制定了《深圳市危险化学品安全许可证注销管理规定》，对规范行政许可注销程序，严肃行政许可管理，保护利害关系人合法权益具有十分重要的意义。</w:t>
      </w:r>
    </w:p>
    <w:p>
      <w:pPr>
        <w:spacing w:line="600" w:lineRule="exact"/>
        <w:ind w:firstLine="640" w:firstLineChars="200"/>
        <w:jc w:val="left"/>
        <w:outlineLvl w:val="0"/>
        <w:rPr>
          <w:rFonts w:ascii="黑体" w:hAnsi="黑体" w:eastAsia="黑体"/>
          <w:kern w:val="0"/>
          <w:sz w:val="32"/>
          <w:szCs w:val="32"/>
        </w:rPr>
      </w:pPr>
      <w:r>
        <w:rPr>
          <w:rFonts w:hint="eastAsia" w:ascii="黑体" w:hAnsi="黑体" w:eastAsia="黑体" w:cs="黑体"/>
          <w:kern w:val="0"/>
          <w:sz w:val="32"/>
          <w:szCs w:val="32"/>
        </w:rPr>
        <w:t>二、编制过程及原则</w:t>
      </w:r>
    </w:p>
    <w:p>
      <w:pPr>
        <w:spacing w:line="600" w:lineRule="exact"/>
        <w:ind w:firstLine="640" w:firstLineChars="200"/>
        <w:jc w:val="left"/>
        <w:outlineLvl w:val="1"/>
        <w:rPr>
          <w:rFonts w:ascii="楷体" w:hAnsi="楷体" w:eastAsia="楷体"/>
          <w:kern w:val="0"/>
          <w:sz w:val="32"/>
          <w:szCs w:val="32"/>
        </w:rPr>
      </w:pPr>
      <w:r>
        <w:rPr>
          <w:rFonts w:hint="eastAsia" w:ascii="楷体" w:hAnsi="楷体" w:eastAsia="楷体" w:cs="楷体"/>
          <w:kern w:val="0"/>
          <w:sz w:val="32"/>
          <w:szCs w:val="32"/>
        </w:rPr>
        <w:t>（一）编制过程</w:t>
      </w:r>
    </w:p>
    <w:p>
      <w:pPr>
        <w:pStyle w:val="2"/>
        <w:spacing w:line="600" w:lineRule="exact"/>
        <w:ind w:firstLine="640"/>
        <w:jc w:val="left"/>
        <w:rPr>
          <w:rFonts w:ascii="仿宋_GB2312" w:eastAsia="仿宋_GB2312"/>
          <w:kern w:val="0"/>
          <w:sz w:val="32"/>
          <w:szCs w:val="32"/>
        </w:rPr>
      </w:pPr>
      <w:r>
        <w:rPr>
          <w:rFonts w:hint="eastAsia" w:ascii="仿宋_GB2312" w:eastAsia="仿宋_GB2312"/>
          <w:kern w:val="0"/>
          <w:sz w:val="32"/>
          <w:szCs w:val="32"/>
        </w:rPr>
        <w:t>自</w:t>
      </w:r>
      <w:r>
        <w:rPr>
          <w:rFonts w:ascii="仿宋_GB2312" w:eastAsia="仿宋_GB2312"/>
          <w:kern w:val="0"/>
          <w:sz w:val="32"/>
          <w:szCs w:val="32"/>
        </w:rPr>
        <w:t>2019</w:t>
      </w:r>
      <w:r>
        <w:rPr>
          <w:rFonts w:hint="eastAsia" w:ascii="仿宋_GB2312" w:eastAsia="仿宋_GB2312"/>
          <w:kern w:val="0"/>
          <w:sz w:val="32"/>
          <w:szCs w:val="32"/>
        </w:rPr>
        <w:t>年8月起，</w:t>
      </w:r>
      <w:r>
        <w:rPr>
          <w:rFonts w:hint="eastAsia" w:ascii="仿宋_GB2312" w:hAnsi="仿宋" w:eastAsia="仿宋_GB2312"/>
          <w:bCs/>
          <w:kern w:val="0"/>
          <w:sz w:val="32"/>
          <w:szCs w:val="32"/>
        </w:rPr>
        <w:t>市应急管理局组织人员梳理、研究了《中华人民共和国行政许可法》及相关规章，根据</w:t>
      </w:r>
      <w:r>
        <w:rPr>
          <w:rFonts w:hint="eastAsia" w:ascii="仿宋_GB2312" w:hAnsi="宋体" w:eastAsia="仿宋_GB2312" w:cs="仿宋_GB2312"/>
          <w:kern w:val="0"/>
          <w:sz w:val="32"/>
          <w:szCs w:val="32"/>
        </w:rPr>
        <w:t>《深圳市应急管理局规范性文件制定工作规则》</w:t>
      </w:r>
      <w:r>
        <w:rPr>
          <w:rFonts w:hint="eastAsia" w:ascii="仿宋_GB2312" w:hAnsi="仿宋" w:eastAsia="仿宋_GB2312"/>
          <w:bCs/>
          <w:kern w:val="0"/>
          <w:sz w:val="32"/>
          <w:szCs w:val="32"/>
        </w:rPr>
        <w:t>工作要求</w:t>
      </w:r>
      <w:r>
        <w:rPr>
          <w:rFonts w:ascii="仿宋_GB2312" w:hAnsi="仿宋" w:eastAsia="仿宋_GB2312"/>
          <w:bCs/>
          <w:kern w:val="0"/>
          <w:sz w:val="32"/>
          <w:szCs w:val="32"/>
        </w:rPr>
        <w:t>,</w:t>
      </w:r>
      <w:r>
        <w:rPr>
          <w:rFonts w:hint="eastAsia" w:ascii="仿宋_GB2312" w:hAnsi="仿宋" w:eastAsia="仿宋_GB2312"/>
          <w:bCs/>
          <w:kern w:val="0"/>
          <w:sz w:val="32"/>
          <w:szCs w:val="32"/>
        </w:rPr>
        <w:t>初步制定</w:t>
      </w:r>
      <w:r>
        <w:rPr>
          <w:rFonts w:hint="eastAsia" w:ascii="仿宋_GB2312" w:eastAsia="仿宋_GB2312"/>
          <w:kern w:val="0"/>
          <w:sz w:val="32"/>
          <w:szCs w:val="32"/>
        </w:rPr>
        <w:t>本方法。</w:t>
      </w:r>
    </w:p>
    <w:p>
      <w:pPr>
        <w:spacing w:line="600" w:lineRule="exact"/>
        <w:ind w:firstLine="640" w:firstLineChars="200"/>
        <w:jc w:val="left"/>
        <w:outlineLvl w:val="1"/>
        <w:rPr>
          <w:rFonts w:ascii="楷体" w:hAnsi="楷体" w:eastAsia="楷体"/>
          <w:kern w:val="0"/>
          <w:sz w:val="32"/>
          <w:szCs w:val="32"/>
        </w:rPr>
      </w:pPr>
      <w:r>
        <w:rPr>
          <w:rFonts w:hint="eastAsia" w:ascii="楷体" w:hAnsi="楷体" w:eastAsia="楷体" w:cs="楷体"/>
          <w:kern w:val="0"/>
          <w:sz w:val="32"/>
          <w:szCs w:val="32"/>
        </w:rPr>
        <w:t>（二）主要原则</w:t>
      </w:r>
    </w:p>
    <w:p>
      <w:pPr>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本规定编制的主要原则是依法依规、便于操作，</w:t>
      </w:r>
      <w:r>
        <w:rPr>
          <w:rFonts w:hint="eastAsia" w:ascii="仿宋_GB2312" w:hAnsi="微软雅黑" w:eastAsia="仿宋_GB2312"/>
          <w:sz w:val="32"/>
          <w:szCs w:val="32"/>
        </w:rPr>
        <w:t>保护利害关系人合法权益</w:t>
      </w:r>
      <w:r>
        <w:rPr>
          <w:rFonts w:hint="eastAsia" w:ascii="仿宋_GB2312" w:hAnsi="宋体" w:eastAsia="仿宋_GB2312" w:cs="仿宋_GB2312"/>
          <w:kern w:val="0"/>
          <w:sz w:val="32"/>
          <w:szCs w:val="32"/>
        </w:rPr>
        <w:t>。</w:t>
      </w:r>
    </w:p>
    <w:p>
      <w:pPr>
        <w:spacing w:line="600" w:lineRule="exact"/>
        <w:ind w:firstLine="640" w:firstLineChars="200"/>
        <w:jc w:val="left"/>
        <w:outlineLvl w:val="0"/>
        <w:rPr>
          <w:rFonts w:ascii="黑体" w:hAnsi="黑体" w:eastAsia="黑体"/>
          <w:kern w:val="0"/>
          <w:sz w:val="32"/>
          <w:szCs w:val="32"/>
        </w:rPr>
      </w:pPr>
      <w:r>
        <w:rPr>
          <w:rFonts w:hint="eastAsia" w:ascii="黑体" w:hAnsi="黑体" w:eastAsia="黑体" w:cs="黑体"/>
          <w:kern w:val="0"/>
          <w:sz w:val="32"/>
          <w:szCs w:val="32"/>
        </w:rPr>
        <w:t>三、参考依据</w:t>
      </w:r>
    </w:p>
    <w:p>
      <w:pPr>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w:t>
      </w:r>
      <w:r>
        <w:rPr>
          <w:rFonts w:hint="eastAsia" w:ascii="仿宋_GB2312" w:hAnsi="仿宋" w:eastAsia="仿宋_GB2312"/>
          <w:bCs/>
          <w:kern w:val="0"/>
          <w:sz w:val="32"/>
          <w:szCs w:val="32"/>
        </w:rPr>
        <w:t>《中华人民共和国行政许可法》</w:t>
      </w:r>
      <w:r>
        <w:rPr>
          <w:rFonts w:hint="eastAsia" w:ascii="仿宋_GB2312" w:hAnsi="宋体" w:eastAsia="仿宋_GB2312" w:cs="仿宋_GB2312"/>
          <w:kern w:val="0"/>
          <w:sz w:val="32"/>
          <w:szCs w:val="32"/>
        </w:rPr>
        <w:t>；</w:t>
      </w:r>
    </w:p>
    <w:p>
      <w:pPr>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（二）</w:t>
      </w:r>
      <w:r>
        <w:rPr>
          <w:rFonts w:ascii="仿宋_GB2312" w:hAnsi="宋体" w:eastAsia="仿宋_GB2312" w:cs="仿宋_GB2312"/>
          <w:kern w:val="0"/>
          <w:sz w:val="32"/>
          <w:szCs w:val="32"/>
        </w:rPr>
        <w:t xml:space="preserve"> </w:t>
      </w:r>
      <w:r>
        <w:rPr>
          <w:rFonts w:hint="eastAsia" w:ascii="仿宋_GB2312" w:hAnsi="微软雅黑" w:eastAsia="仿宋_GB2312"/>
          <w:sz w:val="32"/>
          <w:szCs w:val="32"/>
        </w:rPr>
        <w:t>《危险化学品生产企业安全生产许可证实施办法》（国家安全监管总局令第</w:t>
      </w:r>
      <w:r>
        <w:rPr>
          <w:rFonts w:ascii="仿宋_GB2312" w:hAnsi="微软雅黑" w:eastAsia="仿宋_GB2312"/>
          <w:sz w:val="32"/>
          <w:szCs w:val="32"/>
        </w:rPr>
        <w:t>41</w:t>
      </w:r>
      <w:r>
        <w:rPr>
          <w:rFonts w:hint="eastAsia" w:ascii="仿宋_GB2312" w:hAnsi="微软雅黑" w:eastAsia="仿宋_GB2312"/>
          <w:sz w:val="32"/>
          <w:szCs w:val="32"/>
        </w:rPr>
        <w:t>号）</w:t>
      </w:r>
      <w:r>
        <w:rPr>
          <w:rFonts w:hint="eastAsia" w:ascii="仿宋_GB2312" w:hAnsi="宋体" w:eastAsia="仿宋_GB2312" w:cs="仿宋_GB2312"/>
          <w:kern w:val="0"/>
          <w:sz w:val="32"/>
          <w:szCs w:val="32"/>
        </w:rPr>
        <w:t>；</w:t>
      </w:r>
    </w:p>
    <w:p>
      <w:pPr>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（三）</w:t>
      </w:r>
      <w:r>
        <w:rPr>
          <w:rFonts w:hint="eastAsia" w:ascii="仿宋_GB2312" w:hAnsi="微软雅黑" w:eastAsia="仿宋_GB2312"/>
          <w:sz w:val="32"/>
          <w:szCs w:val="32"/>
        </w:rPr>
        <w:t>《危险化学品经营许可证管理办法》（国家安全监管总局令第</w:t>
      </w:r>
      <w:r>
        <w:rPr>
          <w:rFonts w:ascii="仿宋_GB2312" w:hAnsi="微软雅黑" w:eastAsia="仿宋_GB2312"/>
          <w:sz w:val="32"/>
          <w:szCs w:val="32"/>
        </w:rPr>
        <w:t>55</w:t>
      </w:r>
      <w:r>
        <w:rPr>
          <w:rFonts w:hint="eastAsia" w:ascii="仿宋_GB2312" w:hAnsi="微软雅黑" w:eastAsia="仿宋_GB2312"/>
          <w:sz w:val="32"/>
          <w:szCs w:val="32"/>
        </w:rPr>
        <w:t>号）</w:t>
      </w:r>
      <w:r>
        <w:rPr>
          <w:rFonts w:hint="eastAsia" w:ascii="仿宋_GB2312" w:hAnsi="宋体" w:eastAsia="仿宋_GB2312" w:cs="仿宋_GB2312"/>
          <w:kern w:val="0"/>
          <w:sz w:val="32"/>
          <w:szCs w:val="32"/>
        </w:rPr>
        <w:t>；</w:t>
      </w:r>
    </w:p>
    <w:p>
      <w:pPr>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（四）《危险化学品安全使用许可证实施办法》</w:t>
      </w:r>
      <w:r>
        <w:rPr>
          <w:rFonts w:hint="eastAsia" w:ascii="仿宋_GB2312" w:hAnsi="微软雅黑" w:eastAsia="仿宋_GB2312"/>
          <w:sz w:val="32"/>
          <w:szCs w:val="32"/>
        </w:rPr>
        <w:t>（国家安全监管总局令第</w:t>
      </w:r>
      <w:r>
        <w:rPr>
          <w:rFonts w:ascii="仿宋_GB2312" w:hAnsi="微软雅黑" w:eastAsia="仿宋_GB2312"/>
          <w:sz w:val="32"/>
          <w:szCs w:val="32"/>
        </w:rPr>
        <w:t>57</w:t>
      </w:r>
      <w:r>
        <w:rPr>
          <w:rFonts w:hint="eastAsia" w:ascii="仿宋_GB2312" w:hAnsi="微软雅黑" w:eastAsia="仿宋_GB2312"/>
          <w:sz w:val="32"/>
          <w:szCs w:val="32"/>
        </w:rPr>
        <w:t>号）</w:t>
      </w:r>
      <w:r>
        <w:rPr>
          <w:rFonts w:hint="eastAsia" w:ascii="仿宋_GB2312" w:hAnsi="宋体" w:eastAsia="仿宋_GB2312" w:cs="仿宋_GB2312"/>
          <w:kern w:val="0"/>
          <w:sz w:val="32"/>
          <w:szCs w:val="32"/>
        </w:rPr>
        <w:t>。</w:t>
      </w:r>
    </w:p>
    <w:p>
      <w:pPr>
        <w:spacing w:line="600" w:lineRule="exact"/>
        <w:ind w:firstLine="640" w:firstLineChars="200"/>
        <w:jc w:val="left"/>
        <w:outlineLvl w:val="0"/>
        <w:rPr>
          <w:rFonts w:ascii="黑体" w:hAnsi="黑体" w:eastAsia="黑体"/>
          <w:kern w:val="0"/>
          <w:sz w:val="32"/>
          <w:szCs w:val="32"/>
        </w:rPr>
      </w:pPr>
      <w:r>
        <w:rPr>
          <w:rFonts w:hint="eastAsia" w:ascii="黑体" w:hAnsi="黑体" w:eastAsia="黑体" w:cs="黑体"/>
          <w:kern w:val="0"/>
          <w:sz w:val="32"/>
          <w:szCs w:val="32"/>
        </w:rPr>
        <w:t>四、主要内容</w:t>
      </w:r>
    </w:p>
    <w:p>
      <w:pPr>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本规定方法包括四部分内容：第一条至第三条规定了注销工作的意义及原则；第四条至第五条规定了注销的各类情形；第六条至第十四条规定了注销工作的程序及要求；第十五条至第十六条规定了注销工作的适用范围和有效期限。</w:t>
      </w:r>
    </w:p>
    <w:p>
      <w:pPr>
        <w:spacing w:line="600" w:lineRule="exact"/>
        <w:ind w:firstLine="640" w:firstLineChars="200"/>
        <w:jc w:val="left"/>
        <w:outlineLvl w:val="1"/>
        <w:rPr>
          <w:rFonts w:ascii="楷体" w:hAnsi="楷体" w:eastAsia="楷体" w:cs="楷体"/>
          <w:kern w:val="0"/>
          <w:sz w:val="32"/>
          <w:szCs w:val="32"/>
        </w:rPr>
      </w:pPr>
      <w:r>
        <w:rPr>
          <w:rFonts w:hint="eastAsia" w:ascii="楷体" w:hAnsi="楷体" w:eastAsia="楷体" w:cs="楷体"/>
          <w:kern w:val="0"/>
          <w:sz w:val="32"/>
          <w:szCs w:val="32"/>
        </w:rPr>
        <w:t>（一）意义及原则</w:t>
      </w:r>
    </w:p>
    <w:p>
      <w:pPr>
        <w:widowControl/>
        <w:shd w:val="clear" w:color="auto" w:fill="FFFFFF"/>
        <w:spacing w:line="600" w:lineRule="exact"/>
        <w:ind w:firstLine="640" w:firstLineChars="200"/>
        <w:jc w:val="left"/>
        <w:rPr>
          <w:rFonts w:ascii="仿宋_GB2312" w:hAnsi="Arial" w:eastAsia="仿宋_GB2312" w:cs="Arial"/>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、规范行政许可注销程序，能够严肃行政许可管理，保护利害关系人的合法权益，完善危险化学品和非药品类易制毒化学品企业退出机制</w:t>
      </w:r>
      <w:r>
        <w:rPr>
          <w:rFonts w:hint="eastAsia" w:ascii="仿宋_GB2312" w:hAnsi="Arial" w:eastAsia="仿宋_GB2312" w:cs="Arial"/>
          <w:kern w:val="0"/>
          <w:sz w:val="32"/>
          <w:szCs w:val="32"/>
        </w:rPr>
        <w:t>。</w:t>
      </w:r>
    </w:p>
    <w:p>
      <w:pPr>
        <w:widowControl/>
        <w:shd w:val="clear" w:color="auto" w:fill="FFFFFF"/>
        <w:spacing w:line="600" w:lineRule="exact"/>
        <w:ind w:firstLine="640" w:firstLineChars="200"/>
        <w:jc w:val="left"/>
        <w:rPr>
          <w:rFonts w:ascii="仿宋_GB2312" w:hAnsi="宋体" w:eastAsia="仿宋_GB2312" w:cs="仿宋_GB2312"/>
          <w:kern w:val="0"/>
          <w:sz w:val="32"/>
          <w:szCs w:val="32"/>
        </w:rPr>
      </w:pPr>
      <w:r>
        <w:rPr>
          <w:rFonts w:ascii="仿宋_GB2312" w:hAnsi="Arial" w:eastAsia="仿宋_GB2312" w:cs="Arial"/>
          <w:kern w:val="0"/>
          <w:sz w:val="32"/>
          <w:szCs w:val="32"/>
        </w:rPr>
        <w:t>2</w:t>
      </w:r>
      <w:r>
        <w:rPr>
          <w:rFonts w:hint="eastAsia" w:ascii="仿宋_GB2312" w:hAnsi="Arial" w:eastAsia="仿宋_GB2312" w:cs="Arial"/>
          <w:kern w:val="0"/>
          <w:sz w:val="32"/>
          <w:szCs w:val="32"/>
        </w:rPr>
        <w:t>、</w:t>
      </w:r>
      <w:r>
        <w:rPr>
          <w:rStyle w:val="7"/>
          <w:rFonts w:hint="eastAsia" w:ascii="微软雅黑" w:hAnsi="微软雅黑" w:eastAsia="仿宋_GB2312" w:cs="宋体"/>
          <w:color w:val="000000"/>
          <w:sz w:val="32"/>
          <w:szCs w:val="32"/>
        </w:rPr>
        <w:t>深圳市</w:t>
      </w:r>
      <w:r>
        <w:rPr>
          <w:rFonts w:hint="eastAsia" w:ascii="仿宋_GB2312" w:hAnsi="微软雅黑" w:eastAsia="仿宋_GB2312"/>
          <w:color w:val="000000"/>
          <w:sz w:val="32"/>
          <w:szCs w:val="32"/>
        </w:rPr>
        <w:t>各级应急管理部门应当根据相关法规、规章规定的行政审批职权，严格遵循本规定开展危险化学品</w:t>
      </w:r>
      <w:r>
        <w:rPr>
          <w:rFonts w:hint="eastAsia" w:ascii="仿宋_GB2312" w:eastAsia="仿宋_GB2312"/>
          <w:color w:val="000000"/>
          <w:sz w:val="32"/>
          <w:szCs w:val="32"/>
        </w:rPr>
        <w:t>安全</w:t>
      </w:r>
      <w:r>
        <w:rPr>
          <w:rFonts w:hint="eastAsia" w:ascii="仿宋_GB2312" w:hAnsi="微软雅黑" w:eastAsia="仿宋_GB2312"/>
          <w:color w:val="000000"/>
          <w:sz w:val="32"/>
          <w:szCs w:val="32"/>
        </w:rPr>
        <w:t>许可证注销工作。</w:t>
      </w:r>
    </w:p>
    <w:p>
      <w:pPr>
        <w:spacing w:line="600" w:lineRule="exact"/>
        <w:ind w:firstLine="640" w:firstLineChars="200"/>
        <w:jc w:val="left"/>
        <w:outlineLvl w:val="1"/>
        <w:rPr>
          <w:rFonts w:ascii="楷体" w:hAnsi="楷体" w:eastAsia="楷体" w:cs="楷体"/>
          <w:kern w:val="0"/>
          <w:sz w:val="32"/>
          <w:szCs w:val="32"/>
        </w:rPr>
      </w:pPr>
      <w:r>
        <w:rPr>
          <w:rFonts w:hint="eastAsia" w:ascii="楷体" w:hAnsi="楷体" w:eastAsia="楷体" w:cs="楷体"/>
          <w:kern w:val="0"/>
          <w:sz w:val="32"/>
          <w:szCs w:val="32"/>
        </w:rPr>
        <w:t>（二）各类情形</w:t>
      </w:r>
    </w:p>
    <w:p>
      <w:pPr>
        <w:spacing w:line="600" w:lineRule="exact"/>
        <w:ind w:firstLine="640" w:firstLineChars="200"/>
        <w:jc w:val="left"/>
        <w:outlineLvl w:val="1"/>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注销情形主要依据《中华人民共和国行政许可法》第七十条规定，并结合危险化学品和易制毒化学品企业实际特点予以规定，主要包括三大类：一是有效期届满未延续（包括未申请延期或延期未被批准）；二是行政许可被撤销、撤回或者行政许可证被吊销；三是终止了许可范围活动（包括终止生产经营活动或依然开展生产经营但是终止了危险化学品和易制毒化学品许可范围内的业务）；四是</w:t>
      </w:r>
      <w:r>
        <w:rPr>
          <w:rFonts w:hint="eastAsia" w:ascii="仿宋_GB2312" w:hAnsi="微软雅黑" w:eastAsia="仿宋_GB2312"/>
          <w:color w:val="000000"/>
          <w:sz w:val="32"/>
          <w:szCs w:val="32"/>
        </w:rPr>
        <w:t>因不可抗力导致行政许可事项无法实施的</w:t>
      </w:r>
      <w:r>
        <w:rPr>
          <w:rFonts w:hint="eastAsia" w:ascii="仿宋_GB2312" w:hAnsi="宋体" w:eastAsia="仿宋_GB2312" w:cs="仿宋_GB2312"/>
          <w:kern w:val="0"/>
          <w:sz w:val="32"/>
          <w:szCs w:val="32"/>
        </w:rPr>
        <w:t>。</w:t>
      </w:r>
    </w:p>
    <w:p>
      <w:pPr>
        <w:spacing w:line="600" w:lineRule="exact"/>
        <w:ind w:firstLine="640" w:firstLineChars="200"/>
        <w:jc w:val="left"/>
        <w:outlineLvl w:val="1"/>
        <w:rPr>
          <w:rFonts w:ascii="楷体" w:hAnsi="楷体" w:eastAsia="楷体" w:cs="楷体"/>
          <w:kern w:val="0"/>
          <w:sz w:val="32"/>
          <w:szCs w:val="32"/>
        </w:rPr>
      </w:pPr>
      <w:r>
        <w:rPr>
          <w:rFonts w:hint="eastAsia" w:ascii="楷体" w:hAnsi="楷体" w:eastAsia="楷体" w:cs="楷体"/>
          <w:kern w:val="0"/>
          <w:sz w:val="32"/>
          <w:szCs w:val="32"/>
        </w:rPr>
        <w:t>（三）程序及要求</w:t>
      </w:r>
    </w:p>
    <w:p>
      <w:pPr>
        <w:spacing w:line="600" w:lineRule="exact"/>
        <w:ind w:firstLine="640" w:firstLineChars="200"/>
        <w:rPr>
          <w:rFonts w:ascii="仿宋_GB2312" w:hAnsi="宋体" w:eastAsia="仿宋_GB2312" w:cs="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、为简化许可程序，已经作出注销决定的事项，通过所在单位网站统一公告注销内容、理由和依据即可；</w:t>
      </w:r>
    </w:p>
    <w:p>
      <w:pPr>
        <w:spacing w:line="600" w:lineRule="exact"/>
        <w:ind w:firstLine="640" w:firstLineChars="200"/>
        <w:rPr>
          <w:rFonts w:ascii="仿宋_GB2312" w:hAnsi="宋体" w:eastAsia="仿宋_GB2312" w:cs="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、对已经过期的证书，无需收回；对尚未过期的证书，为便于管理，应予以回收，无法回收的，应做好记录。</w:t>
      </w:r>
    </w:p>
    <w:p>
      <w:pPr>
        <w:spacing w:line="600" w:lineRule="exact"/>
        <w:ind w:firstLine="640" w:firstLineChars="200"/>
        <w:jc w:val="left"/>
        <w:outlineLvl w:val="1"/>
        <w:rPr>
          <w:rFonts w:ascii="仿宋_GB2312" w:hAnsi="宋体" w:eastAsia="仿宋_GB2312" w:cs="仿宋_GB2312"/>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、为保障行政相对人合法权益，便于行政许可机关作出合理的注销决定，注销手续建议在相关情况发生后60日内开展。</w:t>
      </w:r>
    </w:p>
    <w:p>
      <w:pPr>
        <w:spacing w:line="600" w:lineRule="exact"/>
        <w:ind w:firstLine="640" w:firstLineChars="200"/>
        <w:jc w:val="left"/>
        <w:outlineLvl w:val="1"/>
        <w:rPr>
          <w:rFonts w:ascii="仿宋_GB2312" w:hAnsi="宋体" w:eastAsia="仿宋_GB2312" w:cs="仿宋_GB2312"/>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鉴于部分企业存在终止危险化学品或易制毒化学品许可范围活动但不主动申请注销的情形，为保障此类企业退出机制，第十一条进一步明确了此类情形的办理方式，既保障了行政相对人的合法权益又便于许可机关操作。</w:t>
      </w:r>
    </w:p>
    <w:p>
      <w:pPr>
        <w:spacing w:line="600" w:lineRule="exact"/>
        <w:ind w:firstLine="640" w:firstLineChars="200"/>
        <w:rPr>
          <w:rFonts w:ascii="楷体_GB2312" w:hAnsi="宋体" w:eastAsia="楷体_GB2312" w:cs="仿宋_GB2312"/>
          <w:kern w:val="0"/>
          <w:sz w:val="32"/>
          <w:szCs w:val="32"/>
        </w:rPr>
      </w:pPr>
      <w:r>
        <w:rPr>
          <w:rFonts w:hint="eastAsia" w:ascii="楷体_GB2312" w:hAnsi="宋体" w:eastAsia="楷体_GB2312" w:cs="仿宋_GB2312"/>
          <w:kern w:val="0"/>
          <w:sz w:val="32"/>
          <w:szCs w:val="32"/>
        </w:rPr>
        <w:t>（四）适用范围及有效期限</w:t>
      </w:r>
    </w:p>
    <w:p>
      <w:pPr>
        <w:spacing w:line="60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本规定对使用范围和有效期限进行了规定，危险化学品各类备案证明和非药品类易制毒化学品等各类许可参照办理。</w:t>
      </w:r>
    </w:p>
    <w:p>
      <w:pPr>
        <w:spacing w:line="600" w:lineRule="exact"/>
        <w:ind w:firstLine="640" w:firstLineChars="200"/>
        <w:jc w:val="left"/>
        <w:outlineLvl w:val="0"/>
        <w:rPr>
          <w:rFonts w:ascii="黑体" w:hAnsi="黑体" w:eastAsia="黑体"/>
          <w:kern w:val="0"/>
          <w:sz w:val="32"/>
          <w:szCs w:val="32"/>
        </w:rPr>
      </w:pPr>
      <w:r>
        <w:rPr>
          <w:rFonts w:hint="eastAsia" w:ascii="黑体" w:hAnsi="黑体" w:eastAsia="黑体" w:cs="黑体"/>
          <w:kern w:val="0"/>
          <w:sz w:val="32"/>
          <w:szCs w:val="32"/>
        </w:rPr>
        <w:t>五、其他</w:t>
      </w:r>
    </w:p>
    <w:p>
      <w:pPr>
        <w:spacing w:line="600" w:lineRule="exact"/>
        <w:ind w:firstLine="640" w:firstLineChars="200"/>
      </w:pPr>
      <w:r>
        <w:rPr>
          <w:rFonts w:hint="eastAsia" w:ascii="仿宋_GB2312" w:eastAsia="仿宋_GB2312"/>
          <w:kern w:val="0"/>
          <w:sz w:val="32"/>
          <w:szCs w:val="32"/>
        </w:rPr>
        <w:t>本分级方法拟在征求各有关单位意见并修改完善的基础上，由市应急管理局以通知的形式发布实施。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6C281"/>
    <w:multiLevelType w:val="singleLevel"/>
    <w:tmpl w:val="62B6C281"/>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E210E"/>
    <w:rsid w:val="6DBE2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link w:val="6"/>
    <w:semiHidden/>
    <w:uiPriority w:val="0"/>
    <w:rPr>
      <w:rFonts w:ascii="Tahoma" w:hAnsi="Tahoma"/>
      <w:sz w:val="24"/>
      <w:szCs w:val="20"/>
    </w:rPr>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2"/>
    <w:basedOn w:val="1"/>
    <w:uiPriority w:val="0"/>
    <w:pPr>
      <w:spacing w:line="520" w:lineRule="exact"/>
      <w:ind w:firstLine="720" w:firstLineChars="200"/>
      <w:jc w:val="center"/>
    </w:pPr>
    <w:rPr>
      <w:rFonts w:ascii="Times New Roman" w:hAnsi="Times New Roman" w:eastAsia="黑体"/>
      <w:sz w:val="44"/>
    </w:rPr>
  </w:style>
  <w:style w:type="paragraph" w:styleId="3">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
    <w:name w:val="Char1"/>
    <w:basedOn w:val="1"/>
    <w:link w:val="5"/>
    <w:qFormat/>
    <w:uiPriority w:val="0"/>
    <w:rPr>
      <w:rFonts w:ascii="Tahoma" w:hAnsi="Tahoma"/>
      <w:sz w:val="24"/>
      <w:szCs w:val="20"/>
    </w:rPr>
  </w:style>
  <w:style w:type="character" w:customStyle="1" w:styleId="7">
    <w:name w:val="apple-converted-space"/>
    <w:basedOn w:val="5"/>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2019-10-13T02:02:00Z</dcterms:created>
  <dc:creator>好饭友</dc:creator>
  <cp:lastModifiedBy>好饭友</cp:lastModifiedBy>
  <dcterms:modified xsi:type="dcterms:W3CDTF">2019-10-13T02:02:35Z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