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附表5</w:t>
      </w:r>
    </w:p>
    <w:p>
      <w:pPr>
        <w:spacing w:after="156" w:afterLines="50"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产业项目类型修正系数表</w:t>
      </w:r>
    </w:p>
    <w:bookmarkEnd w:id="0"/>
    <w:tbl>
      <w:tblPr>
        <w:tblStyle w:val="2"/>
        <w:tblW w:w="49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374"/>
        <w:gridCol w:w="5289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产业分类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修正系数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重点产业项目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遴选方案确定有两个及两个以上意向用地单位联合申请的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bCs/>
                <w:kern w:val="0"/>
                <w:szCs w:val="21"/>
              </w:rPr>
            </w:pP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遴选方案确定为单一意向用地单位的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一般产业项目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hint="eastAsia" w:ascii="楷体_GB2312" w:hAnsi="宋体" w:eastAsia="楷体_GB2312" w:cs="仿宋_GB2312"/>
                <w:bCs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szCs w:val="21"/>
              </w:rPr>
              <w:t>备注：1．修正对象为除配套商业以外的建筑类型。产业项目分类以《深圳市工业及其他产业用地供应管理办法》（深府规〔2019〕4号）规定为准。</w:t>
            </w:r>
          </w:p>
          <w:p>
            <w:pPr>
              <w:spacing w:line="28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szCs w:val="21"/>
              </w:rPr>
              <w:t>2．本表不适用于城市更新项目、留用土地项目、棚户区改造项目。</w:t>
            </w:r>
          </w:p>
        </w:tc>
      </w:tr>
    </w:tbl>
    <w:p>
      <w:pPr>
        <w:spacing w:line="400" w:lineRule="atLeast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B73A7"/>
    <w:rsid w:val="687B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2019-11-12T07:36:00Z</dcterms:created>
  <dc:creator>-Jus</dc:creator>
  <cp:lastModifiedBy>-Jus</cp:lastModifiedBy>
  <dcterms:modified xsi:type="dcterms:W3CDTF">2019-11-12T07:37:03Z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