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附表6</w:t>
      </w:r>
    </w:p>
    <w:p>
      <w:pPr>
        <w:spacing w:after="156" w:afterLines="50" w:line="0" w:lineRule="atLeast"/>
        <w:jc w:val="center"/>
        <w:rPr>
          <w:rFonts w:ascii="宋体" w:hAnsi="宋体"/>
          <w:sz w:val="36"/>
          <w:szCs w:val="36"/>
        </w:rPr>
      </w:pPr>
      <w:bookmarkStart w:id="0" w:name="_GoBack"/>
      <w:r>
        <w:rPr>
          <w:rFonts w:hint="eastAsia" w:ascii="宋体" w:hAnsi="宋体"/>
          <w:sz w:val="36"/>
          <w:szCs w:val="36"/>
        </w:rPr>
        <w:t>地上商业楼层修正系数表</w:t>
      </w:r>
    </w:p>
    <w:bookmarkEnd w:id="0"/>
    <w:tbl>
      <w:tblPr>
        <w:tblStyle w:val="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黑体" w:hAnsi="宋体" w:eastAsia="黑体" w:cs="仿宋_GB2312"/>
                <w:szCs w:val="21"/>
              </w:rPr>
            </w:pPr>
            <w:r>
              <w:rPr>
                <w:rFonts w:hint="eastAsia" w:ascii="黑体" w:hAnsi="宋体" w:eastAsia="黑体" w:cs="仿宋_GB2312"/>
                <w:szCs w:val="21"/>
              </w:rPr>
              <w:t>商业楼层</w:t>
            </w:r>
          </w:p>
        </w:tc>
        <w:tc>
          <w:tcPr>
            <w:tcW w:w="4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黑体" w:hAnsi="宋体" w:eastAsia="黑体" w:cs="仿宋_GB2312"/>
                <w:szCs w:val="21"/>
              </w:rPr>
            </w:pPr>
            <w:r>
              <w:rPr>
                <w:rFonts w:hint="eastAsia" w:ascii="黑体" w:hAnsi="宋体" w:eastAsia="黑体" w:cs="仿宋_GB2312"/>
                <w:szCs w:val="21"/>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rPr>
                <w:rFonts w:hint="eastAsia" w:ascii="宋体" w:hAnsi="宋体" w:cs="仿宋_GB2312"/>
                <w:szCs w:val="21"/>
              </w:rPr>
            </w:pPr>
            <w:r>
              <w:rPr>
                <w:rFonts w:hint="eastAsia" w:ascii="宋体" w:hAnsi="宋体" w:cs="仿宋_GB2312"/>
                <w:szCs w:val="21"/>
              </w:rPr>
              <w:t>首层商业</w:t>
            </w:r>
          </w:p>
        </w:tc>
        <w:tc>
          <w:tcPr>
            <w:tcW w:w="4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rPr>
                <w:rFonts w:hint="eastAsia" w:ascii="宋体" w:hAnsi="宋体" w:cs="仿宋_GB2312"/>
                <w:szCs w:val="21"/>
              </w:rPr>
            </w:pPr>
            <w:r>
              <w:rPr>
                <w:rFonts w:hint="eastAsia" w:ascii="宋体" w:hAnsi="宋体" w:cs="仿宋_GB2312"/>
                <w:szCs w:val="21"/>
              </w:rPr>
              <w:t>第二层商业</w:t>
            </w:r>
          </w:p>
        </w:tc>
        <w:tc>
          <w:tcPr>
            <w:tcW w:w="4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宋体" w:hAnsi="宋体" w:cs="仿宋_GB2312"/>
                <w:szCs w:val="21"/>
              </w:rPr>
            </w:pPr>
            <w:r>
              <w:rPr>
                <w:rFonts w:hint="eastAsia" w:ascii="宋体" w:hAnsi="宋体" w:cs="仿宋_GB2312"/>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rPr>
                <w:rFonts w:hint="eastAsia" w:ascii="宋体" w:hAnsi="宋体" w:cs="仿宋_GB2312"/>
                <w:szCs w:val="21"/>
              </w:rPr>
            </w:pPr>
            <w:r>
              <w:rPr>
                <w:rFonts w:hint="eastAsia" w:ascii="宋体" w:hAnsi="宋体" w:cs="仿宋_GB2312"/>
                <w:szCs w:val="21"/>
              </w:rPr>
              <w:t>第三层商业</w:t>
            </w:r>
          </w:p>
        </w:tc>
        <w:tc>
          <w:tcPr>
            <w:tcW w:w="4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宋体" w:hAnsi="宋体" w:cs="仿宋_GB2312"/>
                <w:szCs w:val="21"/>
              </w:rPr>
            </w:pPr>
            <w:r>
              <w:rPr>
                <w:rFonts w:hint="eastAsia" w:ascii="宋体" w:hAnsi="宋体" w:cs="仿宋_GB2312"/>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rPr>
                <w:rFonts w:hint="eastAsia" w:ascii="宋体" w:hAnsi="宋体" w:cs="仿宋_GB2312"/>
                <w:szCs w:val="21"/>
              </w:rPr>
            </w:pPr>
            <w:r>
              <w:rPr>
                <w:rFonts w:hint="eastAsia" w:ascii="宋体" w:hAnsi="宋体" w:cs="仿宋_GB2312"/>
                <w:szCs w:val="21"/>
              </w:rPr>
              <w:t>第四层及以上商业</w:t>
            </w:r>
          </w:p>
        </w:tc>
        <w:tc>
          <w:tcPr>
            <w:tcW w:w="4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jc w:val="center"/>
              <w:rPr>
                <w:rFonts w:hint="eastAsia" w:ascii="宋体" w:hAnsi="宋体" w:cs="仿宋_GB2312"/>
                <w:szCs w:val="21"/>
              </w:rPr>
            </w:pPr>
            <w:r>
              <w:rPr>
                <w:rFonts w:hint="eastAsia" w:ascii="宋体" w:hAnsi="宋体" w:cs="仿宋_GB2312"/>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25" w:type="dxa"/>
            <w:gridSpan w:val="2"/>
            <w:shd w:val="clear" w:color="auto" w:fill="FFFFFF"/>
            <w:noWrap w:val="0"/>
            <w:vAlign w:val="center"/>
          </w:tcPr>
          <w:p>
            <w:pPr>
              <w:spacing w:line="280" w:lineRule="exact"/>
              <w:ind w:left="-63" w:leftChars="-30" w:right="-63" w:rightChars="-30"/>
              <w:rPr>
                <w:rFonts w:hint="eastAsia" w:ascii="楷体_GB2312" w:hAnsi="宋体" w:eastAsia="楷体_GB2312" w:cs="仿宋_GB2312"/>
                <w:bCs/>
                <w:szCs w:val="21"/>
              </w:rPr>
            </w:pPr>
            <w:r>
              <w:rPr>
                <w:rFonts w:hint="eastAsia" w:ascii="楷体_GB2312" w:hAnsi="宋体" w:eastAsia="楷体_GB2312" w:cs="仿宋_GB2312"/>
                <w:bCs/>
                <w:szCs w:val="21"/>
              </w:rPr>
              <w:t>备注：1．对于已建成的适用商业地价建筑类型面积补地价，按照规划验收的实际商业楼层和相应建筑面积测算。</w:t>
            </w:r>
          </w:p>
          <w:p>
            <w:pPr>
              <w:spacing w:line="280" w:lineRule="exact"/>
              <w:ind w:left="-63" w:leftChars="-30" w:right="-63" w:rightChars="-30" w:firstLine="630" w:firstLineChars="300"/>
              <w:rPr>
                <w:rFonts w:hint="eastAsia" w:ascii="楷体_GB2312" w:hAnsi="宋体" w:eastAsia="楷体_GB2312" w:cs="仿宋_GB2312"/>
                <w:bCs/>
                <w:szCs w:val="21"/>
              </w:rPr>
            </w:pPr>
            <w:r>
              <w:rPr>
                <w:rFonts w:hint="eastAsia" w:ascii="楷体_GB2312" w:hAnsi="宋体" w:eastAsia="楷体_GB2312" w:cs="仿宋_GB2312"/>
                <w:bCs/>
                <w:szCs w:val="21"/>
              </w:rPr>
              <w:t>2．对于新供应土地，根据地上适用商业地价建筑类型面积、宗地土地面积和宗地建筑覆盖率测算商业总层数（向上取整）；各分层商业面积按地上适用商业地价建筑类型面积除以商业总层数确定。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760C4"/>
    <w:rsid w:val="2D57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2019-11-12T07:37:00Z</dcterms:created>
  <dc:creator>-Jus</dc:creator>
  <cp:lastModifiedBy>-Jus</cp:lastModifiedBy>
  <dcterms:modified xsi:type="dcterms:W3CDTF">2019-11-12T07:37:35Z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