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附表9</w:t>
      </w:r>
    </w:p>
    <w:p>
      <w:pPr>
        <w:spacing w:after="156" w:afterLines="50" w:line="0" w:lineRule="atLeast"/>
        <w:jc w:val="center"/>
        <w:rPr>
          <w:rFonts w:ascii="宋体" w:hAnsi="宋体"/>
          <w:sz w:val="36"/>
          <w:szCs w:val="36"/>
        </w:rPr>
      </w:pPr>
      <w:bookmarkStart w:id="0" w:name="_GoBack"/>
      <w:r>
        <w:rPr>
          <w:rFonts w:hint="eastAsia" w:ascii="宋体" w:hAnsi="宋体"/>
          <w:sz w:val="36"/>
          <w:szCs w:val="36"/>
        </w:rPr>
        <w:t>留用土地项目修正系数表</w:t>
      </w:r>
    </w:p>
    <w:bookmarkEnd w:id="0"/>
    <w:tbl>
      <w:tblPr>
        <w:tblStyle w:val="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10"/>
        <w:gridCol w:w="2161"/>
        <w:gridCol w:w="1826"/>
        <w:gridCol w:w="1317"/>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43" w:type="dxa"/>
            <w:noWrap w:val="0"/>
            <w:vAlign w:val="center"/>
          </w:tcPr>
          <w:p>
            <w:pPr>
              <w:widowControl/>
              <w:spacing w:line="26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序号</w:t>
            </w:r>
          </w:p>
        </w:tc>
        <w:tc>
          <w:tcPr>
            <w:tcW w:w="5440" w:type="dxa"/>
            <w:gridSpan w:val="3"/>
            <w:noWrap w:val="0"/>
            <w:vAlign w:val="center"/>
          </w:tcPr>
          <w:p>
            <w:pPr>
              <w:widowControl/>
              <w:spacing w:line="26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bCs/>
                <w:kern w:val="0"/>
                <w:szCs w:val="21"/>
              </w:rPr>
              <w:t>用地类型</w:t>
            </w:r>
          </w:p>
        </w:tc>
        <w:tc>
          <w:tcPr>
            <w:tcW w:w="1414" w:type="dxa"/>
            <w:noWrap w:val="0"/>
            <w:vAlign w:val="center"/>
          </w:tcPr>
          <w:p>
            <w:pPr>
              <w:spacing w:line="260" w:lineRule="exact"/>
              <w:ind w:left="-42" w:leftChars="-20" w:right="-42" w:rightChars="-20"/>
              <w:jc w:val="center"/>
              <w:rPr>
                <w:rFonts w:hint="eastAsia" w:ascii="黑体" w:hAnsi="宋体" w:eastAsia="黑体" w:cs="仿宋_GB2312"/>
                <w:szCs w:val="21"/>
              </w:rPr>
            </w:pPr>
            <w:r>
              <w:rPr>
                <w:rFonts w:hint="eastAsia" w:ascii="黑体" w:hAnsi="宋体" w:eastAsia="黑体" w:cs="仿宋_GB2312"/>
                <w:szCs w:val="21"/>
              </w:rPr>
              <w:t>适用住宅、商业、办公地价修正系数</w:t>
            </w:r>
          </w:p>
        </w:tc>
        <w:tc>
          <w:tcPr>
            <w:tcW w:w="1628" w:type="dxa"/>
            <w:noWrap w:val="0"/>
            <w:vAlign w:val="center"/>
          </w:tcPr>
          <w:p>
            <w:pPr>
              <w:widowControl/>
              <w:spacing w:line="260" w:lineRule="exact"/>
              <w:ind w:left="-42" w:leftChars="-20" w:right="-42" w:rightChars="-20"/>
              <w:jc w:val="center"/>
              <w:rPr>
                <w:rFonts w:hint="eastAsia" w:ascii="黑体" w:hAnsi="宋体" w:eastAsia="黑体" w:cs="仿宋_GB2312"/>
                <w:bCs/>
                <w:kern w:val="0"/>
                <w:szCs w:val="21"/>
              </w:rPr>
            </w:pPr>
            <w:r>
              <w:rPr>
                <w:rFonts w:hint="eastAsia" w:ascii="黑体" w:hAnsi="宋体" w:eastAsia="黑体" w:cs="仿宋_GB2312"/>
                <w:szCs w:val="21"/>
              </w:rPr>
              <w:t>适用工业地价修正系数（除附表1建筑类型4）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noWrap w:val="0"/>
            <w:vAlign w:val="center"/>
          </w:tcPr>
          <w:p>
            <w:pPr>
              <w:widowControl/>
              <w:spacing w:line="260" w:lineRule="exact"/>
              <w:ind w:left="-42" w:leftChars="-20" w:right="-42" w:rightChars="-20"/>
              <w:jc w:val="center"/>
              <w:rPr>
                <w:rFonts w:hint="eastAsia" w:ascii="宋体" w:hAnsi="宋体" w:cs="仿宋_GB2312"/>
                <w:kern w:val="0"/>
                <w:szCs w:val="21"/>
              </w:rPr>
            </w:pPr>
            <w:r>
              <w:rPr>
                <w:rFonts w:hint="eastAsia" w:ascii="宋体" w:hAnsi="宋体" w:cs="仿宋_GB2312"/>
                <w:kern w:val="0"/>
                <w:szCs w:val="21"/>
              </w:rPr>
              <w:t>1</w:t>
            </w:r>
          </w:p>
        </w:tc>
        <w:tc>
          <w:tcPr>
            <w:tcW w:w="5440" w:type="dxa"/>
            <w:gridSpan w:val="3"/>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非农建设用地、征地返还用地、留用土地不得转让情形及属于政府部分</w:t>
            </w:r>
          </w:p>
        </w:tc>
        <w:tc>
          <w:tcPr>
            <w:tcW w:w="3042" w:type="dxa"/>
            <w:gridSpan w:val="2"/>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restart"/>
            <w:noWrap w:val="0"/>
            <w:vAlign w:val="center"/>
          </w:tcPr>
          <w:p>
            <w:pPr>
              <w:spacing w:line="260" w:lineRule="exact"/>
              <w:ind w:left="-42" w:leftChars="-20" w:right="-42" w:rightChars="-20"/>
              <w:jc w:val="center"/>
              <w:rPr>
                <w:rFonts w:hint="eastAsia" w:ascii="宋体" w:hAnsi="宋体" w:cs="仿宋_GB2312"/>
                <w:kern w:val="0"/>
                <w:szCs w:val="21"/>
              </w:rPr>
            </w:pPr>
            <w:r>
              <w:rPr>
                <w:rFonts w:hint="eastAsia" w:ascii="宋体" w:hAnsi="宋体" w:cs="仿宋_GB2312"/>
                <w:kern w:val="0"/>
                <w:szCs w:val="21"/>
              </w:rPr>
              <w:t>2</w:t>
            </w:r>
          </w:p>
        </w:tc>
        <w:tc>
          <w:tcPr>
            <w:tcW w:w="1191" w:type="dxa"/>
            <w:vMerge w:val="restart"/>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非农建设用地、征地返还用地进入市场</w:t>
            </w:r>
          </w:p>
        </w:tc>
        <w:tc>
          <w:tcPr>
            <w:tcW w:w="2321" w:type="dxa"/>
            <w:vMerge w:val="restart"/>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非农建设用地、在本社区安置的征地返还用地</w:t>
            </w: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r≤3.2部分</w:t>
            </w:r>
          </w:p>
        </w:tc>
        <w:tc>
          <w:tcPr>
            <w:tcW w:w="3042" w:type="dxa"/>
            <w:gridSpan w:val="2"/>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continue"/>
            <w:noWrap w:val="0"/>
            <w:vAlign w:val="center"/>
          </w:tcPr>
          <w:p>
            <w:pPr>
              <w:spacing w:line="260" w:lineRule="exact"/>
              <w:ind w:left="-42" w:leftChars="-20" w:right="-42" w:rightChars="-20"/>
              <w:jc w:val="center"/>
              <w:rPr>
                <w:rFonts w:hint="eastAsia" w:ascii="宋体" w:hAnsi="宋体" w:cs="仿宋_GB2312"/>
                <w:kern w:val="0"/>
                <w:szCs w:val="21"/>
              </w:rPr>
            </w:pPr>
          </w:p>
        </w:tc>
        <w:tc>
          <w:tcPr>
            <w:tcW w:w="1191" w:type="dxa"/>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2321" w:type="dxa"/>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地下及r＞3.2部分</w:t>
            </w:r>
          </w:p>
        </w:tc>
        <w:tc>
          <w:tcPr>
            <w:tcW w:w="3042" w:type="dxa"/>
            <w:gridSpan w:val="2"/>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continue"/>
            <w:noWrap w:val="0"/>
            <w:vAlign w:val="center"/>
          </w:tcPr>
          <w:p>
            <w:pPr>
              <w:widowControl/>
              <w:spacing w:line="260" w:lineRule="exact"/>
              <w:ind w:left="-42" w:leftChars="-20" w:right="-42" w:rightChars="-20"/>
              <w:jc w:val="center"/>
              <w:rPr>
                <w:rFonts w:hint="eastAsia" w:ascii="宋体" w:hAnsi="宋体" w:cs="仿宋_GB2312"/>
                <w:kern w:val="0"/>
                <w:szCs w:val="21"/>
              </w:rPr>
            </w:pPr>
          </w:p>
        </w:tc>
        <w:tc>
          <w:tcPr>
            <w:tcW w:w="1191" w:type="dxa"/>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2321" w:type="dxa"/>
            <w:vMerge w:val="restart"/>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在本社区或社区外安置的征地返还用地</w:t>
            </w: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等价值部分</w:t>
            </w:r>
          </w:p>
        </w:tc>
        <w:tc>
          <w:tcPr>
            <w:tcW w:w="3042" w:type="dxa"/>
            <w:gridSpan w:val="2"/>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continue"/>
            <w:noWrap w:val="0"/>
            <w:vAlign w:val="center"/>
          </w:tcPr>
          <w:p>
            <w:pPr>
              <w:widowControl/>
              <w:spacing w:line="260" w:lineRule="exact"/>
              <w:ind w:left="-42" w:leftChars="-20" w:right="-42" w:rightChars="-20"/>
              <w:jc w:val="center"/>
              <w:rPr>
                <w:rFonts w:hint="eastAsia" w:ascii="宋体" w:hAnsi="宋体" w:cs="仿宋_GB2312"/>
                <w:kern w:val="0"/>
                <w:szCs w:val="21"/>
              </w:rPr>
            </w:pPr>
          </w:p>
        </w:tc>
        <w:tc>
          <w:tcPr>
            <w:tcW w:w="1191" w:type="dxa"/>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2321" w:type="dxa"/>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超出等价值部分</w:t>
            </w:r>
          </w:p>
        </w:tc>
        <w:tc>
          <w:tcPr>
            <w:tcW w:w="3042" w:type="dxa"/>
            <w:gridSpan w:val="2"/>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restart"/>
            <w:noWrap w:val="0"/>
            <w:vAlign w:val="center"/>
          </w:tcPr>
          <w:p>
            <w:pPr>
              <w:widowControl/>
              <w:spacing w:line="260" w:lineRule="exact"/>
              <w:ind w:left="-42" w:leftChars="-20" w:right="-42" w:rightChars="-20"/>
              <w:jc w:val="center"/>
              <w:rPr>
                <w:rFonts w:hint="eastAsia" w:ascii="宋体" w:hAnsi="宋体" w:cs="仿宋_GB2312"/>
                <w:kern w:val="0"/>
                <w:szCs w:val="21"/>
              </w:rPr>
            </w:pPr>
            <w:r>
              <w:rPr>
                <w:rFonts w:hint="eastAsia" w:ascii="宋体" w:hAnsi="宋体" w:cs="仿宋_GB2312"/>
                <w:kern w:val="0"/>
                <w:szCs w:val="21"/>
              </w:rPr>
              <w:t>3</w:t>
            </w:r>
          </w:p>
        </w:tc>
        <w:tc>
          <w:tcPr>
            <w:tcW w:w="1191" w:type="dxa"/>
            <w:gridSpan w:val="2"/>
            <w:vMerge w:val="restart"/>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农村集体经济组织利益统筹土地整备项目留用土地进入市场</w:t>
            </w: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基础建筑面积</w:t>
            </w:r>
          </w:p>
        </w:tc>
        <w:tc>
          <w:tcPr>
            <w:tcW w:w="1414" w:type="dxa"/>
            <w:noWrap w:val="0"/>
            <w:vAlign w:val="center"/>
          </w:tcPr>
          <w:p>
            <w:pPr>
              <w:spacing w:line="260" w:lineRule="exact"/>
              <w:ind w:left="-42" w:leftChars="-20" w:right="-42" w:rightChars="-20"/>
              <w:jc w:val="center"/>
              <w:rPr>
                <w:rFonts w:hint="eastAsia" w:ascii="宋体" w:hAnsi="宋体" w:cs="仿宋_GB2312"/>
                <w:kern w:val="0"/>
                <w:szCs w:val="21"/>
              </w:rPr>
            </w:pPr>
            <w:r>
              <w:rPr>
                <w:rFonts w:hint="eastAsia" w:ascii="宋体" w:hAnsi="宋体" w:cs="仿宋_GB2312"/>
                <w:kern w:val="0"/>
                <w:szCs w:val="21"/>
              </w:rPr>
              <w:t>0.02</w:t>
            </w:r>
          </w:p>
        </w:tc>
        <w:tc>
          <w:tcPr>
            <w:tcW w:w="1628" w:type="dxa"/>
            <w:vMerge w:val="restart"/>
            <w:noWrap w:val="0"/>
            <w:vAlign w:val="center"/>
          </w:tcPr>
          <w:p>
            <w:pPr>
              <w:spacing w:line="260" w:lineRule="exact"/>
              <w:ind w:left="-42" w:leftChars="-20" w:right="-42" w:rightChars="-20"/>
              <w:jc w:val="center"/>
              <w:rPr>
                <w:rFonts w:hint="eastAsia" w:ascii="宋体" w:hAnsi="宋体" w:cs="仿宋_GB2312"/>
                <w:szCs w:val="21"/>
              </w:rPr>
            </w:pPr>
            <w:r>
              <w:rPr>
                <w:rFonts w:hint="eastAsia" w:ascii="宋体" w:hAnsi="宋体" w:cs="仿宋_GB2312"/>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3" w:type="dxa"/>
            <w:vMerge w:val="continue"/>
            <w:noWrap w:val="0"/>
            <w:vAlign w:val="center"/>
          </w:tcPr>
          <w:p>
            <w:pPr>
              <w:widowControl/>
              <w:spacing w:line="260" w:lineRule="exact"/>
              <w:ind w:left="-42" w:leftChars="-20" w:right="-42" w:rightChars="-20"/>
              <w:rPr>
                <w:rFonts w:hint="eastAsia" w:ascii="宋体" w:hAnsi="宋体" w:cs="仿宋_GB2312"/>
                <w:kern w:val="0"/>
                <w:szCs w:val="21"/>
              </w:rPr>
            </w:pPr>
          </w:p>
        </w:tc>
        <w:tc>
          <w:tcPr>
            <w:tcW w:w="1191" w:type="dxa"/>
            <w:gridSpan w:val="2"/>
            <w:vMerge w:val="continue"/>
            <w:noWrap w:val="0"/>
            <w:vAlign w:val="center"/>
          </w:tcPr>
          <w:p>
            <w:pPr>
              <w:widowControl/>
              <w:spacing w:line="260" w:lineRule="exact"/>
              <w:ind w:left="-42" w:leftChars="-20" w:right="-42" w:rightChars="-20"/>
              <w:rPr>
                <w:rFonts w:hint="eastAsia" w:ascii="宋体" w:hAnsi="宋体" w:cs="仿宋_GB2312"/>
                <w:szCs w:val="21"/>
              </w:rPr>
            </w:pPr>
          </w:p>
        </w:tc>
        <w:tc>
          <w:tcPr>
            <w:tcW w:w="1960" w:type="dxa"/>
            <w:noWrap w:val="0"/>
            <w:vAlign w:val="center"/>
          </w:tcPr>
          <w:p>
            <w:pPr>
              <w:widowControl/>
              <w:spacing w:line="260" w:lineRule="exact"/>
              <w:ind w:left="-42" w:leftChars="-20" w:right="-42" w:rightChars="-20"/>
              <w:rPr>
                <w:rFonts w:hint="eastAsia" w:ascii="宋体" w:hAnsi="宋体" w:cs="仿宋_GB2312"/>
                <w:szCs w:val="21"/>
              </w:rPr>
            </w:pPr>
            <w:r>
              <w:rPr>
                <w:rFonts w:hint="eastAsia" w:ascii="宋体" w:hAnsi="宋体" w:cs="仿宋_GB2312"/>
                <w:szCs w:val="21"/>
              </w:rPr>
              <w:t>共享建筑面积</w:t>
            </w:r>
          </w:p>
        </w:tc>
        <w:tc>
          <w:tcPr>
            <w:tcW w:w="1414" w:type="dxa"/>
            <w:noWrap w:val="0"/>
            <w:vAlign w:val="center"/>
          </w:tcPr>
          <w:p>
            <w:pPr>
              <w:spacing w:line="260" w:lineRule="exact"/>
              <w:ind w:left="-42" w:leftChars="-20" w:right="-42" w:rightChars="-20"/>
              <w:jc w:val="center"/>
              <w:rPr>
                <w:rFonts w:hint="eastAsia" w:ascii="宋体" w:hAnsi="宋体" w:cs="仿宋_GB2312"/>
                <w:kern w:val="0"/>
                <w:szCs w:val="21"/>
              </w:rPr>
            </w:pPr>
            <w:r>
              <w:rPr>
                <w:rFonts w:hint="eastAsia" w:ascii="宋体" w:hAnsi="宋体" w:cs="仿宋_GB2312"/>
                <w:kern w:val="0"/>
                <w:szCs w:val="21"/>
              </w:rPr>
              <w:t>0.2</w:t>
            </w:r>
          </w:p>
        </w:tc>
        <w:tc>
          <w:tcPr>
            <w:tcW w:w="1628" w:type="dxa"/>
            <w:vMerge w:val="continue"/>
            <w:noWrap w:val="0"/>
            <w:vAlign w:val="center"/>
          </w:tcPr>
          <w:p>
            <w:pPr>
              <w:widowControl/>
              <w:spacing w:line="260" w:lineRule="exact"/>
              <w:ind w:left="-42" w:leftChars="-20" w:right="-42" w:rightChars="-20"/>
              <w:rPr>
                <w:rFonts w:hint="eastAsia" w:ascii="宋体" w:hAnsi="宋体"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25" w:type="dxa"/>
            <w:gridSpan w:val="6"/>
            <w:noWrap w:val="0"/>
            <w:vAlign w:val="center"/>
          </w:tcPr>
          <w:p>
            <w:pPr>
              <w:spacing w:line="300" w:lineRule="exact"/>
              <w:ind w:left="-63" w:leftChars="-30" w:right="-63" w:rightChars="-30"/>
              <w:rPr>
                <w:rFonts w:hint="eastAsia" w:ascii="楷体_GB2312" w:hAnsi="宋体" w:eastAsia="楷体_GB2312" w:cs="仿宋_GB2312"/>
                <w:bCs/>
                <w:spacing w:val="-4"/>
                <w:kern w:val="21"/>
                <w:szCs w:val="21"/>
              </w:rPr>
            </w:pPr>
            <w:r>
              <w:rPr>
                <w:rFonts w:hint="eastAsia" w:ascii="楷体_GB2312" w:hAnsi="宋体" w:eastAsia="楷体_GB2312" w:cs="仿宋_GB2312"/>
                <w:bCs/>
                <w:kern w:val="0"/>
                <w:szCs w:val="21"/>
              </w:rPr>
              <w:t>备注：1</w:t>
            </w:r>
            <w:r>
              <w:rPr>
                <w:rFonts w:hint="eastAsia" w:ascii="楷体_GB2312" w:hAnsi="宋体" w:eastAsia="楷体_GB2312" w:cs="仿宋_GB2312"/>
                <w:bCs/>
                <w:spacing w:val="-4"/>
                <w:kern w:val="21"/>
                <w:szCs w:val="21"/>
              </w:rPr>
              <w:t>．基础建筑面积、共享建筑面积、等价值部分、超出等价值部分按土地整备有关文件执行。</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2．本表序号2、3仅适用于建筑面积首次由“不得转让”变为“允许分割转让”情形的地价测算；使用上述系数测算并缴纳地价的，对应建筑面积部分为允许分割转让情形。</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3．约定为“不得转让”“自用”或“非商品性质”的，属于“不得转让”情形。</w:t>
            </w:r>
          </w:p>
          <w:p>
            <w:pPr>
              <w:spacing w:line="300" w:lineRule="exact"/>
              <w:ind w:left="-63" w:leftChars="-30" w:right="-63" w:rightChars="-30" w:firstLine="630" w:firstLineChars="300"/>
              <w:rPr>
                <w:rFonts w:hint="eastAsia" w:ascii="楷体_GB2312" w:hAnsi="宋体" w:eastAsia="楷体_GB2312" w:cs="仿宋_GB2312"/>
                <w:bCs/>
                <w:kern w:val="21"/>
                <w:szCs w:val="21"/>
              </w:rPr>
            </w:pPr>
            <w:r>
              <w:rPr>
                <w:rFonts w:hint="eastAsia" w:ascii="楷体_GB2312" w:hAnsi="宋体" w:eastAsia="楷体_GB2312" w:cs="仿宋_GB2312"/>
                <w:bCs/>
                <w:kern w:val="21"/>
                <w:szCs w:val="21"/>
              </w:rPr>
              <w:t>4．附表1的建筑类型4的留用土地项目修正系数按照厂房及办公修正系数分别修正。</w:t>
            </w:r>
          </w:p>
          <w:p>
            <w:pPr>
              <w:spacing w:line="300" w:lineRule="exact"/>
              <w:ind w:left="-63" w:leftChars="-30" w:right="-63" w:rightChars="-30" w:firstLine="630" w:firstLineChars="300"/>
              <w:rPr>
                <w:rFonts w:hint="eastAsia" w:ascii="楷体_GB2312" w:hAnsi="宋体" w:eastAsia="楷体_GB2312" w:cs="仿宋_GB2312"/>
                <w:bCs/>
                <w:kern w:val="0"/>
                <w:szCs w:val="21"/>
              </w:rPr>
            </w:pPr>
            <w:r>
              <w:rPr>
                <w:rFonts w:hint="eastAsia" w:ascii="楷体_GB2312" w:hAnsi="宋体" w:eastAsia="楷体_GB2312" w:cs="仿宋_GB2312"/>
                <w:bCs/>
                <w:kern w:val="21"/>
                <w:szCs w:val="21"/>
              </w:rPr>
              <w:t>5</w:t>
            </w:r>
            <w:r>
              <w:rPr>
                <w:rFonts w:hint="eastAsia" w:ascii="楷体_GB2312" w:hAnsi="宋体" w:eastAsia="楷体_GB2312" w:cs="仿宋_GB2312"/>
                <w:bCs/>
                <w:spacing w:val="-5"/>
                <w:kern w:val="21"/>
                <w:szCs w:val="21"/>
              </w:rPr>
              <w:t>．r为非农建设用地、在本社区安置的征地返还用地的地上规定建筑面积与用地面积的比值。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121A"/>
    <w:rsid w:val="2CC3121A"/>
    <w:rsid w:val="3D6F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2019-11-12T07:38:00Z</dcterms:created>
  <dc:creator>-Jus</dc:creator>
  <cp:lastModifiedBy>-Jus</cp:lastModifiedBy>
  <dcterms:modified xsi:type="dcterms:W3CDTF">2019-11-12T07:38:46Z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