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r>
        <w:rPr>
          <w:rFonts w:hint="eastAsia" w:ascii="黑体" w:eastAsia="黑体"/>
          <w:color w:val="000000"/>
          <w:sz w:val="32"/>
          <w:szCs w:val="32"/>
        </w:rPr>
        <w:t>附件1</w:t>
      </w:r>
    </w:p>
    <w:p>
      <w:pPr>
        <w:rPr>
          <w:rFonts w:hint="eastAsia"/>
        </w:rPr>
      </w:pPr>
    </w:p>
    <w:p>
      <w:pPr>
        <w:jc w:val="center"/>
        <w:rPr>
          <w:rFonts w:hint="eastAsia" w:ascii="宋体" w:hAnsi="宋体"/>
          <w:b/>
          <w:sz w:val="44"/>
          <w:szCs w:val="44"/>
        </w:rPr>
      </w:pPr>
      <w:bookmarkStart w:id="0" w:name="_GoBack"/>
      <w:bookmarkEnd w:id="0"/>
      <w:r>
        <w:rPr>
          <w:rFonts w:hint="eastAsia" w:ascii="宋体" w:hAnsi="宋体"/>
          <w:b/>
          <w:sz w:val="44"/>
          <w:szCs w:val="44"/>
        </w:rPr>
        <w:t>听证会</w:t>
      </w:r>
      <w:r>
        <w:rPr>
          <w:rFonts w:ascii="宋体" w:hAnsi="宋体"/>
          <w:b/>
          <w:sz w:val="44"/>
          <w:szCs w:val="44"/>
        </w:rPr>
        <w:t>主要议题</w:t>
      </w:r>
      <w:r>
        <w:rPr>
          <w:rFonts w:hint="eastAsia" w:ascii="宋体" w:hAnsi="宋体"/>
          <w:b/>
          <w:sz w:val="44"/>
          <w:szCs w:val="44"/>
        </w:rPr>
        <w:t>及相关条文</w:t>
      </w:r>
    </w:p>
    <w:p>
      <w:pPr>
        <w:jc w:val="center"/>
        <w:rPr>
          <w:rFonts w:hint="eastAsia" w:ascii="宋体" w:hAnsi="宋体"/>
          <w:b/>
          <w:sz w:val="44"/>
          <w:szCs w:val="44"/>
        </w:rPr>
      </w:pPr>
    </w:p>
    <w:p>
      <w:pPr>
        <w:ind w:firstLine="645"/>
        <w:rPr>
          <w:rFonts w:hint="eastAsia" w:ascii="黑体" w:eastAsia="黑体"/>
          <w:color w:val="000000"/>
          <w:sz w:val="32"/>
          <w:szCs w:val="32"/>
        </w:rPr>
      </w:pPr>
      <w:r>
        <w:rPr>
          <w:rFonts w:hint="eastAsia" w:ascii="黑体" w:eastAsia="黑体"/>
          <w:color w:val="000000"/>
          <w:sz w:val="32"/>
          <w:szCs w:val="32"/>
        </w:rPr>
        <w:t>一、景观照明的范围是否需要限定？如何科学合理的划定范围？景观照明设施是否应与主体工程“同时设计、同时施工、同时交付使用”（三同时）？如何落实三同时的要求？</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第四条</w:t>
      </w:r>
      <w:r>
        <w:rPr>
          <w:rFonts w:hint="eastAsia" w:ascii="仿宋_GB2312" w:hAnsi="仿宋" w:eastAsia="仿宋_GB2312"/>
          <w:color w:val="000000"/>
          <w:sz w:val="32"/>
          <w:szCs w:val="32"/>
        </w:rPr>
        <w:t>【</w:t>
      </w:r>
      <w:r>
        <w:rPr>
          <w:rFonts w:hint="eastAsia" w:ascii="黑体" w:hAnsi="仿宋" w:eastAsia="黑体"/>
          <w:color w:val="000000"/>
          <w:sz w:val="32"/>
          <w:szCs w:val="32"/>
        </w:rPr>
        <w:t>名词解释</w:t>
      </w:r>
      <w:r>
        <w:rPr>
          <w:rFonts w:hint="eastAsia" w:ascii="仿宋_GB2312" w:hAnsi="仿宋" w:eastAsia="仿宋_GB2312"/>
          <w:color w:val="000000"/>
          <w:sz w:val="32"/>
          <w:szCs w:val="32"/>
        </w:rPr>
        <w:t>】 本办法下列用语的含义为：</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（一）本办法所称城市照明，是指在城市道路、隧道、住宅区、城中村、广场、公园、绿道、公共绿地、名胜古迹以及其他建（构）筑物的功能照明和景观照明。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（二）本办法所称功能照明，是指通过人工光以保障人们出行和户外活动安全为目的的照明,包括城市道路照明和其他功能照明。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本办法所称城市道路照明，是指快速路、主干路、次干路、支路、桥梁</w:t>
      </w:r>
      <w:r>
        <w:rPr>
          <w:rFonts w:ascii="仿宋_GB2312" w:hAnsi="仿宋" w:eastAsia="仿宋_GB2312"/>
          <w:color w:val="000000"/>
          <w:sz w:val="32"/>
          <w:szCs w:val="32"/>
        </w:rPr>
        <w:t>、隧道</w:t>
      </w:r>
      <w:r>
        <w:rPr>
          <w:rFonts w:hint="eastAsia" w:ascii="仿宋_GB2312" w:hAnsi="仿宋" w:eastAsia="仿宋_GB2312"/>
          <w:color w:val="000000"/>
          <w:sz w:val="32"/>
          <w:szCs w:val="32"/>
        </w:rPr>
        <w:t>及附属设施上的照明。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本办法所称其他功能照明，是指除城市道路照明以外的功能照明。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（三）本办法所称景观照明，是指通过人工光以装饰和造景为目的的照明，包括建（构）筑物、城市道路、公园</w:t>
      </w:r>
      <w:r>
        <w:rPr>
          <w:rFonts w:ascii="仿宋_GB2312" w:hAnsi="仿宋" w:eastAsia="仿宋_GB2312"/>
          <w:color w:val="000000"/>
          <w:sz w:val="32"/>
          <w:szCs w:val="32"/>
        </w:rPr>
        <w:t>、</w:t>
      </w:r>
      <w:r>
        <w:rPr>
          <w:rFonts w:hint="eastAsia" w:ascii="仿宋_GB2312" w:hAnsi="仿宋" w:eastAsia="仿宋_GB2312"/>
          <w:color w:val="000000"/>
          <w:sz w:val="32"/>
          <w:szCs w:val="32"/>
        </w:rPr>
        <w:t>广场、绿道、公共绿地、自然地景、水景、广告标识的装饰性照明。</w:t>
      </w:r>
    </w:p>
    <w:p>
      <w:pPr>
        <w:pStyle w:val="2"/>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（四）本办法所称城市照明设施，是指用于城市照明的配电室</w:t>
      </w:r>
      <w:r>
        <w:rPr>
          <w:rFonts w:ascii="仿宋_GB2312" w:hAnsi="仿宋" w:eastAsia="仿宋_GB2312"/>
          <w:color w:val="000000"/>
          <w:sz w:val="32"/>
          <w:szCs w:val="32"/>
        </w:rPr>
        <w:t>、配电箱、变压器</w:t>
      </w:r>
      <w:r>
        <w:rPr>
          <w:rFonts w:hint="eastAsia" w:ascii="仿宋_GB2312" w:hAnsi="仿宋" w:eastAsia="仿宋_GB2312"/>
          <w:color w:val="000000"/>
          <w:sz w:val="32"/>
          <w:szCs w:val="32"/>
        </w:rPr>
        <w:t>、灯杆</w:t>
      </w:r>
      <w:r>
        <w:rPr>
          <w:rFonts w:ascii="仿宋_GB2312" w:hAnsi="仿宋" w:eastAsia="仿宋_GB2312"/>
          <w:color w:val="000000"/>
          <w:sz w:val="32"/>
          <w:szCs w:val="32"/>
        </w:rPr>
        <w:t>、灯具、管线、工作井、</w:t>
      </w:r>
      <w:r>
        <w:rPr>
          <w:rFonts w:hint="eastAsia" w:ascii="仿宋_GB2312" w:hAnsi="仿宋" w:eastAsia="仿宋_GB2312"/>
          <w:color w:val="000000"/>
          <w:sz w:val="32"/>
          <w:szCs w:val="32"/>
        </w:rPr>
        <w:t>监控系统、节能系统等设备和附属设施。</w:t>
      </w:r>
    </w:p>
    <w:p>
      <w:pPr>
        <w:ind w:firstLine="627" w:firstLineChars="196"/>
        <w:rPr>
          <w:rFonts w:hint="eastAsia" w:ascii="仿宋_GB2312" w:hAnsi="仿宋" w:eastAsia="仿宋_GB2312"/>
          <w:color w:val="000000"/>
          <w:sz w:val="32"/>
          <w:szCs w:val="32"/>
        </w:rPr>
      </w:pPr>
      <w:r>
        <w:rPr>
          <w:rFonts w:hint="eastAsia" w:ascii="黑体" w:hAnsi="仿宋" w:eastAsia="黑体"/>
          <w:color w:val="000000"/>
          <w:sz w:val="32"/>
          <w:szCs w:val="32"/>
        </w:rPr>
        <w:t>第十条</w:t>
      </w:r>
      <w:r>
        <w:rPr>
          <w:rFonts w:hint="eastAsia" w:ascii="仿宋_GB2312" w:hAnsi="仿宋" w:eastAsia="仿宋_GB2312"/>
          <w:color w:val="000000"/>
          <w:sz w:val="32"/>
          <w:szCs w:val="32"/>
        </w:rPr>
        <w:t>【</w:t>
      </w:r>
      <w:r>
        <w:rPr>
          <w:rFonts w:hint="eastAsia" w:ascii="黑体" w:hAnsi="仿宋" w:eastAsia="黑体"/>
          <w:color w:val="000000"/>
          <w:sz w:val="32"/>
          <w:szCs w:val="32"/>
        </w:rPr>
        <w:t>“三同时”</w:t>
      </w:r>
      <w:r>
        <w:rPr>
          <w:rFonts w:hint="eastAsia" w:ascii="仿宋_GB2312" w:hAnsi="仿宋" w:eastAsia="仿宋_GB2312"/>
          <w:color w:val="000000"/>
          <w:sz w:val="32"/>
          <w:szCs w:val="32"/>
        </w:rPr>
        <w:t>】与主体工程配套建设的功能照明设施和城市照明专项规划划定的重点区域（以下简称重点区域）景观照明设施，应当符合城市照明专项规划要求，并与主体工程同时设计、同时施工、同时投入使用（以下简称“三同时”）。</w:t>
      </w:r>
    </w:p>
    <w:p>
      <w:pPr>
        <w:ind w:firstLine="627" w:firstLineChars="196"/>
        <w:rPr>
          <w:rFonts w:hint="eastAsia" w:ascii="仿宋_GB2312" w:hAnsi="仿宋" w:eastAsia="仿宋_GB2312"/>
          <w:color w:val="000000"/>
          <w:sz w:val="32"/>
          <w:szCs w:val="32"/>
        </w:rPr>
      </w:pPr>
      <w:r>
        <w:rPr>
          <w:rFonts w:hint="eastAsia" w:ascii="仿宋_GB2312" w:hAnsi="仿宋" w:eastAsia="仿宋_GB2312"/>
          <w:color w:val="000000"/>
          <w:sz w:val="32"/>
          <w:szCs w:val="32"/>
        </w:rPr>
        <w:t>市主管部门会同市规划国土部门依据城市照明专项规划，</w:t>
      </w:r>
      <w:r>
        <w:rPr>
          <w:rFonts w:hint="eastAsia" w:ascii="仿宋_GB2312" w:hAnsi="宋体" w:eastAsia="仿宋_GB2312" w:cs="宋体"/>
          <w:kern w:val="0"/>
          <w:sz w:val="32"/>
          <w:szCs w:val="32"/>
        </w:rPr>
        <w:t>通过听证会、论证会等</w:t>
      </w:r>
      <w:r>
        <w:rPr>
          <w:rFonts w:hint="eastAsia" w:ascii="仿宋_GB2312" w:eastAsia="仿宋_GB2312"/>
          <w:sz w:val="32"/>
          <w:szCs w:val="32"/>
        </w:rPr>
        <w:t>形式公开征求社会各界的意见和建议，</w:t>
      </w:r>
      <w:r>
        <w:rPr>
          <w:rFonts w:hint="eastAsia" w:ascii="仿宋_GB2312" w:hAnsi="仿宋" w:eastAsia="仿宋_GB2312"/>
          <w:color w:val="000000"/>
          <w:sz w:val="32"/>
          <w:szCs w:val="32"/>
        </w:rPr>
        <w:t>明确实行“三同时”的景观照明区域范围，</w:t>
      </w:r>
      <w:r>
        <w:rPr>
          <w:rFonts w:hint="eastAsia" w:ascii="仿宋_GB2312" w:eastAsia="仿宋_GB2312"/>
          <w:sz w:val="32"/>
          <w:szCs w:val="32"/>
        </w:rPr>
        <w:t>并向社会</w:t>
      </w:r>
      <w:r>
        <w:rPr>
          <w:rFonts w:hint="eastAsia" w:ascii="仿宋_GB2312" w:hAnsi="仿宋" w:eastAsia="仿宋_GB2312"/>
          <w:color w:val="000000"/>
          <w:sz w:val="32"/>
          <w:szCs w:val="32"/>
        </w:rPr>
        <w:t>公布。</w:t>
      </w:r>
    </w:p>
    <w:p>
      <w:pPr>
        <w:ind w:firstLine="640" w:firstLineChars="200"/>
        <w:rPr>
          <w:rFonts w:hint="eastAsia" w:ascii="仿宋_GB2312" w:hAnsi="仿宋" w:eastAsia="仿宋_GB2312"/>
          <w:sz w:val="32"/>
          <w:szCs w:val="32"/>
        </w:rPr>
      </w:pPr>
      <w:r>
        <w:rPr>
          <w:rFonts w:hint="eastAsia" w:ascii="黑体" w:hAnsi="仿宋" w:eastAsia="黑体"/>
          <w:sz w:val="32"/>
          <w:szCs w:val="32"/>
        </w:rPr>
        <w:t>第十四条</w:t>
      </w:r>
      <w:r>
        <w:rPr>
          <w:rFonts w:hint="eastAsia" w:ascii="仿宋_GB2312" w:hAnsi="仿宋" w:eastAsia="仿宋_GB2312"/>
          <w:sz w:val="32"/>
          <w:szCs w:val="32"/>
        </w:rPr>
        <w:t>【</w:t>
      </w:r>
      <w:r>
        <w:rPr>
          <w:rFonts w:hint="eastAsia" w:ascii="黑体" w:hAnsi="仿宋" w:eastAsia="黑体"/>
          <w:sz w:val="32"/>
          <w:szCs w:val="32"/>
        </w:rPr>
        <w:t>规划落实</w:t>
      </w:r>
      <w:r>
        <w:rPr>
          <w:rFonts w:hint="eastAsia" w:ascii="仿宋_GB2312" w:hAnsi="仿宋" w:eastAsia="仿宋_GB2312"/>
          <w:sz w:val="32"/>
          <w:szCs w:val="32"/>
        </w:rPr>
        <w:t>】 实行“三同时”的建设项目，规划国土部门核发建设用地规划许可证时，应当明确提出城市照明“三同时”的规划要求。</w:t>
      </w: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实行“三同时”的建设项目，建设单位应当将城市照明设计方案送主管部门提出技术意见，作为规划国土部门核发建设工程规划许可证的收文要件，并在建设工程规划许可证中载明相关内容。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城市照明设施不符合城市照明设计方案建设要求</w:t>
      </w:r>
      <w:r>
        <w:rPr>
          <w:rFonts w:ascii="仿宋_GB2312" w:hAnsi="仿宋" w:eastAsia="仿宋_GB2312"/>
          <w:sz w:val="32"/>
          <w:szCs w:val="32"/>
        </w:rPr>
        <w:t>的，不得交付使用</w:t>
      </w:r>
      <w:r>
        <w:rPr>
          <w:rFonts w:hint="eastAsia" w:ascii="仿宋_GB2312" w:hAnsi="仿宋" w:eastAsia="仿宋_GB2312"/>
          <w:sz w:val="32"/>
          <w:szCs w:val="32"/>
        </w:rPr>
        <w:t>。</w:t>
      </w:r>
    </w:p>
    <w:p>
      <w:pPr>
        <w:ind w:firstLine="645"/>
        <w:rPr>
          <w:rFonts w:hint="eastAsia" w:ascii="黑体" w:eastAsia="黑体"/>
          <w:color w:val="000000"/>
          <w:sz w:val="32"/>
          <w:szCs w:val="32"/>
        </w:rPr>
      </w:pPr>
      <w:r>
        <w:rPr>
          <w:rFonts w:hint="eastAsia" w:ascii="黑体" w:eastAsia="黑体"/>
          <w:color w:val="000000"/>
          <w:sz w:val="32"/>
          <w:szCs w:val="32"/>
        </w:rPr>
        <w:t xml:space="preserve">二、道路照明如何节能环保？ </w:t>
      </w:r>
    </w:p>
    <w:p>
      <w:pPr>
        <w:ind w:firstLine="640" w:firstLineChars="200"/>
        <w:rPr>
          <w:rFonts w:hint="eastAsia" w:ascii="仿宋_GB2312" w:hAnsi="仿宋" w:eastAsia="仿宋_GB2312"/>
          <w:color w:val="000000"/>
          <w:sz w:val="32"/>
          <w:szCs w:val="32"/>
        </w:rPr>
      </w:pPr>
      <w:r>
        <w:rPr>
          <w:rFonts w:hint="eastAsia" w:ascii="黑体" w:hAnsi="仿宋" w:eastAsia="黑体"/>
          <w:color w:val="000000"/>
          <w:sz w:val="32"/>
          <w:szCs w:val="32"/>
        </w:rPr>
        <w:t>第三十四条</w:t>
      </w:r>
      <w:r>
        <w:rPr>
          <w:rFonts w:hint="eastAsia" w:ascii="仿宋_GB2312" w:hAnsi="仿宋" w:eastAsia="仿宋_GB2312"/>
          <w:color w:val="000000"/>
          <w:sz w:val="32"/>
          <w:szCs w:val="32"/>
        </w:rPr>
        <w:t>【</w:t>
      </w:r>
      <w:r>
        <w:rPr>
          <w:rFonts w:hint="eastAsia" w:ascii="黑体" w:hAnsi="仿宋" w:eastAsia="黑体"/>
          <w:color w:val="000000"/>
          <w:sz w:val="32"/>
          <w:szCs w:val="32"/>
        </w:rPr>
        <w:t>节能产品应用</w:t>
      </w:r>
      <w:r>
        <w:rPr>
          <w:rFonts w:hint="eastAsia" w:ascii="仿宋_GB2312" w:hAnsi="仿宋" w:eastAsia="仿宋_GB2312"/>
          <w:color w:val="000000"/>
          <w:sz w:val="32"/>
          <w:szCs w:val="32"/>
        </w:rPr>
        <w:t>】 主管部门、财政和科技部门应当支持推广使用节能、环保的照明新技术、新产品、新设备，</w:t>
      </w:r>
      <w:r>
        <w:rPr>
          <w:rFonts w:ascii="仿宋_GB2312" w:hAnsi="仿宋" w:eastAsia="仿宋_GB2312"/>
          <w:color w:val="000000"/>
          <w:sz w:val="32"/>
          <w:szCs w:val="32"/>
        </w:rPr>
        <w:t>及时淘汰高</w:t>
      </w:r>
      <w:r>
        <w:rPr>
          <w:rFonts w:hint="eastAsia" w:ascii="仿宋_GB2312" w:hAnsi="仿宋" w:eastAsia="仿宋_GB2312"/>
          <w:color w:val="000000"/>
          <w:sz w:val="32"/>
          <w:szCs w:val="32"/>
        </w:rPr>
        <w:t>耗</w:t>
      </w:r>
      <w:r>
        <w:rPr>
          <w:rFonts w:ascii="仿宋_GB2312" w:hAnsi="仿宋" w:eastAsia="仿宋_GB2312"/>
          <w:color w:val="000000"/>
          <w:sz w:val="32"/>
          <w:szCs w:val="32"/>
        </w:rPr>
        <w:t>能低效</w:t>
      </w:r>
      <w:r>
        <w:rPr>
          <w:rFonts w:hint="eastAsia" w:ascii="仿宋_GB2312" w:hAnsi="仿宋" w:eastAsia="仿宋_GB2312"/>
          <w:color w:val="000000"/>
          <w:sz w:val="32"/>
          <w:szCs w:val="32"/>
        </w:rPr>
        <w:t>照明</w:t>
      </w:r>
      <w:r>
        <w:rPr>
          <w:rFonts w:ascii="仿宋_GB2312" w:hAnsi="仿宋" w:eastAsia="仿宋_GB2312"/>
          <w:color w:val="000000"/>
          <w:sz w:val="32"/>
          <w:szCs w:val="32"/>
        </w:rPr>
        <w:t>产品</w:t>
      </w:r>
      <w:r>
        <w:rPr>
          <w:rFonts w:hint="eastAsia" w:ascii="仿宋_GB2312" w:hAnsi="仿宋" w:eastAsia="仿宋_GB2312"/>
          <w:color w:val="000000"/>
          <w:sz w:val="32"/>
          <w:szCs w:val="32"/>
        </w:rPr>
        <w:t>，开展绿色节能照明示范试点活动，提高城市照明科学技术水平。</w:t>
      </w: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pPr>
        <w:ind w:firstLine="645"/>
        <w:rPr>
          <w:rFonts w:hint="eastAsia" w:asci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22FFC"/>
    <w:rsid w:val="14B2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2017-11-16T06:30:00Z</dcterms:created>
  <dc:creator>Administrator</dc:creator>
  <cp:lastModifiedBy>Administrator</cp:lastModifiedBy>
  <dcterms:modified xsi:type="dcterms:W3CDTF">2017-11-16T06:30:47Z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