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8" w:rightChars="-104"/>
        <w:rPr>
          <w:rFonts w:hint="eastAsia" w:ascii="黑体" w:eastAsia="黑体"/>
          <w:color w:val="000000"/>
          <w:sz w:val="32"/>
          <w:szCs w:val="32"/>
        </w:rPr>
      </w:pPr>
      <w:r>
        <w:rPr>
          <w:rFonts w:hint="eastAsia" w:ascii="黑体" w:eastAsia="黑体"/>
          <w:color w:val="000000"/>
          <w:sz w:val="32"/>
          <w:szCs w:val="32"/>
        </w:rPr>
        <w:t>附件3</w:t>
      </w:r>
    </w:p>
    <w:p>
      <w:pPr>
        <w:snapToGrid w:val="0"/>
        <w:spacing w:line="360" w:lineRule="auto"/>
        <w:jc w:val="center"/>
        <w:rPr>
          <w:rFonts w:ascii="宋体" w:hAnsi="宋体"/>
          <w:b/>
          <w:sz w:val="44"/>
          <w:szCs w:val="44"/>
        </w:rPr>
      </w:pPr>
      <w:r>
        <w:rPr>
          <w:rFonts w:hint="eastAsia" w:ascii="宋体" w:hAnsi="宋体"/>
          <w:b/>
          <w:sz w:val="44"/>
          <w:szCs w:val="44"/>
        </w:rPr>
        <w:t>深圳市城市照明管理办法</w:t>
      </w:r>
    </w:p>
    <w:p>
      <w:pPr>
        <w:jc w:val="center"/>
        <w:rPr>
          <w:rFonts w:hint="eastAsia" w:ascii="仿宋_GB2312" w:hAnsi="宋体" w:eastAsia="仿宋_GB2312"/>
          <w:b/>
          <w:sz w:val="32"/>
          <w:szCs w:val="32"/>
        </w:rPr>
      </w:pPr>
      <w:r>
        <w:rPr>
          <w:rFonts w:hint="eastAsia" w:ascii="仿宋_GB2312" w:hAnsi="宋体" w:eastAsia="仿宋_GB2312"/>
          <w:b/>
          <w:sz w:val="32"/>
          <w:szCs w:val="32"/>
        </w:rPr>
        <w:t>（征求意见稿）</w:t>
      </w:r>
    </w:p>
    <w:p>
      <w:pPr>
        <w:widowControl/>
        <w:spacing w:line="288" w:lineRule="auto"/>
        <w:ind w:firstLine="643"/>
        <w:jc w:val="center"/>
        <w:rPr>
          <w:rFonts w:ascii="宋体" w:cs="宋体"/>
          <w:b/>
          <w:kern w:val="24"/>
          <w:sz w:val="28"/>
          <w:szCs w:val="28"/>
        </w:rPr>
      </w:pPr>
    </w:p>
    <w:p>
      <w:pPr>
        <w:jc w:val="center"/>
        <w:rPr>
          <w:rFonts w:hint="eastAsia" w:ascii="黑体" w:hAnsi="黑体" w:eastAsia="黑体"/>
          <w:color w:val="000000"/>
          <w:sz w:val="32"/>
        </w:rPr>
      </w:pPr>
      <w:r>
        <w:rPr>
          <w:rFonts w:hint="eastAsia" w:ascii="黑体" w:hAnsi="黑体" w:eastAsia="黑体"/>
          <w:color w:val="000000"/>
          <w:sz w:val="32"/>
        </w:rPr>
        <w:t>第一章  总 则</w:t>
      </w:r>
    </w:p>
    <w:p>
      <w:pPr>
        <w:widowControl/>
        <w:numPr>
          <w:ilvl w:val="0"/>
          <w:numId w:val="1"/>
        </w:numPr>
        <w:ind w:left="0" w:firstLine="627"/>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黑体" w:hAnsi="仿宋" w:eastAsia="黑体"/>
          <w:color w:val="000000"/>
          <w:sz w:val="32"/>
          <w:szCs w:val="32"/>
        </w:rPr>
        <w:t>立法目的</w:t>
      </w:r>
      <w:r>
        <w:rPr>
          <w:rFonts w:hint="eastAsia" w:ascii="仿宋_GB2312" w:hAnsi="仿宋" w:eastAsia="仿宋_GB2312"/>
          <w:color w:val="000000"/>
          <w:sz w:val="32"/>
          <w:szCs w:val="32"/>
        </w:rPr>
        <w:t>】 为了加强城市照明管理，改善城市照明环境，促进能源节约，根据《深圳经济特区市容和环境卫生管理条例》等法规规章规定，结合我市实际，制定本办法。</w:t>
      </w:r>
    </w:p>
    <w:p>
      <w:pPr>
        <w:widowControl/>
        <w:ind w:firstLine="640" w:firstLineChars="200"/>
        <w:jc w:val="left"/>
        <w:rPr>
          <w:rFonts w:hint="eastAsia" w:ascii="仿宋_GB2312" w:hAnsi="仿宋" w:eastAsia="仿宋_GB2312"/>
          <w:color w:val="000000"/>
          <w:sz w:val="32"/>
          <w:szCs w:val="32"/>
        </w:rPr>
      </w:pPr>
      <w:r>
        <w:rPr>
          <w:rFonts w:hint="eastAsia" w:ascii="黑体" w:hAnsi="仿宋" w:eastAsia="黑体"/>
          <w:color w:val="000000"/>
          <w:sz w:val="32"/>
          <w:szCs w:val="32"/>
        </w:rPr>
        <w:t>第二条</w:t>
      </w:r>
      <w:r>
        <w:rPr>
          <w:rFonts w:hint="eastAsia" w:ascii="仿宋_GB2312" w:hAnsi="仿宋" w:eastAsia="仿宋_GB2312"/>
          <w:color w:val="000000"/>
          <w:sz w:val="32"/>
          <w:szCs w:val="32"/>
        </w:rPr>
        <w:t>【</w:t>
      </w:r>
      <w:r>
        <w:rPr>
          <w:rFonts w:hint="eastAsia" w:ascii="黑体" w:hAnsi="仿宋" w:eastAsia="黑体"/>
          <w:color w:val="000000"/>
          <w:sz w:val="32"/>
          <w:szCs w:val="32"/>
        </w:rPr>
        <w:t>适用范围</w:t>
      </w:r>
      <w:r>
        <w:rPr>
          <w:rFonts w:hint="eastAsia" w:ascii="仿宋_GB2312" w:hAnsi="仿宋" w:eastAsia="仿宋_GB2312"/>
          <w:color w:val="000000"/>
          <w:sz w:val="32"/>
          <w:szCs w:val="32"/>
        </w:rPr>
        <w:t>】 本办法适用于本市行政区域内城市照明的规划、建设、维护和监督管理。</w:t>
      </w:r>
    </w:p>
    <w:p>
      <w:pPr>
        <w:widowControl/>
        <w:ind w:firstLine="640" w:firstLineChars="200"/>
        <w:jc w:val="left"/>
        <w:rPr>
          <w:rFonts w:hint="eastAsia" w:ascii="仿宋_GB2312" w:hAnsi="仿宋" w:eastAsia="仿宋_GB2312"/>
          <w:color w:val="000000"/>
          <w:sz w:val="32"/>
          <w:szCs w:val="32"/>
        </w:rPr>
      </w:pPr>
      <w:r>
        <w:rPr>
          <w:rFonts w:hint="eastAsia" w:ascii="黑体" w:hAnsi="仿宋" w:eastAsia="黑体"/>
          <w:color w:val="000000"/>
          <w:sz w:val="32"/>
          <w:szCs w:val="32"/>
        </w:rPr>
        <w:t>第三条</w:t>
      </w:r>
      <w:r>
        <w:rPr>
          <w:rFonts w:hint="eastAsia" w:ascii="仿宋_GB2312" w:hAnsi="仿宋" w:eastAsia="仿宋_GB2312"/>
          <w:color w:val="000000"/>
          <w:sz w:val="32"/>
          <w:szCs w:val="32"/>
        </w:rPr>
        <w:t>【</w:t>
      </w:r>
      <w:r>
        <w:rPr>
          <w:rFonts w:hint="eastAsia" w:ascii="黑体" w:hAnsi="仿宋" w:eastAsia="黑体"/>
          <w:color w:val="000000"/>
          <w:sz w:val="32"/>
          <w:szCs w:val="32"/>
        </w:rPr>
        <w:t>基本原则</w:t>
      </w:r>
      <w:r>
        <w:rPr>
          <w:rFonts w:hint="eastAsia" w:ascii="仿宋_GB2312" w:hAnsi="仿宋" w:eastAsia="仿宋_GB2312"/>
          <w:color w:val="000000"/>
          <w:sz w:val="32"/>
          <w:szCs w:val="32"/>
        </w:rPr>
        <w:t>】 城市照明应当遵循统筹规划、以人为本、经济适用、安全节能、美化环境的原则。</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第四条</w:t>
      </w:r>
      <w:r>
        <w:rPr>
          <w:rFonts w:hint="eastAsia" w:ascii="仿宋_GB2312" w:hAnsi="仿宋" w:eastAsia="仿宋_GB2312"/>
          <w:color w:val="000000"/>
          <w:sz w:val="32"/>
          <w:szCs w:val="32"/>
        </w:rPr>
        <w:t>【</w:t>
      </w:r>
      <w:r>
        <w:rPr>
          <w:rFonts w:hint="eastAsia" w:ascii="黑体" w:hAnsi="仿宋" w:eastAsia="黑体"/>
          <w:color w:val="000000"/>
          <w:sz w:val="32"/>
          <w:szCs w:val="32"/>
        </w:rPr>
        <w:t>名词解释</w:t>
      </w:r>
      <w:r>
        <w:rPr>
          <w:rFonts w:hint="eastAsia" w:ascii="仿宋_GB2312" w:hAnsi="仿宋" w:eastAsia="仿宋_GB2312"/>
          <w:color w:val="000000"/>
          <w:sz w:val="32"/>
          <w:szCs w:val="32"/>
        </w:rPr>
        <w:t>】 本办法下列用语的含义为：</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（一）本办法所称城市照明，是指在城市道路、隧道、住宅区、城中村、广场、公园、绿道、公共绿地、名胜古迹以及其他建（构）筑物的功能照明和景观照明。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（二）本办法所称功能照明，是指通过人工光以保障人们出行和户外活动安全为目的的照明,包括城市道路照明和其他功能照明。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本办法所称城市道路照明，是指快速路、主干路、次干路、支路、桥梁</w:t>
      </w:r>
      <w:r>
        <w:rPr>
          <w:rFonts w:ascii="仿宋_GB2312" w:hAnsi="仿宋" w:eastAsia="仿宋_GB2312"/>
          <w:color w:val="000000"/>
          <w:sz w:val="32"/>
          <w:szCs w:val="32"/>
        </w:rPr>
        <w:t>、隧道</w:t>
      </w:r>
      <w:r>
        <w:rPr>
          <w:rFonts w:hint="eastAsia" w:ascii="仿宋_GB2312" w:hAnsi="仿宋" w:eastAsia="仿宋_GB2312"/>
          <w:color w:val="000000"/>
          <w:sz w:val="32"/>
          <w:szCs w:val="32"/>
        </w:rPr>
        <w:t>及附属设施上的照明。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本办法所称其他功能照明，是指除城市道路照明以外的功能照明。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（三）本办法所称景观照明，是指通过人工光以装饰和造景为目的的照明，包括建（构）筑物、城市道路、公园</w:t>
      </w:r>
      <w:r>
        <w:rPr>
          <w:rFonts w:ascii="仿宋_GB2312" w:hAnsi="仿宋" w:eastAsia="仿宋_GB2312"/>
          <w:color w:val="000000"/>
          <w:sz w:val="32"/>
          <w:szCs w:val="32"/>
        </w:rPr>
        <w:t>、</w:t>
      </w:r>
      <w:r>
        <w:rPr>
          <w:rFonts w:hint="eastAsia" w:ascii="仿宋_GB2312" w:hAnsi="仿宋" w:eastAsia="仿宋_GB2312"/>
          <w:color w:val="000000"/>
          <w:sz w:val="32"/>
          <w:szCs w:val="32"/>
        </w:rPr>
        <w:t>广场、绿道、公共绿地、自然地景、水景、广告标识的装饰性照明。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（四）本办法所称城市照明设施，是指用于城市照明的配电室</w:t>
      </w:r>
      <w:r>
        <w:rPr>
          <w:rFonts w:ascii="仿宋_GB2312" w:hAnsi="仿宋" w:eastAsia="仿宋_GB2312"/>
          <w:color w:val="000000"/>
          <w:sz w:val="32"/>
          <w:szCs w:val="32"/>
        </w:rPr>
        <w:t>、配电箱、变压器</w:t>
      </w:r>
      <w:r>
        <w:rPr>
          <w:rFonts w:hint="eastAsia" w:ascii="仿宋_GB2312" w:hAnsi="仿宋" w:eastAsia="仿宋_GB2312"/>
          <w:color w:val="000000"/>
          <w:sz w:val="32"/>
          <w:szCs w:val="32"/>
        </w:rPr>
        <w:t>、灯杆</w:t>
      </w:r>
      <w:r>
        <w:rPr>
          <w:rFonts w:ascii="仿宋_GB2312" w:hAnsi="仿宋" w:eastAsia="仿宋_GB2312"/>
          <w:color w:val="000000"/>
          <w:sz w:val="32"/>
          <w:szCs w:val="32"/>
        </w:rPr>
        <w:t>、灯具、管线、工作井、</w:t>
      </w:r>
      <w:r>
        <w:rPr>
          <w:rFonts w:hint="eastAsia" w:ascii="仿宋_GB2312" w:hAnsi="仿宋" w:eastAsia="仿宋_GB2312"/>
          <w:color w:val="000000"/>
          <w:sz w:val="32"/>
          <w:szCs w:val="32"/>
        </w:rPr>
        <w:t>监控系统、节能系统等设备和附属设施。</w:t>
      </w:r>
    </w:p>
    <w:p>
      <w:pPr>
        <w:widowControl/>
        <w:ind w:firstLine="640" w:firstLineChars="200"/>
        <w:jc w:val="left"/>
        <w:rPr>
          <w:rFonts w:hint="eastAsia" w:ascii="仿宋_GB2312" w:hAnsi="仿宋" w:eastAsia="仿宋_GB2312"/>
          <w:sz w:val="32"/>
          <w:szCs w:val="32"/>
        </w:rPr>
      </w:pPr>
      <w:r>
        <w:rPr>
          <w:rFonts w:hint="eastAsia" w:ascii="黑体" w:hAnsi="仿宋" w:eastAsia="黑体"/>
          <w:color w:val="000000"/>
          <w:sz w:val="32"/>
          <w:szCs w:val="32"/>
        </w:rPr>
        <w:t>第五条</w:t>
      </w:r>
      <w:r>
        <w:rPr>
          <w:rFonts w:hint="eastAsia" w:ascii="仿宋_GB2312" w:hAnsi="仿宋" w:eastAsia="仿宋_GB2312"/>
          <w:color w:val="000000"/>
          <w:sz w:val="32"/>
          <w:szCs w:val="32"/>
        </w:rPr>
        <w:t>【</w:t>
      </w:r>
      <w:r>
        <w:rPr>
          <w:rFonts w:hint="eastAsia" w:ascii="黑体" w:hAnsi="仿宋" w:eastAsia="黑体"/>
          <w:color w:val="000000"/>
          <w:sz w:val="32"/>
          <w:szCs w:val="32"/>
        </w:rPr>
        <w:t>管理职责</w:t>
      </w:r>
      <w:r>
        <w:rPr>
          <w:rFonts w:hint="eastAsia" w:ascii="仿宋_GB2312" w:hAnsi="仿宋" w:eastAsia="仿宋_GB2312"/>
          <w:color w:val="000000"/>
          <w:sz w:val="32"/>
          <w:szCs w:val="32"/>
        </w:rPr>
        <w:t>】 市城市照明主管部门（以下简称市主管部门）负责统筹协调全市城市照明工作，并</w:t>
      </w:r>
      <w:r>
        <w:rPr>
          <w:rFonts w:hint="eastAsia" w:ascii="仿宋_GB2312" w:hAnsi="仿宋" w:eastAsia="仿宋_GB2312"/>
          <w:sz w:val="32"/>
          <w:szCs w:val="32"/>
        </w:rPr>
        <w:t>根据职责分工负责管理范围内的城市照明工作。</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区城市照明主管部门（以下简称区主管部门）根据职责分工负责辖区管理范围内的城市照明工作。</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规划国土、交通运输、建筑工务、住房建设、财政、科技、公安等部门和供电企业按照各自职责做好城市照明工作。</w:t>
      </w:r>
    </w:p>
    <w:p>
      <w:pPr>
        <w:widowControl/>
        <w:ind w:firstLine="640" w:firstLineChars="200"/>
        <w:jc w:val="left"/>
        <w:rPr>
          <w:rFonts w:hint="eastAsia" w:ascii="仿宋_GB2312" w:hAnsi="仿宋" w:eastAsia="仿宋_GB2312"/>
          <w:color w:val="000000"/>
          <w:sz w:val="32"/>
          <w:szCs w:val="32"/>
        </w:rPr>
      </w:pPr>
      <w:r>
        <w:rPr>
          <w:rFonts w:hint="eastAsia" w:ascii="黑体" w:hAnsi="仿宋" w:eastAsia="黑体"/>
          <w:color w:val="000000"/>
          <w:sz w:val="32"/>
          <w:szCs w:val="32"/>
        </w:rPr>
        <w:t>第六条</w:t>
      </w:r>
      <w:r>
        <w:rPr>
          <w:rFonts w:hint="eastAsia" w:ascii="仿宋_GB2312" w:hAnsi="仿宋" w:eastAsia="仿宋_GB2312"/>
          <w:color w:val="000000"/>
          <w:sz w:val="32"/>
          <w:szCs w:val="32"/>
        </w:rPr>
        <w:t>【</w:t>
      </w:r>
      <w:r>
        <w:rPr>
          <w:rFonts w:hint="eastAsia" w:ascii="黑体" w:hAnsi="仿宋" w:eastAsia="黑体"/>
          <w:color w:val="000000"/>
          <w:sz w:val="32"/>
          <w:szCs w:val="32"/>
        </w:rPr>
        <w:t>经费安排</w:t>
      </w:r>
      <w:r>
        <w:rPr>
          <w:rFonts w:hint="eastAsia" w:ascii="仿宋_GB2312" w:hAnsi="仿宋" w:eastAsia="仿宋_GB2312"/>
          <w:color w:val="000000"/>
          <w:sz w:val="32"/>
          <w:szCs w:val="32"/>
        </w:rPr>
        <w:t>】 政府投资的城市照明设施的建设经费，应当纳入城市建设资金计划。</w:t>
      </w:r>
    </w:p>
    <w:p>
      <w:pPr>
        <w:widowControl/>
        <w:ind w:left="64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政府鼓励社会资金投资城市照明设施的建设和维护。</w:t>
      </w:r>
    </w:p>
    <w:p>
      <w:pPr>
        <w:ind w:firstLine="627" w:firstLineChars="196"/>
        <w:rPr>
          <w:rFonts w:hint="eastAsia" w:ascii="仿宋_GB2312" w:hAnsi="仿宋" w:eastAsia="仿宋_GB2312"/>
          <w:sz w:val="32"/>
          <w:szCs w:val="32"/>
        </w:rPr>
      </w:pPr>
      <w:r>
        <w:rPr>
          <w:rFonts w:hint="eastAsia" w:ascii="黑体" w:hAnsi="仿宋" w:eastAsia="黑体"/>
          <w:color w:val="000000"/>
          <w:sz w:val="32"/>
          <w:szCs w:val="32"/>
        </w:rPr>
        <w:t>第七条</w:t>
      </w:r>
      <w:r>
        <w:rPr>
          <w:rFonts w:hint="eastAsia" w:ascii="仿宋_GB2312" w:hAnsi="仿宋" w:eastAsia="仿宋_GB2312"/>
          <w:color w:val="000000"/>
          <w:sz w:val="32"/>
          <w:szCs w:val="32"/>
        </w:rPr>
        <w:t>【</w:t>
      </w:r>
      <w:r>
        <w:rPr>
          <w:rFonts w:hint="eastAsia" w:ascii="黑体" w:hAnsi="仿宋" w:eastAsia="黑体"/>
          <w:color w:val="000000"/>
          <w:sz w:val="32"/>
          <w:szCs w:val="32"/>
        </w:rPr>
        <w:t>投诉机制</w:t>
      </w:r>
      <w:r>
        <w:rPr>
          <w:rFonts w:hint="eastAsia" w:ascii="仿宋_GB2312" w:hAnsi="仿宋" w:eastAsia="仿宋_GB2312"/>
          <w:color w:val="000000"/>
          <w:sz w:val="32"/>
          <w:szCs w:val="32"/>
        </w:rPr>
        <w:t xml:space="preserve">】 </w:t>
      </w:r>
      <w:r>
        <w:rPr>
          <w:rFonts w:hint="eastAsia" w:ascii="仿宋_GB2312" w:hAnsi="仿宋" w:eastAsia="仿宋_GB2312"/>
          <w:sz w:val="32"/>
          <w:szCs w:val="32"/>
        </w:rPr>
        <w:t>任何单位或者个人有权制止，举报或者投诉损坏、妨碍城市照明设施的行为。</w:t>
      </w:r>
    </w:p>
    <w:p>
      <w:pPr>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主管部门应当向社会公布24小时接听的城市照明设施举报投诉电话。</w:t>
      </w:r>
      <w:r>
        <w:rPr>
          <w:rFonts w:hint="eastAsia" w:ascii="仿宋_GB2312" w:hAnsi="仿宋" w:eastAsia="仿宋_GB2312"/>
          <w:sz w:val="32"/>
          <w:szCs w:val="32"/>
        </w:rPr>
        <w:t>接到举报投诉后，主管部门应当及时进行调查处理，并于处理完成后</w:t>
      </w:r>
      <w:r>
        <w:rPr>
          <w:rFonts w:ascii="仿宋_GB2312" w:hAnsi="仿宋" w:eastAsia="仿宋_GB2312"/>
          <w:sz w:val="32"/>
          <w:szCs w:val="32"/>
        </w:rPr>
        <w:t>3</w:t>
      </w:r>
      <w:r>
        <w:rPr>
          <w:rFonts w:hint="eastAsia" w:ascii="仿宋_GB2312" w:hAnsi="仿宋" w:eastAsia="仿宋_GB2312"/>
          <w:sz w:val="32"/>
          <w:szCs w:val="32"/>
        </w:rPr>
        <w:t>个工作日内，将调查处理情况书面反馈实名举报人或者投诉人。</w:t>
      </w:r>
    </w:p>
    <w:p>
      <w:pPr>
        <w:ind w:firstLine="643" w:firstLineChars="200"/>
        <w:rPr>
          <w:rFonts w:hint="eastAsia" w:ascii="仿宋_GB2312" w:hAnsi="仿宋" w:eastAsia="仿宋_GB2312"/>
          <w:b/>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第二章  规划和建设</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第八条</w:t>
      </w:r>
      <w:r>
        <w:rPr>
          <w:rFonts w:hint="eastAsia" w:ascii="仿宋_GB2312" w:hAnsi="仿宋" w:eastAsia="仿宋_GB2312"/>
          <w:color w:val="000000"/>
          <w:sz w:val="32"/>
          <w:szCs w:val="32"/>
        </w:rPr>
        <w:t>【</w:t>
      </w:r>
      <w:r>
        <w:rPr>
          <w:rFonts w:hint="eastAsia" w:ascii="黑体" w:hAnsi="仿宋" w:eastAsia="黑体"/>
          <w:color w:val="000000"/>
          <w:sz w:val="32"/>
          <w:szCs w:val="32"/>
        </w:rPr>
        <w:t>专项规划制定</w:t>
      </w:r>
      <w:r>
        <w:rPr>
          <w:rFonts w:hint="eastAsia" w:ascii="仿宋_GB2312" w:hAnsi="仿宋" w:eastAsia="仿宋_GB2312"/>
          <w:color w:val="000000"/>
          <w:sz w:val="32"/>
          <w:szCs w:val="32"/>
        </w:rPr>
        <w:t>】 市主管部门会同市规划国土、交通运输部门遵循</w:t>
      </w:r>
      <w:r>
        <w:rPr>
          <w:rFonts w:hint="eastAsia" w:ascii="仿宋_GB2312" w:hAnsi="宋体" w:eastAsia="仿宋_GB2312" w:cs="仿宋_GB2312"/>
          <w:kern w:val="0"/>
          <w:sz w:val="32"/>
          <w:szCs w:val="32"/>
        </w:rPr>
        <w:t>节能低碳、适时、适地和适度的原则</w:t>
      </w:r>
      <w:r>
        <w:rPr>
          <w:rFonts w:hint="eastAsia" w:ascii="仿宋_GB2312" w:hAnsi="仿宋" w:eastAsia="仿宋_GB2312"/>
          <w:color w:val="000000"/>
          <w:sz w:val="32"/>
          <w:szCs w:val="32"/>
        </w:rPr>
        <w:t>，依据城市总体规划，组织编制城市照明专项规划，报市城市规划委员会批准后组织实施。</w:t>
      </w:r>
    </w:p>
    <w:p>
      <w:pPr>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城市照明专项规划报批前，</w:t>
      </w:r>
      <w:r>
        <w:rPr>
          <w:rFonts w:hint="eastAsia" w:ascii="仿宋_GB2312" w:eastAsia="仿宋_GB2312"/>
          <w:sz w:val="32"/>
          <w:szCs w:val="32"/>
        </w:rPr>
        <w:t>市主管</w:t>
      </w:r>
      <w:r>
        <w:rPr>
          <w:rFonts w:hint="eastAsia" w:ascii="仿宋_GB2312" w:hAnsi="宋体" w:eastAsia="仿宋_GB2312" w:cs="宋体"/>
          <w:kern w:val="0"/>
          <w:sz w:val="32"/>
          <w:szCs w:val="32"/>
        </w:rPr>
        <w:t>部门应当通过听证会、论证会等</w:t>
      </w:r>
      <w:r>
        <w:rPr>
          <w:rFonts w:hint="eastAsia" w:ascii="仿宋_GB2312" w:eastAsia="仿宋_GB2312"/>
          <w:sz w:val="32"/>
          <w:szCs w:val="32"/>
        </w:rPr>
        <w:t>形式公开征求社会各界的意见和建议。</w:t>
      </w:r>
    </w:p>
    <w:p>
      <w:pPr>
        <w:ind w:firstLine="640" w:firstLineChars="200"/>
        <w:rPr>
          <w:rFonts w:hint="eastAsia" w:ascii="仿宋_GB2312" w:hAnsi="仿宋" w:eastAsia="仿宋_GB2312"/>
          <w:sz w:val="32"/>
          <w:szCs w:val="32"/>
        </w:rPr>
      </w:pPr>
      <w:r>
        <w:rPr>
          <w:rFonts w:hint="eastAsia" w:ascii="黑体" w:hAnsi="仿宋" w:eastAsia="黑体"/>
          <w:sz w:val="32"/>
          <w:szCs w:val="32"/>
        </w:rPr>
        <w:t>第九条</w:t>
      </w:r>
      <w:r>
        <w:rPr>
          <w:rFonts w:hint="eastAsia" w:ascii="仿宋_GB2312" w:hAnsi="仿宋" w:eastAsia="仿宋_GB2312"/>
          <w:sz w:val="32"/>
          <w:szCs w:val="32"/>
        </w:rPr>
        <w:t>【</w:t>
      </w:r>
      <w:r>
        <w:rPr>
          <w:rFonts w:hint="eastAsia" w:ascii="黑体" w:hAnsi="仿宋" w:eastAsia="黑体"/>
          <w:sz w:val="32"/>
          <w:szCs w:val="32"/>
        </w:rPr>
        <w:t>专项规划内容</w:t>
      </w:r>
      <w:r>
        <w:rPr>
          <w:rFonts w:hint="eastAsia" w:ascii="仿宋_GB2312" w:hAnsi="仿宋" w:eastAsia="仿宋_GB2312"/>
          <w:sz w:val="32"/>
          <w:szCs w:val="32"/>
        </w:rPr>
        <w:t>】 城市照明专项规划应当</w:t>
      </w:r>
      <w:r>
        <w:rPr>
          <w:rFonts w:ascii="仿宋_GB2312" w:hAnsi="仿宋" w:eastAsia="仿宋_GB2312"/>
          <w:sz w:val="32"/>
          <w:szCs w:val="32"/>
        </w:rPr>
        <w:t>根据本市经济社会发展，</w:t>
      </w:r>
      <w:r>
        <w:rPr>
          <w:rFonts w:hint="eastAsia" w:ascii="仿宋_GB2312" w:hAnsi="仿宋" w:eastAsia="仿宋_GB2312"/>
          <w:sz w:val="32"/>
          <w:szCs w:val="32"/>
        </w:rPr>
        <w:t>结</w:t>
      </w:r>
      <w:r>
        <w:rPr>
          <w:rFonts w:ascii="仿宋_GB2312" w:hAnsi="仿宋" w:eastAsia="仿宋_GB2312"/>
          <w:sz w:val="32"/>
          <w:szCs w:val="32"/>
        </w:rPr>
        <w:t>合城市自然地理环境</w:t>
      </w:r>
      <w:r>
        <w:rPr>
          <w:rFonts w:hint="eastAsia" w:ascii="仿宋_GB2312" w:hAnsi="仿宋" w:eastAsia="仿宋_GB2312"/>
          <w:sz w:val="32"/>
          <w:szCs w:val="32"/>
        </w:rPr>
        <w:t>、</w:t>
      </w:r>
      <w:r>
        <w:rPr>
          <w:rFonts w:ascii="仿宋_GB2312" w:hAnsi="仿宋" w:eastAsia="仿宋_GB2312"/>
          <w:sz w:val="32"/>
          <w:szCs w:val="32"/>
        </w:rPr>
        <w:t>人文条件、交通安全要求</w:t>
      </w:r>
      <w:r>
        <w:rPr>
          <w:rFonts w:hint="eastAsia" w:ascii="仿宋_GB2312" w:hAnsi="仿宋" w:eastAsia="仿宋_GB2312"/>
          <w:sz w:val="32"/>
          <w:szCs w:val="32"/>
        </w:rPr>
        <w:t>，按照</w:t>
      </w:r>
      <w:r>
        <w:rPr>
          <w:rFonts w:ascii="仿宋_GB2312" w:hAnsi="仿宋" w:eastAsia="仿宋_GB2312"/>
          <w:sz w:val="32"/>
          <w:szCs w:val="32"/>
        </w:rPr>
        <w:t>城市功能分区，</w:t>
      </w:r>
      <w:r>
        <w:rPr>
          <w:rFonts w:hint="eastAsia" w:ascii="仿宋_GB2312" w:hAnsi="仿宋" w:eastAsia="仿宋_GB2312"/>
          <w:sz w:val="32"/>
          <w:szCs w:val="32"/>
        </w:rPr>
        <w:t>对</w:t>
      </w:r>
      <w:r>
        <w:rPr>
          <w:rFonts w:ascii="仿宋_GB2312" w:hAnsi="仿宋" w:eastAsia="仿宋_GB2312"/>
          <w:sz w:val="32"/>
          <w:szCs w:val="32"/>
        </w:rPr>
        <w:t>不同区域</w:t>
      </w:r>
      <w:r>
        <w:rPr>
          <w:rFonts w:hint="eastAsia" w:ascii="仿宋_GB2312" w:hAnsi="仿宋" w:eastAsia="仿宋_GB2312"/>
          <w:sz w:val="32"/>
          <w:szCs w:val="32"/>
        </w:rPr>
        <w:t>、</w:t>
      </w:r>
      <w:r>
        <w:rPr>
          <w:rFonts w:ascii="仿宋_GB2312" w:hAnsi="仿宋" w:eastAsia="仿宋_GB2312"/>
          <w:sz w:val="32"/>
          <w:szCs w:val="32"/>
        </w:rPr>
        <w:t>不同时段的城市照明</w:t>
      </w:r>
      <w:r>
        <w:rPr>
          <w:rFonts w:hint="eastAsia" w:ascii="仿宋_GB2312" w:hAnsi="仿宋" w:eastAsia="仿宋_GB2312"/>
          <w:sz w:val="32"/>
          <w:szCs w:val="32"/>
        </w:rPr>
        <w:t>建设管理</w:t>
      </w:r>
      <w:r>
        <w:rPr>
          <w:rFonts w:ascii="仿宋_GB2312" w:hAnsi="仿宋" w:eastAsia="仿宋_GB2312"/>
          <w:sz w:val="32"/>
          <w:szCs w:val="32"/>
        </w:rPr>
        <w:t>提出要求。</w:t>
      </w:r>
    </w:p>
    <w:p>
      <w:pPr>
        <w:ind w:firstLine="627" w:firstLineChars="196"/>
        <w:rPr>
          <w:rFonts w:hint="eastAsia" w:ascii="仿宋_GB2312" w:hAnsi="仿宋" w:eastAsia="仿宋_GB2312"/>
          <w:color w:val="000000"/>
          <w:sz w:val="32"/>
          <w:szCs w:val="32"/>
        </w:rPr>
      </w:pPr>
      <w:r>
        <w:rPr>
          <w:rFonts w:hint="eastAsia" w:ascii="黑体" w:hAnsi="仿宋" w:eastAsia="黑体"/>
          <w:color w:val="000000"/>
          <w:sz w:val="32"/>
          <w:szCs w:val="32"/>
        </w:rPr>
        <w:t>第十条</w:t>
      </w:r>
      <w:r>
        <w:rPr>
          <w:rFonts w:hint="eastAsia" w:ascii="仿宋_GB2312" w:hAnsi="仿宋" w:eastAsia="仿宋_GB2312"/>
          <w:color w:val="000000"/>
          <w:sz w:val="32"/>
          <w:szCs w:val="32"/>
        </w:rPr>
        <w:t>【</w:t>
      </w:r>
      <w:r>
        <w:rPr>
          <w:rFonts w:hint="eastAsia" w:ascii="黑体" w:hAnsi="仿宋" w:eastAsia="黑体"/>
          <w:color w:val="000000"/>
          <w:sz w:val="32"/>
          <w:szCs w:val="32"/>
        </w:rPr>
        <w:t>“三同时”</w:t>
      </w:r>
      <w:r>
        <w:rPr>
          <w:rFonts w:hint="eastAsia" w:ascii="仿宋_GB2312" w:hAnsi="仿宋" w:eastAsia="仿宋_GB2312"/>
          <w:color w:val="000000"/>
          <w:sz w:val="32"/>
          <w:szCs w:val="32"/>
        </w:rPr>
        <w:t>】与主体工程配套建设的功能照明设施和城市照明专项规划划定的重点区域（以下简称重点区域）景观照明设施，应当符合城市照明专项规划要求，并与主体工程同时设计、同时施工、同时投入使用（以下简称“三同时”）。</w:t>
      </w:r>
    </w:p>
    <w:p>
      <w:pPr>
        <w:ind w:firstLine="627" w:firstLineChars="196"/>
        <w:rPr>
          <w:rFonts w:hint="eastAsia" w:ascii="仿宋_GB2312" w:hAnsi="仿宋" w:eastAsia="仿宋_GB2312"/>
          <w:color w:val="000000"/>
          <w:sz w:val="32"/>
          <w:szCs w:val="32"/>
        </w:rPr>
      </w:pPr>
      <w:r>
        <w:rPr>
          <w:rFonts w:hint="eastAsia" w:ascii="仿宋_GB2312" w:hAnsi="仿宋" w:eastAsia="仿宋_GB2312"/>
          <w:color w:val="000000"/>
          <w:sz w:val="32"/>
          <w:szCs w:val="32"/>
        </w:rPr>
        <w:t>市主管部门会同市规划国土部门依据城市照明专项规划，</w:t>
      </w:r>
      <w:r>
        <w:rPr>
          <w:rFonts w:hint="eastAsia" w:ascii="仿宋_GB2312" w:hAnsi="宋体" w:eastAsia="仿宋_GB2312" w:cs="宋体"/>
          <w:kern w:val="0"/>
          <w:sz w:val="32"/>
          <w:szCs w:val="32"/>
        </w:rPr>
        <w:t>通过听证会、论证会等</w:t>
      </w:r>
      <w:r>
        <w:rPr>
          <w:rFonts w:hint="eastAsia" w:ascii="仿宋_GB2312" w:eastAsia="仿宋_GB2312"/>
          <w:sz w:val="32"/>
          <w:szCs w:val="32"/>
        </w:rPr>
        <w:t>形式公开征求社会各界的意见和建议，</w:t>
      </w:r>
      <w:r>
        <w:rPr>
          <w:rFonts w:hint="eastAsia" w:ascii="仿宋_GB2312" w:hAnsi="仿宋" w:eastAsia="仿宋_GB2312"/>
          <w:color w:val="000000"/>
          <w:sz w:val="32"/>
          <w:szCs w:val="32"/>
        </w:rPr>
        <w:t>明确实行“三同时”的景观照明区域范围，</w:t>
      </w:r>
      <w:r>
        <w:rPr>
          <w:rFonts w:hint="eastAsia" w:ascii="仿宋_GB2312" w:eastAsia="仿宋_GB2312"/>
          <w:sz w:val="32"/>
          <w:szCs w:val="32"/>
        </w:rPr>
        <w:t>并向社会</w:t>
      </w:r>
      <w:r>
        <w:rPr>
          <w:rFonts w:hint="eastAsia" w:ascii="仿宋_GB2312" w:hAnsi="仿宋" w:eastAsia="仿宋_GB2312"/>
          <w:color w:val="000000"/>
          <w:sz w:val="32"/>
          <w:szCs w:val="32"/>
        </w:rPr>
        <w:t>公布。</w:t>
      </w:r>
    </w:p>
    <w:p>
      <w:pPr>
        <w:widowControl/>
        <w:ind w:left="44" w:leftChars="21" w:right="45" w:firstLine="608" w:firstLineChars="190"/>
        <w:jc w:val="left"/>
        <w:rPr>
          <w:rFonts w:hint="eastAsia" w:ascii="仿宋_GB2312" w:hAnsi="仿宋" w:eastAsia="仿宋_GB2312"/>
          <w:sz w:val="32"/>
          <w:szCs w:val="32"/>
        </w:rPr>
      </w:pPr>
      <w:r>
        <w:rPr>
          <w:rFonts w:hint="eastAsia" w:ascii="黑体" w:hAnsi="仿宋" w:eastAsia="黑体"/>
          <w:color w:val="000000"/>
          <w:sz w:val="32"/>
          <w:szCs w:val="32"/>
        </w:rPr>
        <w:t>第十一条</w:t>
      </w:r>
      <w:r>
        <w:rPr>
          <w:rFonts w:hint="eastAsia" w:ascii="仿宋_GB2312" w:hAnsi="仿宋" w:eastAsia="仿宋_GB2312"/>
          <w:color w:val="000000"/>
          <w:sz w:val="32"/>
          <w:szCs w:val="32"/>
        </w:rPr>
        <w:t>【</w:t>
      </w:r>
      <w:r>
        <w:rPr>
          <w:rFonts w:hint="eastAsia" w:ascii="黑体" w:hAnsi="仿宋" w:eastAsia="黑体"/>
          <w:color w:val="000000"/>
          <w:sz w:val="32"/>
          <w:szCs w:val="32"/>
        </w:rPr>
        <w:t>建设责任人</w:t>
      </w:r>
      <w:r>
        <w:rPr>
          <w:rFonts w:hint="eastAsia" w:ascii="仿宋_GB2312" w:hAnsi="仿宋" w:eastAsia="仿宋_GB2312"/>
          <w:color w:val="000000"/>
          <w:sz w:val="32"/>
          <w:szCs w:val="32"/>
        </w:rPr>
        <w:t xml:space="preserve">】 </w:t>
      </w:r>
      <w:r>
        <w:rPr>
          <w:rFonts w:hint="eastAsia" w:ascii="仿宋_GB2312" w:hAnsi="仿宋" w:eastAsia="仿宋_GB2312"/>
          <w:sz w:val="32"/>
          <w:szCs w:val="32"/>
        </w:rPr>
        <w:t xml:space="preserve">城市照明设施由下列单位和个人负责建设： </w:t>
      </w:r>
    </w:p>
    <w:p>
      <w:pPr>
        <w:widowControl/>
        <w:ind w:left="44" w:leftChars="21" w:right="45" w:firstLine="608" w:firstLineChars="190"/>
        <w:jc w:val="left"/>
        <w:rPr>
          <w:rFonts w:hint="eastAsia" w:ascii="仿宋_GB2312" w:hAnsi="仿宋" w:eastAsia="仿宋_GB2312"/>
          <w:sz w:val="32"/>
          <w:szCs w:val="32"/>
        </w:rPr>
      </w:pPr>
      <w:r>
        <w:rPr>
          <w:rFonts w:hint="eastAsia" w:ascii="仿宋_GB2312" w:hAnsi="仿宋" w:eastAsia="仿宋_GB2312"/>
          <w:sz w:val="32"/>
          <w:szCs w:val="32"/>
        </w:rPr>
        <w:t>（一）配套建设的功能照明设施，由主体工程</w:t>
      </w:r>
      <w:r>
        <w:rPr>
          <w:rFonts w:ascii="仿宋_GB2312" w:hAnsi="仿宋" w:eastAsia="仿宋_GB2312"/>
          <w:sz w:val="32"/>
          <w:szCs w:val="32"/>
        </w:rPr>
        <w:t>的</w:t>
      </w:r>
      <w:r>
        <w:rPr>
          <w:rFonts w:hint="eastAsia" w:ascii="仿宋_GB2312" w:hAnsi="仿宋" w:eastAsia="仿宋_GB2312"/>
          <w:sz w:val="32"/>
          <w:szCs w:val="32"/>
        </w:rPr>
        <w:t>建设单位负责建设；</w:t>
      </w:r>
    </w:p>
    <w:p>
      <w:pPr>
        <w:widowControl/>
        <w:ind w:left="44" w:leftChars="21" w:right="45" w:firstLine="608" w:firstLineChars="190"/>
        <w:jc w:val="left"/>
        <w:rPr>
          <w:rFonts w:hint="eastAsia" w:ascii="仿宋_GB2312" w:hAnsi="仿宋" w:eastAsia="仿宋_GB2312"/>
          <w:sz w:val="32"/>
          <w:szCs w:val="32"/>
        </w:rPr>
      </w:pPr>
      <w:r>
        <w:rPr>
          <w:rFonts w:hint="eastAsia" w:ascii="仿宋_GB2312" w:hAnsi="仿宋" w:eastAsia="仿宋_GB2312"/>
          <w:sz w:val="32"/>
          <w:szCs w:val="32"/>
        </w:rPr>
        <w:t>增</w:t>
      </w:r>
      <w:r>
        <w:rPr>
          <w:rFonts w:ascii="仿宋_GB2312" w:hAnsi="仿宋" w:eastAsia="仿宋_GB2312"/>
          <w:sz w:val="32"/>
          <w:szCs w:val="32"/>
        </w:rPr>
        <w:t>设功能照明设施的，由所有人</w:t>
      </w:r>
      <w:r>
        <w:rPr>
          <w:rFonts w:hint="eastAsia" w:ascii="仿宋_GB2312" w:hAnsi="仿宋" w:eastAsia="仿宋_GB2312"/>
          <w:sz w:val="32"/>
          <w:szCs w:val="32"/>
        </w:rPr>
        <w:t>或者</w:t>
      </w:r>
      <w:r>
        <w:rPr>
          <w:rFonts w:ascii="仿宋_GB2312" w:hAnsi="仿宋" w:eastAsia="仿宋_GB2312"/>
          <w:sz w:val="32"/>
          <w:szCs w:val="32"/>
        </w:rPr>
        <w:t>管理人负责建设</w:t>
      </w:r>
      <w:r>
        <w:rPr>
          <w:rFonts w:hint="eastAsia" w:ascii="仿宋_GB2312" w:hAnsi="仿宋" w:eastAsia="仿宋_GB2312"/>
          <w:sz w:val="32"/>
          <w:szCs w:val="32"/>
        </w:rPr>
        <w:t>；</w:t>
      </w:r>
    </w:p>
    <w:p>
      <w:pPr>
        <w:widowControl/>
        <w:ind w:left="44" w:leftChars="21" w:right="45" w:firstLine="608" w:firstLineChars="190"/>
        <w:jc w:val="left"/>
        <w:rPr>
          <w:rFonts w:hint="eastAsia" w:ascii="仿宋_GB2312" w:hAnsi="仿宋" w:eastAsia="仿宋_GB2312"/>
          <w:sz w:val="32"/>
          <w:szCs w:val="32"/>
        </w:rPr>
      </w:pPr>
      <w:r>
        <w:rPr>
          <w:rFonts w:hint="eastAsia" w:ascii="仿宋_GB2312" w:hAnsi="仿宋" w:eastAsia="仿宋_GB2312"/>
          <w:sz w:val="32"/>
          <w:szCs w:val="32"/>
        </w:rPr>
        <w:t>（二）在重点区域的建（构）筑物上，政府投资建设的景观照明设施，由主管部门负责建设，社会投资建设的景观照明设施，由投资</w:t>
      </w:r>
      <w:r>
        <w:rPr>
          <w:rFonts w:ascii="仿宋_GB2312" w:hAnsi="仿宋" w:eastAsia="仿宋_GB2312"/>
          <w:sz w:val="32"/>
          <w:szCs w:val="32"/>
        </w:rPr>
        <w:t>主体</w:t>
      </w:r>
      <w:r>
        <w:rPr>
          <w:rFonts w:hint="eastAsia" w:ascii="仿宋_GB2312" w:hAnsi="仿宋" w:eastAsia="仿宋_GB2312"/>
          <w:sz w:val="32"/>
          <w:szCs w:val="32"/>
        </w:rPr>
        <w:t>负责建设。</w:t>
      </w:r>
    </w:p>
    <w:p>
      <w:pPr>
        <w:ind w:firstLine="640" w:firstLineChars="200"/>
        <w:rPr>
          <w:rFonts w:hint="eastAsia" w:ascii="仿宋_GB2312" w:hAnsi="仿宋" w:eastAsia="仿宋_GB2312"/>
          <w:sz w:val="32"/>
          <w:szCs w:val="32"/>
        </w:rPr>
      </w:pPr>
      <w:r>
        <w:rPr>
          <w:rFonts w:hint="eastAsia" w:ascii="黑体" w:hAnsi="仿宋" w:eastAsia="黑体"/>
          <w:sz w:val="32"/>
          <w:szCs w:val="32"/>
        </w:rPr>
        <w:t>第十二条</w:t>
      </w:r>
      <w:r>
        <w:rPr>
          <w:rFonts w:hint="eastAsia" w:ascii="仿宋_GB2312" w:hAnsi="仿宋" w:eastAsia="仿宋_GB2312"/>
          <w:sz w:val="32"/>
          <w:szCs w:val="32"/>
        </w:rPr>
        <w:t>【</w:t>
      </w:r>
      <w:r>
        <w:rPr>
          <w:rFonts w:hint="eastAsia" w:ascii="黑体" w:hAnsi="黑体" w:eastAsia="黑体"/>
          <w:sz w:val="32"/>
          <w:szCs w:val="32"/>
        </w:rPr>
        <w:t>建设要求</w:t>
      </w:r>
      <w:r>
        <w:rPr>
          <w:rFonts w:hint="eastAsia" w:ascii="仿宋_GB2312" w:hAnsi="仿宋" w:eastAsia="仿宋_GB2312"/>
          <w:sz w:val="32"/>
          <w:szCs w:val="32"/>
        </w:rPr>
        <w:t>】新建、改建、扩建城市照明设施，应当符合城市照明专项规划、城市照明技术标准和技术规范的要求。</w:t>
      </w:r>
    </w:p>
    <w:p>
      <w:pPr>
        <w:ind w:firstLine="627" w:firstLineChars="196"/>
        <w:rPr>
          <w:rFonts w:hint="eastAsia" w:ascii="仿宋_GB2312" w:hAnsi="仿宋" w:eastAsia="仿宋_GB2312"/>
          <w:sz w:val="32"/>
          <w:szCs w:val="32"/>
        </w:rPr>
      </w:pPr>
      <w:r>
        <w:rPr>
          <w:rFonts w:hint="eastAsia" w:ascii="黑体" w:hAnsi="仿宋" w:eastAsia="黑体"/>
          <w:sz w:val="32"/>
          <w:szCs w:val="32"/>
        </w:rPr>
        <w:t>第十三条</w:t>
      </w:r>
      <w:r>
        <w:rPr>
          <w:rFonts w:hint="eastAsia" w:ascii="仿宋_GB2312" w:hAnsi="仿宋" w:eastAsia="仿宋_GB2312"/>
          <w:sz w:val="32"/>
          <w:szCs w:val="32"/>
        </w:rPr>
        <w:t>【</w:t>
      </w:r>
      <w:r>
        <w:rPr>
          <w:rFonts w:hint="eastAsia" w:ascii="黑体" w:hAnsi="仿宋" w:eastAsia="黑体"/>
          <w:sz w:val="32"/>
          <w:szCs w:val="32"/>
        </w:rPr>
        <w:t>资质要求</w:t>
      </w:r>
      <w:r>
        <w:rPr>
          <w:rFonts w:hint="eastAsia" w:ascii="仿宋_GB2312" w:hAnsi="仿宋" w:eastAsia="仿宋_GB2312"/>
          <w:sz w:val="32"/>
          <w:szCs w:val="32"/>
        </w:rPr>
        <w:t>】 从事城市照明工程勘察、设计、施工、监理的单位应当具备相应的法定资质。</w:t>
      </w:r>
    </w:p>
    <w:p>
      <w:pPr>
        <w:ind w:firstLine="640" w:firstLineChars="200"/>
        <w:rPr>
          <w:rFonts w:hint="eastAsia" w:ascii="仿宋_GB2312" w:hAnsi="仿宋" w:eastAsia="仿宋_GB2312"/>
          <w:sz w:val="32"/>
          <w:szCs w:val="32"/>
        </w:rPr>
      </w:pPr>
      <w:r>
        <w:rPr>
          <w:rFonts w:hint="eastAsia" w:ascii="黑体" w:hAnsi="仿宋" w:eastAsia="黑体"/>
          <w:sz w:val="32"/>
          <w:szCs w:val="32"/>
        </w:rPr>
        <w:t>第十四条</w:t>
      </w:r>
      <w:r>
        <w:rPr>
          <w:rFonts w:hint="eastAsia" w:ascii="仿宋_GB2312" w:hAnsi="仿宋" w:eastAsia="仿宋_GB2312"/>
          <w:sz w:val="32"/>
          <w:szCs w:val="32"/>
        </w:rPr>
        <w:t>【</w:t>
      </w:r>
      <w:r>
        <w:rPr>
          <w:rFonts w:hint="eastAsia" w:ascii="黑体" w:hAnsi="仿宋" w:eastAsia="黑体"/>
          <w:sz w:val="32"/>
          <w:szCs w:val="32"/>
        </w:rPr>
        <w:t>规划落实</w:t>
      </w:r>
      <w:r>
        <w:rPr>
          <w:rFonts w:hint="eastAsia" w:ascii="仿宋_GB2312" w:hAnsi="仿宋" w:eastAsia="仿宋_GB2312"/>
          <w:sz w:val="32"/>
          <w:szCs w:val="32"/>
        </w:rPr>
        <w:t>】 实行“三同时”的建设项目，规划国土部门核发建设用地规划许可证时，应当明确提出城市照明“三同时”的规划要求。</w:t>
      </w: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实行“三同时”的建设项目，建设单位应当将城市照明设计方案送主管部门提出技术意见，作为规划国土部门核发建设工程规划许可证的收文要件，并在建设工程规划许可证中载明相关内容。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城市照明设施不符合城市照明设计方案建设要求</w:t>
      </w:r>
      <w:r>
        <w:rPr>
          <w:rFonts w:ascii="仿宋_GB2312" w:hAnsi="仿宋" w:eastAsia="仿宋_GB2312"/>
          <w:sz w:val="32"/>
          <w:szCs w:val="32"/>
        </w:rPr>
        <w:t>的，不得交付使用</w:t>
      </w:r>
      <w:r>
        <w:rPr>
          <w:rFonts w:hint="eastAsia" w:ascii="仿宋_GB2312" w:hAnsi="仿宋" w:eastAsia="仿宋_GB2312"/>
          <w:sz w:val="32"/>
          <w:szCs w:val="32"/>
        </w:rPr>
        <w:t>。</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第十五条</w:t>
      </w:r>
      <w:r>
        <w:rPr>
          <w:rFonts w:hint="eastAsia" w:ascii="仿宋_GB2312" w:hAnsi="仿宋" w:eastAsia="仿宋_GB2312"/>
          <w:color w:val="000000"/>
          <w:sz w:val="32"/>
          <w:szCs w:val="32"/>
        </w:rPr>
        <w:t>【</w:t>
      </w:r>
      <w:r>
        <w:rPr>
          <w:rFonts w:hint="eastAsia" w:ascii="黑体" w:hAnsi="黑体" w:eastAsia="黑体"/>
          <w:color w:val="000000"/>
          <w:sz w:val="32"/>
          <w:szCs w:val="32"/>
        </w:rPr>
        <w:t>移交</w:t>
      </w:r>
      <w:r>
        <w:rPr>
          <w:rFonts w:hint="eastAsia" w:ascii="黑体" w:hAnsi="仿宋" w:eastAsia="黑体"/>
          <w:color w:val="000000"/>
          <w:sz w:val="32"/>
          <w:szCs w:val="32"/>
        </w:rPr>
        <w:t>接管</w:t>
      </w:r>
      <w:r>
        <w:rPr>
          <w:rFonts w:hint="eastAsia" w:ascii="仿宋_GB2312" w:hAnsi="仿宋" w:eastAsia="仿宋_GB2312"/>
          <w:color w:val="000000"/>
          <w:sz w:val="32"/>
          <w:szCs w:val="32"/>
        </w:rPr>
        <w:t>】 政府投资的城市道路照明设施，应当根据职责分工，通知主管部门或者交通运输部门参加竣工验收。验收合格的，办理移交手续；验收不合格的，建设单位应当按照要求进行整改。</w:t>
      </w:r>
    </w:p>
    <w:p>
      <w:pPr>
        <w:widowControl/>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社会投资的城市道路照明设施，需要移交主管部门管理的，</w:t>
      </w:r>
      <w:r>
        <w:rPr>
          <w:rFonts w:hint="eastAsia" w:ascii="仿宋_GB2312" w:hAnsi="仿宋" w:eastAsia="仿宋_GB2312"/>
          <w:color w:val="000000"/>
          <w:sz w:val="32"/>
          <w:szCs w:val="32"/>
        </w:rPr>
        <w:t xml:space="preserve">建设单位应当向主管部门提出移交申请，经政府同意并通过验收后办理移交接管手续。 </w:t>
      </w:r>
    </w:p>
    <w:p>
      <w:pPr>
        <w:ind w:firstLine="640" w:firstLineChars="200"/>
        <w:jc w:val="left"/>
        <w:rPr>
          <w:rFonts w:hint="eastAsia" w:ascii="仿宋_GB2312" w:hAnsi="仿宋" w:eastAsia="仿宋_GB2312"/>
          <w:color w:val="000000"/>
          <w:sz w:val="32"/>
          <w:szCs w:val="32"/>
        </w:rPr>
      </w:pPr>
      <w:r>
        <w:rPr>
          <w:rFonts w:hint="eastAsia" w:ascii="黑体" w:hAnsi="仿宋" w:eastAsia="黑体"/>
          <w:color w:val="000000"/>
          <w:sz w:val="32"/>
          <w:szCs w:val="32"/>
        </w:rPr>
        <w:t>第十六条</w:t>
      </w:r>
      <w:r>
        <w:rPr>
          <w:rFonts w:hint="eastAsia" w:ascii="仿宋_GB2312" w:hAnsi="仿宋" w:eastAsia="仿宋_GB2312"/>
          <w:color w:val="000000"/>
          <w:sz w:val="32"/>
          <w:szCs w:val="32"/>
        </w:rPr>
        <w:t>【</w:t>
      </w:r>
      <w:r>
        <w:rPr>
          <w:rFonts w:hint="eastAsia" w:ascii="黑体" w:hAnsi="仿宋" w:eastAsia="黑体"/>
          <w:color w:val="000000"/>
          <w:sz w:val="32"/>
          <w:szCs w:val="32"/>
        </w:rPr>
        <w:t>接管标准</w:t>
      </w:r>
      <w:r>
        <w:rPr>
          <w:rFonts w:hint="eastAsia" w:ascii="仿宋_GB2312" w:hAnsi="仿宋" w:eastAsia="仿宋_GB2312"/>
          <w:color w:val="000000"/>
          <w:sz w:val="32"/>
          <w:szCs w:val="32"/>
        </w:rPr>
        <w:t>】 移交主管部门进行接管的城市道路照明设施，应当具备下列条件：</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（一）符合城市照明专项规划、城市照明设计方案及有关标准；</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（二）具备纳</w:t>
      </w:r>
      <w:r>
        <w:rPr>
          <w:rFonts w:ascii="仿宋_GB2312" w:hAnsi="仿宋" w:eastAsia="仿宋_GB2312"/>
          <w:color w:val="000000"/>
          <w:sz w:val="32"/>
          <w:szCs w:val="32"/>
        </w:rPr>
        <w:t>入</w:t>
      </w:r>
      <w:r>
        <w:rPr>
          <w:rFonts w:hint="eastAsia" w:ascii="仿宋_GB2312" w:hAnsi="仿宋" w:eastAsia="仿宋_GB2312"/>
          <w:color w:val="000000"/>
          <w:sz w:val="32"/>
          <w:szCs w:val="32"/>
        </w:rPr>
        <w:t>城市</w:t>
      </w:r>
      <w:r>
        <w:rPr>
          <w:rFonts w:ascii="仿宋_GB2312" w:hAnsi="仿宋" w:eastAsia="仿宋_GB2312"/>
          <w:color w:val="000000"/>
          <w:sz w:val="32"/>
          <w:szCs w:val="32"/>
        </w:rPr>
        <w:t>照明智能控制系统</w:t>
      </w:r>
      <w:r>
        <w:rPr>
          <w:rFonts w:hint="eastAsia" w:ascii="仿宋_GB2312" w:hAnsi="仿宋" w:eastAsia="仿宋_GB2312"/>
          <w:color w:val="000000"/>
          <w:sz w:val="32"/>
          <w:szCs w:val="32"/>
        </w:rPr>
        <w:t>的技术</w:t>
      </w:r>
      <w:r>
        <w:rPr>
          <w:rFonts w:ascii="仿宋_GB2312" w:hAnsi="仿宋" w:eastAsia="仿宋_GB2312"/>
          <w:color w:val="000000"/>
          <w:sz w:val="32"/>
          <w:szCs w:val="32"/>
        </w:rPr>
        <w:t>和安全</w:t>
      </w:r>
      <w:r>
        <w:rPr>
          <w:rFonts w:hint="eastAsia" w:ascii="仿宋_GB2312" w:hAnsi="仿宋" w:eastAsia="仿宋_GB2312"/>
          <w:color w:val="000000"/>
          <w:sz w:val="32"/>
          <w:szCs w:val="32"/>
        </w:rPr>
        <w:t>条件；</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（三）具有完整的城市道路照明设施竣工资料；</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（四）已结清电费并完成电表用户变更手续；</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（五）其他进行接管需要的条件。</w:t>
      </w:r>
    </w:p>
    <w:p>
      <w:pPr>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rPr>
        <w:t>符合上述条件的，主管部门应当及时接管；不符合的，主管部门应当一次性告知</w:t>
      </w:r>
      <w:r>
        <w:rPr>
          <w:rFonts w:hint="eastAsia" w:ascii="仿宋_GB2312" w:hAnsi="仿宋" w:eastAsia="仿宋_GB2312"/>
          <w:sz w:val="32"/>
          <w:szCs w:val="32"/>
        </w:rPr>
        <w:t>需要改正的内容。</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第十七条</w:t>
      </w:r>
      <w:r>
        <w:rPr>
          <w:rFonts w:hint="eastAsia" w:ascii="仿宋_GB2312" w:hAnsi="仿宋" w:eastAsia="仿宋_GB2312"/>
          <w:color w:val="000000"/>
          <w:sz w:val="32"/>
          <w:szCs w:val="32"/>
        </w:rPr>
        <w:t>【</w:t>
      </w:r>
      <w:r>
        <w:rPr>
          <w:rFonts w:hint="eastAsia" w:ascii="黑体" w:hAnsi="仿宋" w:eastAsia="黑体"/>
          <w:color w:val="000000"/>
          <w:sz w:val="32"/>
          <w:szCs w:val="32"/>
        </w:rPr>
        <w:t>竣工资料备案</w:t>
      </w:r>
      <w:r>
        <w:rPr>
          <w:rFonts w:hint="eastAsia" w:ascii="仿宋_GB2312" w:hAnsi="仿宋" w:eastAsia="仿宋_GB2312"/>
          <w:color w:val="000000"/>
          <w:sz w:val="32"/>
          <w:szCs w:val="32"/>
        </w:rPr>
        <w:t>】实行“三同时”的建设项目，建设单位在组织竣工验收时应当按经批准的设计方案一并验收城市照明设施；在进行竣工验收备案时，备案材料中应当包含城市照明内容。</w:t>
      </w:r>
    </w:p>
    <w:p>
      <w:pPr>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第十八条</w:t>
      </w:r>
      <w:r>
        <w:rPr>
          <w:rFonts w:hint="eastAsia" w:ascii="仿宋_GB2312" w:hAnsi="仿宋" w:eastAsia="仿宋_GB2312"/>
          <w:color w:val="000000"/>
          <w:sz w:val="32"/>
          <w:szCs w:val="32"/>
        </w:rPr>
        <w:t>【</w:t>
      </w:r>
      <w:r>
        <w:rPr>
          <w:rFonts w:hint="eastAsia" w:ascii="黑体" w:hAnsi="仿宋" w:eastAsia="黑体"/>
          <w:color w:val="000000"/>
          <w:sz w:val="32"/>
          <w:szCs w:val="32"/>
        </w:rPr>
        <w:t>迁移、拆除、改动备案</w:t>
      </w:r>
      <w:r>
        <w:rPr>
          <w:rFonts w:hint="eastAsia" w:ascii="仿宋_GB2312" w:hAnsi="仿宋" w:eastAsia="仿宋_GB2312"/>
          <w:color w:val="000000"/>
          <w:sz w:val="32"/>
          <w:szCs w:val="32"/>
        </w:rPr>
        <w:t>】 未由主管部门管理的城市照明设施迁移、拆除、改动的，建设单位应当将迁移、拆除、改动方案送主管部门备案。</w:t>
      </w:r>
    </w:p>
    <w:p>
      <w:pPr>
        <w:widowControl/>
        <w:ind w:firstLine="640" w:firstLineChars="200"/>
        <w:jc w:val="left"/>
        <w:rPr>
          <w:rFonts w:ascii="仿宋_GB2312" w:hAnsi="仿宋" w:eastAsia="仿宋_GB2312"/>
          <w:color w:val="FF0000"/>
          <w:sz w:val="32"/>
          <w:szCs w:val="32"/>
        </w:rPr>
      </w:pPr>
      <w:r>
        <w:rPr>
          <w:rFonts w:hint="eastAsia" w:ascii="黑体" w:hAnsi="仿宋" w:eastAsia="黑体"/>
          <w:color w:val="000000"/>
          <w:sz w:val="32"/>
          <w:szCs w:val="32"/>
        </w:rPr>
        <w:t>第十九条</w:t>
      </w:r>
      <w:r>
        <w:rPr>
          <w:rFonts w:hint="eastAsia" w:ascii="仿宋_GB2312" w:hAnsi="仿宋" w:eastAsia="仿宋_GB2312"/>
          <w:color w:val="000000"/>
          <w:sz w:val="32"/>
          <w:szCs w:val="32"/>
        </w:rPr>
        <w:t>【</w:t>
      </w:r>
      <w:r>
        <w:rPr>
          <w:rFonts w:hint="eastAsia" w:ascii="黑体" w:hAnsi="仿宋" w:eastAsia="黑体"/>
          <w:color w:val="000000"/>
          <w:sz w:val="32"/>
          <w:szCs w:val="32"/>
        </w:rPr>
        <w:t>功能照明</w:t>
      </w:r>
      <w:r>
        <w:rPr>
          <w:rFonts w:ascii="黑体" w:hAnsi="仿宋" w:eastAsia="黑体"/>
          <w:color w:val="000000"/>
          <w:sz w:val="32"/>
          <w:szCs w:val="32"/>
        </w:rPr>
        <w:t>建设要求</w:t>
      </w:r>
      <w:r>
        <w:rPr>
          <w:rFonts w:hint="eastAsia" w:ascii="仿宋_GB2312" w:hAnsi="仿宋" w:eastAsia="仿宋_GB2312"/>
          <w:color w:val="000000"/>
          <w:sz w:val="32"/>
          <w:szCs w:val="32"/>
        </w:rPr>
        <w:t>】 新建、改建、扩建城市道路的，道路照明装灯率应当达到100％。现有</w:t>
      </w:r>
      <w:r>
        <w:rPr>
          <w:rFonts w:hint="eastAsia" w:ascii="仿宋_GB2312" w:hAnsi="仿宋" w:eastAsia="仿宋_GB2312"/>
          <w:sz w:val="32"/>
          <w:szCs w:val="32"/>
        </w:rPr>
        <w:t>城市道路</w:t>
      </w:r>
      <w:r>
        <w:rPr>
          <w:rFonts w:hint="eastAsia" w:ascii="仿宋_GB2312" w:hAnsi="仿宋" w:eastAsia="仿宋_GB2312"/>
          <w:color w:val="000000"/>
          <w:sz w:val="32"/>
          <w:szCs w:val="32"/>
        </w:rPr>
        <w:t>未</w:t>
      </w:r>
      <w:r>
        <w:rPr>
          <w:rFonts w:hint="eastAsia" w:ascii="仿宋_GB2312" w:hAnsi="仿宋" w:eastAsia="仿宋_GB2312"/>
          <w:sz w:val="32"/>
          <w:szCs w:val="32"/>
        </w:rPr>
        <w:t>配套建设道路功能照明设施的，主管部门应当逐步改造完善。</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功能</w:t>
      </w:r>
      <w:r>
        <w:rPr>
          <w:rFonts w:ascii="仿宋_GB2312" w:hAnsi="仿宋" w:eastAsia="仿宋_GB2312"/>
          <w:color w:val="000000"/>
          <w:sz w:val="32"/>
          <w:szCs w:val="32"/>
        </w:rPr>
        <w:t>照明设施</w:t>
      </w:r>
      <w:r>
        <w:rPr>
          <w:rFonts w:hint="eastAsia" w:ascii="仿宋_GB2312" w:hAnsi="仿宋" w:eastAsia="仿宋_GB2312"/>
          <w:color w:val="000000"/>
          <w:sz w:val="32"/>
          <w:szCs w:val="32"/>
        </w:rPr>
        <w:t>应当</w:t>
      </w:r>
      <w:r>
        <w:rPr>
          <w:rFonts w:ascii="仿宋_GB2312" w:hAnsi="仿宋" w:eastAsia="仿宋_GB2312"/>
          <w:color w:val="000000"/>
          <w:sz w:val="32"/>
          <w:szCs w:val="32"/>
        </w:rPr>
        <w:t>按照规定敷设</w:t>
      </w:r>
      <w:r>
        <w:rPr>
          <w:rFonts w:hint="eastAsia" w:ascii="仿宋_GB2312" w:hAnsi="仿宋" w:eastAsia="仿宋_GB2312"/>
          <w:color w:val="000000"/>
          <w:sz w:val="32"/>
          <w:szCs w:val="32"/>
        </w:rPr>
        <w:t>地下</w:t>
      </w:r>
      <w:r>
        <w:rPr>
          <w:rFonts w:ascii="仿宋_GB2312" w:hAnsi="仿宋" w:eastAsia="仿宋_GB2312"/>
          <w:color w:val="000000"/>
          <w:sz w:val="32"/>
          <w:szCs w:val="32"/>
        </w:rPr>
        <w:t>管线</w:t>
      </w:r>
      <w:r>
        <w:rPr>
          <w:rFonts w:hint="eastAsia" w:ascii="仿宋_GB2312" w:hAnsi="仿宋" w:eastAsia="仿宋_GB2312"/>
          <w:color w:val="000000"/>
          <w:sz w:val="32"/>
          <w:szCs w:val="32"/>
        </w:rPr>
        <w:t>；管线</w:t>
      </w:r>
      <w:r>
        <w:rPr>
          <w:rFonts w:ascii="仿宋_GB2312" w:hAnsi="仿宋" w:eastAsia="仿宋_GB2312"/>
          <w:color w:val="000000"/>
          <w:sz w:val="32"/>
          <w:szCs w:val="32"/>
        </w:rPr>
        <w:t>未敷设于地下的，应当逐步进行改造。</w:t>
      </w:r>
    </w:p>
    <w:p>
      <w:pPr>
        <w:ind w:left="838"/>
        <w:jc w:val="center"/>
        <w:rPr>
          <w:rFonts w:hint="eastAsia" w:ascii="黑体" w:hAnsi="黑体" w:eastAsia="黑体"/>
          <w:color w:val="000000"/>
          <w:sz w:val="32"/>
          <w:szCs w:val="32"/>
        </w:rPr>
      </w:pPr>
    </w:p>
    <w:p>
      <w:pPr>
        <w:ind w:left="838"/>
        <w:jc w:val="center"/>
        <w:rPr>
          <w:rFonts w:hint="eastAsia" w:ascii="黑体" w:hAnsi="黑体" w:eastAsia="黑体"/>
          <w:color w:val="000000"/>
          <w:sz w:val="32"/>
          <w:szCs w:val="32"/>
        </w:rPr>
      </w:pPr>
      <w:r>
        <w:rPr>
          <w:rFonts w:hint="eastAsia" w:ascii="黑体" w:hAnsi="黑体" w:eastAsia="黑体"/>
          <w:color w:val="000000"/>
          <w:sz w:val="32"/>
          <w:szCs w:val="32"/>
        </w:rPr>
        <w:t>第三章  维护和管理</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第二十条</w:t>
      </w:r>
      <w:r>
        <w:rPr>
          <w:rFonts w:hint="eastAsia" w:ascii="仿宋_GB2312" w:hAnsi="仿宋" w:eastAsia="仿宋_GB2312"/>
          <w:color w:val="000000"/>
          <w:sz w:val="32"/>
          <w:szCs w:val="32"/>
        </w:rPr>
        <w:t>【</w:t>
      </w:r>
      <w:r>
        <w:rPr>
          <w:rFonts w:hint="eastAsia" w:ascii="黑体" w:hAnsi="仿宋" w:eastAsia="黑体"/>
          <w:color w:val="000000"/>
          <w:sz w:val="32"/>
          <w:szCs w:val="32"/>
        </w:rPr>
        <w:t>功能照明维护管理人</w:t>
      </w:r>
      <w:r>
        <w:rPr>
          <w:rFonts w:hint="eastAsia" w:ascii="仿宋_GB2312" w:hAnsi="仿宋" w:eastAsia="仿宋_GB2312"/>
          <w:color w:val="000000"/>
          <w:sz w:val="32"/>
          <w:szCs w:val="32"/>
        </w:rPr>
        <w:t>】 功能照明设施的维护和管理，按照下列规定执行：</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（一）移交主管部门管理的城市道路照明设施，由主管部门进行维护管理；</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（二）隧道内的照明设施，由交通运输部门进行维护管理；</w:t>
      </w:r>
    </w:p>
    <w:p>
      <w:pPr>
        <w:ind w:firstLine="640" w:firstLineChars="200"/>
        <w:rPr>
          <w:rFonts w:hint="eastAsia" w:ascii="黑体" w:hAnsi="仿宋" w:eastAsia="黑体"/>
          <w:color w:val="FF0000"/>
          <w:sz w:val="32"/>
          <w:szCs w:val="32"/>
        </w:rPr>
      </w:pPr>
      <w:r>
        <w:rPr>
          <w:rFonts w:hint="eastAsia" w:ascii="仿宋_GB2312" w:hAnsi="仿宋" w:eastAsia="仿宋_GB2312"/>
          <w:color w:val="000000"/>
          <w:sz w:val="32"/>
          <w:szCs w:val="32"/>
        </w:rPr>
        <w:t>（三）第（一）项、第（二）项之外的功能照明设施，由所有人或者管理人进行维护管理。</w:t>
      </w:r>
    </w:p>
    <w:p>
      <w:pPr>
        <w:ind w:firstLine="640" w:firstLineChars="200"/>
        <w:rPr>
          <w:rFonts w:hint="eastAsia" w:ascii="仿宋_GB2312" w:hAnsi="仿宋" w:eastAsia="仿宋_GB2312"/>
          <w:sz w:val="32"/>
          <w:szCs w:val="32"/>
        </w:rPr>
      </w:pPr>
      <w:r>
        <w:rPr>
          <w:rFonts w:hint="eastAsia" w:ascii="黑体" w:hAnsi="仿宋" w:eastAsia="黑体"/>
          <w:sz w:val="32"/>
          <w:szCs w:val="32"/>
        </w:rPr>
        <w:t>第二十一条</w:t>
      </w:r>
      <w:r>
        <w:rPr>
          <w:rFonts w:hint="eastAsia" w:ascii="仿宋_GB2312" w:hAnsi="仿宋" w:eastAsia="仿宋_GB2312"/>
          <w:sz w:val="32"/>
          <w:szCs w:val="32"/>
        </w:rPr>
        <w:t>【</w:t>
      </w:r>
      <w:r>
        <w:rPr>
          <w:rFonts w:hint="eastAsia" w:ascii="黑体" w:hAnsi="仿宋" w:eastAsia="黑体"/>
          <w:sz w:val="32"/>
          <w:szCs w:val="32"/>
        </w:rPr>
        <w:t>景观照明维护管理人</w:t>
      </w:r>
      <w:r>
        <w:rPr>
          <w:rFonts w:hint="eastAsia" w:ascii="仿宋_GB2312" w:hAnsi="仿宋" w:eastAsia="仿宋_GB2312"/>
          <w:sz w:val="32"/>
          <w:szCs w:val="32"/>
        </w:rPr>
        <w:t>】 景观照明设施的维护和管理，按照下列规定执行：</w:t>
      </w:r>
    </w:p>
    <w:p>
      <w:pPr>
        <w:numPr>
          <w:ilvl w:val="0"/>
          <w:numId w:val="2"/>
        </w:numPr>
        <w:ind w:left="0"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政府投资建设的景观照明设施，在公共设施和住宅区的，由主管部门负责维护管理，费用由财政资金承担。</w:t>
      </w:r>
    </w:p>
    <w:p>
      <w:pPr>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政府投资</w:t>
      </w:r>
      <w:r>
        <w:rPr>
          <w:rFonts w:hint="eastAsia" w:ascii="仿宋_GB2312" w:hAnsi="仿宋" w:eastAsia="仿宋_GB2312"/>
          <w:color w:val="000000"/>
          <w:sz w:val="32"/>
          <w:szCs w:val="32"/>
        </w:rPr>
        <w:t>建设的景观照明设施，</w:t>
      </w:r>
      <w:r>
        <w:rPr>
          <w:rFonts w:hint="eastAsia" w:ascii="仿宋_GB2312" w:hAnsi="仿宋" w:eastAsia="仿宋_GB2312"/>
          <w:sz w:val="32"/>
          <w:szCs w:val="32"/>
        </w:rPr>
        <w:t>在商</w:t>
      </w:r>
      <w:r>
        <w:rPr>
          <w:rFonts w:hint="eastAsia" w:ascii="仿宋_GB2312" w:hAnsi="仿宋" w:eastAsia="仿宋_GB2312"/>
          <w:color w:val="000000"/>
          <w:sz w:val="32"/>
          <w:szCs w:val="32"/>
        </w:rPr>
        <w:t>业楼宇（含写字楼、酒店和公寓等）和其他经营性建（构）筑物上的，</w:t>
      </w:r>
      <w:r>
        <w:rPr>
          <w:rFonts w:hint="eastAsia" w:ascii="仿宋_GB2312" w:hAnsi="仿宋" w:eastAsia="仿宋_GB2312"/>
          <w:sz w:val="32"/>
          <w:szCs w:val="32"/>
        </w:rPr>
        <w:t>主管部门可以委托</w:t>
      </w:r>
      <w:r>
        <w:rPr>
          <w:rFonts w:hint="eastAsia" w:ascii="仿宋_GB2312" w:hAnsi="仿宋" w:eastAsia="仿宋_GB2312"/>
          <w:color w:val="000000"/>
          <w:sz w:val="32"/>
          <w:szCs w:val="32"/>
        </w:rPr>
        <w:t>建（构）筑物所有人负责维护管理，财政部门按有关规定给予维护费和电费补贴；</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社会投资建设的景观照明设施，由所有人或者管理人进行维护管理。其中，纳入城市照明智能控制系统并位于重点区域的，或者按主管部门要求亮灯的建筑物内部照明，由财政部门按有关规定给予维护费和电费补贴。</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维护费和电费补贴的具体办法，由市主管部门会同市财政部门另行制订，经市政府批准后公布实施。</w:t>
      </w:r>
    </w:p>
    <w:p>
      <w:pPr>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第二十二条</w:t>
      </w:r>
      <w:r>
        <w:rPr>
          <w:rFonts w:hint="eastAsia" w:ascii="仿宋_GB2312" w:hAnsi="仿宋" w:eastAsia="仿宋_GB2312"/>
          <w:color w:val="000000"/>
          <w:sz w:val="32"/>
          <w:szCs w:val="32"/>
        </w:rPr>
        <w:t>【</w:t>
      </w:r>
      <w:r>
        <w:rPr>
          <w:rFonts w:hint="eastAsia" w:ascii="黑体" w:hAnsi="仿宋" w:eastAsia="黑体"/>
          <w:color w:val="000000"/>
          <w:sz w:val="32"/>
          <w:szCs w:val="32"/>
        </w:rPr>
        <w:t>委托维护</w:t>
      </w:r>
      <w:r>
        <w:rPr>
          <w:rFonts w:hint="eastAsia" w:ascii="仿宋_GB2312" w:hAnsi="仿宋" w:eastAsia="仿宋_GB2312"/>
          <w:color w:val="000000"/>
          <w:sz w:val="32"/>
          <w:szCs w:val="32"/>
        </w:rPr>
        <w:t>】 主管部门、交通运输部门负责维护管理的城市照明设施，应当采用招标等公开竞争方式选择维护管理单位进行日常维护。</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城市照明设施的维护标准和监管办法，由市主管部门另行制定。</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第二十三条</w:t>
      </w:r>
      <w:r>
        <w:rPr>
          <w:rFonts w:hint="eastAsia" w:ascii="仿宋_GB2312" w:hAnsi="仿宋" w:eastAsia="仿宋_GB2312"/>
          <w:color w:val="000000"/>
          <w:sz w:val="32"/>
          <w:szCs w:val="32"/>
        </w:rPr>
        <w:t>【</w:t>
      </w:r>
      <w:r>
        <w:rPr>
          <w:rFonts w:hint="eastAsia" w:ascii="黑体" w:hAnsi="仿宋" w:eastAsia="黑体"/>
          <w:color w:val="000000"/>
          <w:sz w:val="32"/>
          <w:szCs w:val="32"/>
        </w:rPr>
        <w:t>城市照明设施维护管理要求</w:t>
      </w:r>
      <w:r>
        <w:rPr>
          <w:rFonts w:hint="eastAsia" w:ascii="仿宋_GB2312" w:hAnsi="仿宋" w:eastAsia="仿宋_GB2312"/>
          <w:color w:val="000000"/>
          <w:sz w:val="32"/>
          <w:szCs w:val="32"/>
        </w:rPr>
        <w:t>】城市照明设施的维护管理</w:t>
      </w:r>
      <w:r>
        <w:rPr>
          <w:rFonts w:ascii="仿宋_GB2312" w:hAnsi="仿宋" w:eastAsia="仿宋_GB2312"/>
          <w:color w:val="000000"/>
          <w:sz w:val="32"/>
          <w:szCs w:val="32"/>
        </w:rPr>
        <w:t>单位</w:t>
      </w:r>
      <w:r>
        <w:rPr>
          <w:rFonts w:hint="eastAsia" w:ascii="仿宋_GB2312" w:hAnsi="仿宋" w:eastAsia="仿宋_GB2312"/>
          <w:color w:val="000000"/>
          <w:sz w:val="32"/>
          <w:szCs w:val="32"/>
        </w:rPr>
        <w:t>，应当保持设施的完整、功能良好和外观整洁，保障安全运行和正常使用；出现故障和</w:t>
      </w:r>
      <w:r>
        <w:rPr>
          <w:rFonts w:ascii="仿宋_GB2312" w:hAnsi="仿宋" w:eastAsia="仿宋_GB2312"/>
          <w:color w:val="000000"/>
          <w:sz w:val="32"/>
          <w:szCs w:val="32"/>
        </w:rPr>
        <w:t>损坏</w:t>
      </w:r>
      <w:r>
        <w:rPr>
          <w:rFonts w:hint="eastAsia" w:ascii="仿宋_GB2312" w:hAnsi="仿宋" w:eastAsia="仿宋_GB2312"/>
          <w:color w:val="000000"/>
          <w:sz w:val="32"/>
          <w:szCs w:val="32"/>
        </w:rPr>
        <w:t>的，应当及时修复</w:t>
      </w:r>
      <w:r>
        <w:rPr>
          <w:rFonts w:ascii="仿宋_GB2312" w:hAnsi="仿宋" w:eastAsia="仿宋_GB2312"/>
          <w:color w:val="000000"/>
          <w:sz w:val="32"/>
          <w:szCs w:val="32"/>
        </w:rPr>
        <w:t>、更换</w:t>
      </w:r>
      <w:r>
        <w:rPr>
          <w:rFonts w:hint="eastAsia" w:ascii="仿宋_GB2312" w:hAnsi="仿宋" w:eastAsia="仿宋_GB2312"/>
          <w:color w:val="000000"/>
          <w:sz w:val="32"/>
          <w:szCs w:val="32"/>
        </w:rPr>
        <w:t>。</w:t>
      </w:r>
    </w:p>
    <w:p>
      <w:pPr>
        <w:ind w:firstLine="640" w:firstLineChars="200"/>
        <w:rPr>
          <w:rFonts w:hint="eastAsia" w:ascii="仿宋_GB2312" w:hAnsi="仿宋" w:eastAsia="仿宋_GB2312"/>
          <w:color w:val="FF0000"/>
          <w:sz w:val="32"/>
          <w:szCs w:val="32"/>
        </w:rPr>
      </w:pPr>
      <w:r>
        <w:rPr>
          <w:rFonts w:hint="eastAsia" w:ascii="黑体" w:hAnsi="仿宋" w:eastAsia="黑体"/>
          <w:color w:val="000000"/>
          <w:sz w:val="32"/>
          <w:szCs w:val="32"/>
        </w:rPr>
        <w:t>第二十四条</w:t>
      </w:r>
      <w:r>
        <w:rPr>
          <w:rFonts w:hint="eastAsia" w:ascii="仿宋_GB2312" w:hAnsi="仿宋" w:eastAsia="仿宋_GB2312"/>
          <w:color w:val="000000"/>
          <w:sz w:val="32"/>
          <w:szCs w:val="32"/>
        </w:rPr>
        <w:t>【</w:t>
      </w:r>
      <w:r>
        <w:rPr>
          <w:rFonts w:hint="eastAsia" w:ascii="黑体" w:hAnsi="仿宋" w:eastAsia="黑体"/>
          <w:color w:val="000000"/>
          <w:sz w:val="32"/>
          <w:szCs w:val="32"/>
        </w:rPr>
        <w:t>监督考核</w:t>
      </w:r>
      <w:r>
        <w:rPr>
          <w:rFonts w:hint="eastAsia" w:ascii="仿宋_GB2312" w:hAnsi="仿宋" w:eastAsia="仿宋_GB2312"/>
          <w:color w:val="000000"/>
          <w:sz w:val="32"/>
          <w:szCs w:val="32"/>
        </w:rPr>
        <w:t>】 市主管部门应当建立健全城市照明维护和管理的监督考核制度，定期组织对城市照明设施运行情况、照明实际效果、照明能耗等进行监督检查。</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第二十五条</w:t>
      </w:r>
      <w:r>
        <w:rPr>
          <w:rFonts w:hint="eastAsia" w:ascii="仿宋_GB2312" w:hAnsi="仿宋" w:eastAsia="仿宋_GB2312"/>
          <w:color w:val="000000"/>
          <w:sz w:val="32"/>
          <w:szCs w:val="32"/>
        </w:rPr>
        <w:t>【</w:t>
      </w:r>
      <w:r>
        <w:rPr>
          <w:rFonts w:hint="eastAsia" w:ascii="黑体" w:hAnsi="仿宋" w:eastAsia="黑体"/>
          <w:color w:val="000000"/>
          <w:sz w:val="32"/>
          <w:szCs w:val="32"/>
        </w:rPr>
        <w:t>亮灯率及故障处理</w:t>
      </w:r>
      <w:r>
        <w:rPr>
          <w:rFonts w:hint="eastAsia" w:ascii="仿宋_GB2312" w:hAnsi="仿宋" w:eastAsia="仿宋_GB2312"/>
          <w:color w:val="000000"/>
          <w:sz w:val="32"/>
          <w:szCs w:val="32"/>
        </w:rPr>
        <w:t>】 快速路、主干路的照明设施亮灯率应当达到98%，次干路、支路的亮灯率应当达到96%。</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城市道路照明设施发生故障的，维护管理单位应当在发现故障或者接到报告后立即抢修。单盏灭灯等简单故障应当在24小时内处理完毕；线路、设备损坏等较复杂故障应当在3日内处理完毕；涉及改造、整治，无特殊配件等原因不能按时修复的故障，维护管理单位应当采取设置公告提醒等措施预防事故发生。</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主管部门、交通运输部门应当制定城市道路照明设施突发事故应急预案，</w:t>
      </w:r>
      <w:r>
        <w:rPr>
          <w:rFonts w:ascii="仿宋_GB2312" w:hAnsi="仿宋" w:eastAsia="仿宋_GB2312"/>
          <w:color w:val="000000"/>
          <w:sz w:val="32"/>
          <w:szCs w:val="32"/>
        </w:rPr>
        <w:t>并组织演练，确保紧急情况下城市道路照明</w:t>
      </w:r>
      <w:r>
        <w:rPr>
          <w:rFonts w:hint="eastAsia" w:ascii="仿宋_GB2312" w:hAnsi="仿宋" w:eastAsia="仿宋_GB2312"/>
          <w:color w:val="000000"/>
          <w:sz w:val="32"/>
          <w:szCs w:val="32"/>
        </w:rPr>
        <w:t>设施</w:t>
      </w:r>
      <w:r>
        <w:rPr>
          <w:rFonts w:ascii="仿宋_GB2312" w:hAnsi="仿宋" w:eastAsia="仿宋_GB2312"/>
          <w:color w:val="000000"/>
          <w:sz w:val="32"/>
          <w:szCs w:val="32"/>
        </w:rPr>
        <w:t>的</w:t>
      </w:r>
      <w:r>
        <w:rPr>
          <w:rFonts w:hint="eastAsia" w:ascii="仿宋_GB2312" w:hAnsi="仿宋" w:eastAsia="仿宋_GB2312"/>
          <w:color w:val="000000"/>
          <w:sz w:val="32"/>
          <w:szCs w:val="32"/>
        </w:rPr>
        <w:t>正常运行。</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第二十六条</w:t>
      </w:r>
      <w:r>
        <w:rPr>
          <w:rFonts w:hint="eastAsia" w:ascii="仿宋_GB2312" w:hAnsi="仿宋" w:eastAsia="仿宋_GB2312"/>
          <w:color w:val="000000"/>
          <w:sz w:val="32"/>
          <w:szCs w:val="32"/>
        </w:rPr>
        <w:t>【</w:t>
      </w:r>
      <w:r>
        <w:rPr>
          <w:rFonts w:hint="eastAsia" w:ascii="黑体" w:hAnsi="仿宋" w:eastAsia="黑体"/>
          <w:color w:val="000000"/>
          <w:sz w:val="32"/>
          <w:szCs w:val="32"/>
        </w:rPr>
        <w:t>特别保护规定</w:t>
      </w:r>
      <w:r>
        <w:rPr>
          <w:rFonts w:hint="eastAsia" w:ascii="仿宋_GB2312" w:hAnsi="仿宋" w:eastAsia="仿宋_GB2312"/>
          <w:color w:val="000000"/>
          <w:sz w:val="32"/>
          <w:szCs w:val="32"/>
        </w:rPr>
        <w:t>】 任何单位和个人不得擅自迁移、拆除、改动城市道路照明设施或者在城市道路照明管线上方开挖。</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建设项目确需迁移、拆除、改动城市道路照明设施或者在城市道路照明管线上方开挖的，建设单位应当按照技术规范制定临时城市道路照明方案和施工安全防护方案，并与主管部门、交通运输部门签订保护协议，明确双方责任后方可施工。工程竣工时，建设单位应当同时恢复城市道路照明设施；不能恢复的应当新建城市道路照明设施并办理移交接管手续。</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因应急抢险对城市道路照明设施造成损坏的，应急抢险单位应当及时通知主管部门，并在应急抢险结束后5日内补办手续并承担修复费用。</w:t>
      </w:r>
    </w:p>
    <w:p>
      <w:pPr>
        <w:widowControl/>
        <w:ind w:firstLine="640" w:firstLineChars="200"/>
        <w:jc w:val="left"/>
        <w:rPr>
          <w:rFonts w:hint="eastAsia" w:ascii="仿宋_GB2312" w:hAnsi="仿宋" w:eastAsia="仿宋_GB2312"/>
          <w:color w:val="000000"/>
          <w:sz w:val="32"/>
          <w:szCs w:val="32"/>
        </w:rPr>
      </w:pPr>
      <w:r>
        <w:rPr>
          <w:rFonts w:hint="eastAsia" w:ascii="黑体" w:hAnsi="仿宋" w:eastAsia="黑体"/>
          <w:color w:val="000000"/>
          <w:sz w:val="32"/>
          <w:szCs w:val="32"/>
        </w:rPr>
        <w:t>第二十七条</w:t>
      </w:r>
      <w:r>
        <w:rPr>
          <w:rFonts w:hint="eastAsia" w:ascii="仿宋_GB2312" w:hAnsi="仿宋" w:eastAsia="仿宋_GB2312"/>
          <w:color w:val="000000"/>
          <w:sz w:val="32"/>
          <w:szCs w:val="32"/>
        </w:rPr>
        <w:t>【</w:t>
      </w:r>
      <w:r>
        <w:rPr>
          <w:rFonts w:hint="eastAsia" w:ascii="黑体" w:hAnsi="仿宋" w:eastAsia="黑体"/>
          <w:color w:val="000000"/>
          <w:sz w:val="32"/>
          <w:szCs w:val="32"/>
        </w:rPr>
        <w:t>外接电</w:t>
      </w:r>
      <w:r>
        <w:rPr>
          <w:rFonts w:hint="eastAsia" w:ascii="仿宋_GB2312" w:hAnsi="仿宋" w:eastAsia="仿宋_GB2312"/>
          <w:color w:val="000000"/>
          <w:sz w:val="32"/>
          <w:szCs w:val="32"/>
        </w:rPr>
        <w:t>】 禁止擅自从城市道路照明设施接电。</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交通</w:t>
      </w:r>
      <w:r>
        <w:rPr>
          <w:rFonts w:ascii="仿宋_GB2312" w:hAnsi="仿宋" w:eastAsia="仿宋_GB2312"/>
          <w:color w:val="000000"/>
          <w:sz w:val="32"/>
          <w:szCs w:val="32"/>
        </w:rPr>
        <w:t>、市政</w:t>
      </w:r>
      <w:r>
        <w:rPr>
          <w:rFonts w:hint="eastAsia" w:ascii="仿宋_GB2312" w:hAnsi="仿宋" w:eastAsia="仿宋_GB2312"/>
          <w:color w:val="000000"/>
          <w:sz w:val="32"/>
          <w:szCs w:val="32"/>
        </w:rPr>
        <w:t>等设施确需从城市道路照明设施接电的，应当经主管部门和供电企业同意，并与主管部门办理用电手续和签订协议，明确双方责任。</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第二十八条</w:t>
      </w:r>
      <w:r>
        <w:rPr>
          <w:rFonts w:hint="eastAsia" w:ascii="仿宋_GB2312" w:hAnsi="仿宋" w:eastAsia="仿宋_GB2312"/>
          <w:color w:val="000000"/>
          <w:sz w:val="32"/>
          <w:szCs w:val="32"/>
        </w:rPr>
        <w:t>【</w:t>
      </w:r>
      <w:r>
        <w:rPr>
          <w:rFonts w:hint="eastAsia" w:ascii="黑体" w:hAnsi="仿宋" w:eastAsia="黑体"/>
          <w:color w:val="000000"/>
          <w:sz w:val="32"/>
          <w:szCs w:val="32"/>
        </w:rPr>
        <w:t>设置广告或装饰物</w:t>
      </w:r>
      <w:r>
        <w:rPr>
          <w:rFonts w:hint="eastAsia" w:ascii="仿宋_GB2312" w:hAnsi="仿宋" w:eastAsia="仿宋_GB2312"/>
          <w:color w:val="000000"/>
          <w:sz w:val="32"/>
          <w:szCs w:val="32"/>
        </w:rPr>
        <w:t>】 禁止擅自在城市道路照明设施上设置广告或者装饰物。</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举行节日庆典活动，确需在城市道路照明设施上临时设置公益广告或者装饰物的，</w:t>
      </w:r>
      <w:r>
        <w:rPr>
          <w:rFonts w:hint="eastAsia" w:ascii="仿宋_GB2312" w:hAnsi="仿宋" w:eastAsia="仿宋_GB2312"/>
          <w:sz w:val="32"/>
          <w:szCs w:val="32"/>
        </w:rPr>
        <w:t>应当事先经主管部门同意,</w:t>
      </w:r>
      <w:r>
        <w:rPr>
          <w:rFonts w:hint="eastAsia" w:ascii="仿宋_GB2312" w:hAnsi="仿宋" w:eastAsia="仿宋_GB2312"/>
          <w:color w:val="000000"/>
          <w:sz w:val="32"/>
          <w:szCs w:val="32"/>
        </w:rPr>
        <w:t>举办方对设置物的使用安全负责。</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活动结束后，举办方应当在3日内拆除、清理设置物，恢复城市道路照明设施原状。因设置物造成城市道路照明设施损坏的，举办方应当承担修复费用。</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第二十九条</w:t>
      </w:r>
      <w:r>
        <w:rPr>
          <w:rFonts w:hint="eastAsia" w:ascii="仿宋_GB2312" w:hAnsi="仿宋" w:eastAsia="仿宋_GB2312"/>
          <w:color w:val="000000"/>
          <w:sz w:val="32"/>
          <w:szCs w:val="32"/>
        </w:rPr>
        <w:t>【</w:t>
      </w:r>
      <w:r>
        <w:rPr>
          <w:rFonts w:hint="eastAsia" w:ascii="黑体" w:hAnsi="仿宋" w:eastAsia="黑体"/>
          <w:color w:val="000000"/>
          <w:sz w:val="32"/>
          <w:szCs w:val="32"/>
        </w:rPr>
        <w:t>禁止行为</w:t>
      </w:r>
      <w:r>
        <w:rPr>
          <w:rFonts w:hint="eastAsia" w:ascii="仿宋_GB2312" w:hAnsi="仿宋" w:eastAsia="仿宋_GB2312"/>
          <w:color w:val="000000"/>
          <w:sz w:val="32"/>
          <w:szCs w:val="32"/>
        </w:rPr>
        <w:t>】 禁止下列妨碍或者损坏城市</w:t>
      </w:r>
      <w:r>
        <w:rPr>
          <w:rFonts w:hint="eastAsia" w:ascii="仿宋_GB2312" w:hAnsi="仿宋" w:eastAsia="仿宋_GB2312"/>
          <w:sz w:val="32"/>
          <w:szCs w:val="32"/>
        </w:rPr>
        <w:t>照明设施的</w:t>
      </w:r>
      <w:r>
        <w:rPr>
          <w:rFonts w:hint="eastAsia" w:ascii="仿宋_GB2312" w:hAnsi="仿宋" w:eastAsia="仿宋_GB2312"/>
          <w:color w:val="000000"/>
          <w:sz w:val="32"/>
          <w:szCs w:val="32"/>
        </w:rPr>
        <w:t xml:space="preserve">行为： </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（一）在城市照明设施上刻划、涂污、张贴、</w:t>
      </w:r>
      <w:r>
        <w:rPr>
          <w:rFonts w:ascii="仿宋_GB2312" w:hAnsi="仿宋" w:eastAsia="仿宋_GB2312"/>
          <w:color w:val="000000"/>
          <w:sz w:val="32"/>
          <w:szCs w:val="32"/>
        </w:rPr>
        <w:t>晾晒</w:t>
      </w:r>
      <w:r>
        <w:rPr>
          <w:rFonts w:hint="eastAsia" w:ascii="仿宋_GB2312" w:hAnsi="仿宋" w:eastAsia="仿宋_GB2312"/>
          <w:color w:val="000000"/>
          <w:sz w:val="32"/>
          <w:szCs w:val="32"/>
        </w:rPr>
        <w:t>；</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（二）在城市照明设施周边1米</w:t>
      </w:r>
      <w:r>
        <w:rPr>
          <w:rFonts w:ascii="仿宋_GB2312" w:hAnsi="仿宋" w:eastAsia="仿宋_GB2312"/>
          <w:color w:val="000000"/>
          <w:sz w:val="32"/>
          <w:szCs w:val="32"/>
        </w:rPr>
        <w:t>以</w:t>
      </w:r>
      <w:r>
        <w:rPr>
          <w:rFonts w:hint="eastAsia" w:ascii="仿宋_GB2312" w:hAnsi="仿宋" w:eastAsia="仿宋_GB2312"/>
          <w:color w:val="000000"/>
          <w:sz w:val="32"/>
          <w:szCs w:val="32"/>
        </w:rPr>
        <w:t>内倾倒腐蚀物；</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（三）擅自在城市照明设施上架设管线或者安置其他设施；</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（四）擅自操作城市照明开关设施或者改变其运行方式；</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（五）法律、法规和规章规定的其他行为。</w:t>
      </w:r>
    </w:p>
    <w:p>
      <w:pPr>
        <w:ind w:firstLine="640" w:firstLineChars="200"/>
        <w:rPr>
          <w:rFonts w:hint="eastAsia" w:ascii="仿宋_GB2312" w:hAnsi="仿宋" w:eastAsia="仿宋_GB2312"/>
          <w:b/>
          <w:color w:val="000000"/>
          <w:sz w:val="32"/>
          <w:szCs w:val="32"/>
        </w:rPr>
      </w:pPr>
      <w:r>
        <w:rPr>
          <w:rFonts w:hint="eastAsia" w:ascii="黑体" w:hAnsi="仿宋" w:eastAsia="黑体"/>
          <w:color w:val="000000"/>
          <w:sz w:val="32"/>
          <w:szCs w:val="32"/>
        </w:rPr>
        <w:t>第三十条</w:t>
      </w:r>
      <w:r>
        <w:rPr>
          <w:rFonts w:hint="eastAsia" w:ascii="仿宋_GB2312" w:hAnsi="仿宋" w:eastAsia="仿宋_GB2312"/>
          <w:color w:val="000000"/>
          <w:sz w:val="32"/>
          <w:szCs w:val="32"/>
        </w:rPr>
        <w:t>【</w:t>
      </w:r>
      <w:r>
        <w:rPr>
          <w:rFonts w:hint="eastAsia" w:ascii="黑体" w:hAnsi="仿宋" w:eastAsia="黑体"/>
          <w:color w:val="000000"/>
          <w:sz w:val="32"/>
          <w:szCs w:val="32"/>
        </w:rPr>
        <w:t>事故损坏赔偿</w:t>
      </w:r>
      <w:r>
        <w:rPr>
          <w:rFonts w:hint="eastAsia" w:ascii="仿宋_GB2312" w:hAnsi="仿宋" w:eastAsia="仿宋_GB2312"/>
          <w:color w:val="000000"/>
          <w:sz w:val="32"/>
          <w:szCs w:val="32"/>
        </w:rPr>
        <w:t>】 因交通事故或者</w:t>
      </w:r>
      <w:r>
        <w:rPr>
          <w:rFonts w:ascii="仿宋_GB2312" w:hAnsi="仿宋" w:eastAsia="仿宋_GB2312"/>
          <w:color w:val="000000"/>
          <w:sz w:val="32"/>
          <w:szCs w:val="32"/>
        </w:rPr>
        <w:t>其他原因</w:t>
      </w:r>
      <w:r>
        <w:rPr>
          <w:rFonts w:hint="eastAsia" w:ascii="仿宋_GB2312" w:hAnsi="仿宋" w:eastAsia="仿宋_GB2312"/>
          <w:color w:val="000000"/>
          <w:sz w:val="32"/>
          <w:szCs w:val="32"/>
        </w:rPr>
        <w:t>损坏城市道路照明设施的，事故责任人应当妥善保护事故</w:t>
      </w:r>
      <w:r>
        <w:rPr>
          <w:rFonts w:ascii="仿宋_GB2312" w:hAnsi="仿宋" w:eastAsia="仿宋_GB2312"/>
          <w:color w:val="000000"/>
          <w:sz w:val="32"/>
          <w:szCs w:val="32"/>
        </w:rPr>
        <w:t>现场，</w:t>
      </w:r>
      <w:r>
        <w:rPr>
          <w:rFonts w:hint="eastAsia" w:ascii="仿宋_GB2312" w:hAnsi="仿宋" w:eastAsia="仿宋_GB2312"/>
          <w:color w:val="000000"/>
          <w:sz w:val="32"/>
          <w:szCs w:val="32"/>
        </w:rPr>
        <w:t>防止</w:t>
      </w:r>
      <w:r>
        <w:rPr>
          <w:rFonts w:ascii="仿宋_GB2312" w:hAnsi="仿宋" w:eastAsia="仿宋_GB2312"/>
          <w:color w:val="000000"/>
          <w:sz w:val="32"/>
          <w:szCs w:val="32"/>
        </w:rPr>
        <w:t>事故扩大，立即通知</w:t>
      </w:r>
      <w:r>
        <w:rPr>
          <w:rFonts w:hint="eastAsia" w:ascii="仿宋_GB2312" w:hAnsi="仿宋" w:eastAsia="仿宋_GB2312"/>
          <w:color w:val="000000"/>
          <w:sz w:val="32"/>
          <w:szCs w:val="32"/>
        </w:rPr>
        <w:t>相关单位</w:t>
      </w:r>
      <w:r>
        <w:rPr>
          <w:rFonts w:ascii="仿宋_GB2312" w:hAnsi="仿宋" w:eastAsia="仿宋_GB2312"/>
          <w:color w:val="000000"/>
          <w:sz w:val="32"/>
          <w:szCs w:val="32"/>
        </w:rPr>
        <w:t>，并</w:t>
      </w:r>
      <w:r>
        <w:rPr>
          <w:rFonts w:hint="eastAsia" w:ascii="仿宋_GB2312" w:hAnsi="仿宋" w:eastAsia="仿宋_GB2312"/>
          <w:color w:val="000000"/>
          <w:sz w:val="32"/>
          <w:szCs w:val="32"/>
        </w:rPr>
        <w:t>依法赔偿损失。</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第三十一条</w:t>
      </w:r>
      <w:r>
        <w:rPr>
          <w:rFonts w:hint="eastAsia" w:ascii="仿宋_GB2312" w:hAnsi="仿宋" w:eastAsia="仿宋_GB2312"/>
          <w:color w:val="000000"/>
          <w:sz w:val="32"/>
          <w:szCs w:val="32"/>
        </w:rPr>
        <w:t>【</w:t>
      </w:r>
      <w:r>
        <w:rPr>
          <w:rFonts w:hint="eastAsia" w:ascii="黑体" w:hAnsi="仿宋" w:eastAsia="黑体"/>
          <w:color w:val="000000"/>
          <w:sz w:val="32"/>
          <w:szCs w:val="32"/>
        </w:rPr>
        <w:t>绿化要求</w:t>
      </w:r>
      <w:r>
        <w:rPr>
          <w:rFonts w:hint="eastAsia" w:ascii="仿宋_GB2312" w:hAnsi="仿宋" w:eastAsia="仿宋_GB2312"/>
          <w:color w:val="000000"/>
          <w:sz w:val="32"/>
          <w:szCs w:val="32"/>
        </w:rPr>
        <w:t>】 绿化主管部门应当根据高度和枝叶密度科学合理选择绿化树种，绿化养护责任人应当按照技术规范要求及时修剪树枝，避免树木生长影响道路照明。</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行道树枝叶距灯杆、灯具的安全距离不得小于1米。</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新栽种的绿化乔木与路灯不得同排，与路灯的排间距应大于3.5米。</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高杆灯（高度20米以上路灯）灯盘半径5米范围内，禁止新栽种乔木。</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因台风、暴雨、地震等不可抗力危及城市道路照明设施安全运行的，维护管理单位可以先行修剪、砍伐树木，并及时通知绿化主管部门，在险情排除后5日内按照规定补办有关手续。</w:t>
      </w:r>
    </w:p>
    <w:p>
      <w:pPr>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第三十二条</w:t>
      </w:r>
      <w:r>
        <w:rPr>
          <w:rFonts w:hint="eastAsia" w:ascii="仿宋_GB2312" w:hAnsi="仿宋" w:eastAsia="仿宋_GB2312"/>
          <w:color w:val="000000"/>
          <w:sz w:val="32"/>
          <w:szCs w:val="32"/>
        </w:rPr>
        <w:t>【</w:t>
      </w:r>
      <w:r>
        <w:rPr>
          <w:rFonts w:hint="eastAsia" w:ascii="黑体" w:hAnsi="仿宋" w:eastAsia="黑体"/>
          <w:color w:val="000000"/>
          <w:sz w:val="32"/>
          <w:szCs w:val="32"/>
        </w:rPr>
        <w:t>城市照明设施开关要求</w:t>
      </w:r>
      <w:r>
        <w:rPr>
          <w:rFonts w:hint="eastAsia" w:ascii="仿宋_GB2312" w:hAnsi="仿宋" w:eastAsia="仿宋_GB2312"/>
          <w:color w:val="000000"/>
          <w:sz w:val="32"/>
          <w:szCs w:val="32"/>
        </w:rPr>
        <w:t>】 城市</w:t>
      </w:r>
      <w:r>
        <w:rPr>
          <w:rFonts w:ascii="仿宋_GB2312" w:hAnsi="仿宋" w:eastAsia="仿宋_GB2312"/>
          <w:color w:val="000000"/>
          <w:sz w:val="32"/>
          <w:szCs w:val="32"/>
        </w:rPr>
        <w:t>道路照明设施应当按照规定的</w:t>
      </w:r>
      <w:r>
        <w:rPr>
          <w:rFonts w:hint="eastAsia" w:ascii="仿宋_GB2312" w:hAnsi="仿宋" w:eastAsia="仿宋_GB2312"/>
          <w:color w:val="000000"/>
          <w:sz w:val="32"/>
          <w:szCs w:val="32"/>
        </w:rPr>
        <w:t>时间</w:t>
      </w:r>
      <w:r>
        <w:rPr>
          <w:rFonts w:ascii="仿宋_GB2312" w:hAnsi="仿宋" w:eastAsia="仿宋_GB2312"/>
          <w:color w:val="000000"/>
          <w:sz w:val="32"/>
          <w:szCs w:val="32"/>
        </w:rPr>
        <w:t>开启和</w:t>
      </w:r>
      <w:r>
        <w:rPr>
          <w:rFonts w:hint="eastAsia" w:ascii="仿宋_GB2312" w:hAnsi="仿宋" w:eastAsia="仿宋_GB2312"/>
          <w:color w:val="000000"/>
          <w:sz w:val="32"/>
          <w:szCs w:val="32"/>
        </w:rPr>
        <w:t>关闭</w:t>
      </w:r>
      <w:r>
        <w:rPr>
          <w:rFonts w:ascii="仿宋_GB2312" w:hAnsi="仿宋" w:eastAsia="仿宋_GB2312"/>
          <w:color w:val="000000"/>
          <w:sz w:val="32"/>
          <w:szCs w:val="32"/>
        </w:rPr>
        <w:t>，并根据季节和天气因素及时调整。</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其他</w:t>
      </w:r>
      <w:r>
        <w:rPr>
          <w:rFonts w:ascii="仿宋_GB2312" w:hAnsi="仿宋" w:eastAsia="仿宋_GB2312"/>
          <w:color w:val="000000"/>
          <w:sz w:val="32"/>
          <w:szCs w:val="32"/>
        </w:rPr>
        <w:t>功能照明设施</w:t>
      </w:r>
      <w:r>
        <w:rPr>
          <w:rFonts w:hint="eastAsia" w:ascii="仿宋_GB2312" w:hAnsi="仿宋" w:eastAsia="仿宋_GB2312"/>
          <w:color w:val="000000"/>
          <w:sz w:val="32"/>
          <w:szCs w:val="32"/>
        </w:rPr>
        <w:t>可以</w:t>
      </w:r>
      <w:r>
        <w:rPr>
          <w:rFonts w:ascii="仿宋_GB2312" w:hAnsi="仿宋" w:eastAsia="仿宋_GB2312"/>
          <w:color w:val="000000"/>
          <w:sz w:val="32"/>
          <w:szCs w:val="32"/>
        </w:rPr>
        <w:t>参考</w:t>
      </w:r>
      <w:r>
        <w:rPr>
          <w:rFonts w:hint="eastAsia" w:ascii="仿宋_GB2312" w:hAnsi="仿宋" w:eastAsia="仿宋_GB2312"/>
          <w:color w:val="000000"/>
          <w:sz w:val="32"/>
          <w:szCs w:val="32"/>
        </w:rPr>
        <w:t>城市</w:t>
      </w:r>
      <w:r>
        <w:rPr>
          <w:rFonts w:ascii="仿宋_GB2312" w:hAnsi="仿宋" w:eastAsia="仿宋_GB2312"/>
          <w:color w:val="000000"/>
          <w:sz w:val="32"/>
          <w:szCs w:val="32"/>
        </w:rPr>
        <w:t>道路照明设施的</w:t>
      </w:r>
      <w:r>
        <w:rPr>
          <w:rFonts w:hint="eastAsia" w:ascii="仿宋_GB2312" w:hAnsi="仿宋" w:eastAsia="仿宋_GB2312"/>
          <w:color w:val="000000"/>
          <w:sz w:val="32"/>
          <w:szCs w:val="32"/>
        </w:rPr>
        <w:t>开关</w:t>
      </w:r>
      <w:r>
        <w:rPr>
          <w:rFonts w:ascii="仿宋_GB2312" w:hAnsi="仿宋" w:eastAsia="仿宋_GB2312"/>
          <w:color w:val="000000"/>
          <w:sz w:val="32"/>
          <w:szCs w:val="32"/>
        </w:rPr>
        <w:t>时间开启和关闭，但不得影响居民生活</w:t>
      </w:r>
      <w:r>
        <w:rPr>
          <w:rFonts w:hint="eastAsia" w:ascii="仿宋_GB2312" w:hAnsi="仿宋" w:eastAsia="仿宋_GB2312"/>
          <w:color w:val="000000"/>
          <w:sz w:val="32"/>
          <w:szCs w:val="32"/>
        </w:rPr>
        <w:t>和</w:t>
      </w:r>
      <w:r>
        <w:rPr>
          <w:rFonts w:ascii="仿宋_GB2312" w:hAnsi="仿宋" w:eastAsia="仿宋_GB2312"/>
          <w:color w:val="000000"/>
          <w:sz w:val="32"/>
          <w:szCs w:val="32"/>
        </w:rPr>
        <w:t>交通安全。</w:t>
      </w:r>
    </w:p>
    <w:p>
      <w:pPr>
        <w:ind w:firstLine="640" w:firstLineChars="200"/>
        <w:rPr>
          <w:rFonts w:ascii="仿宋_GB2312" w:hAnsi="仿宋" w:eastAsia="仿宋_GB2312"/>
          <w:sz w:val="32"/>
          <w:szCs w:val="32"/>
        </w:rPr>
      </w:pPr>
      <w:r>
        <w:rPr>
          <w:rFonts w:hint="eastAsia" w:ascii="仿宋_GB2312" w:hAnsi="仿宋" w:eastAsia="仿宋_GB2312"/>
          <w:sz w:val="32"/>
          <w:szCs w:val="32"/>
        </w:rPr>
        <w:t>重点</w:t>
      </w:r>
      <w:r>
        <w:rPr>
          <w:rFonts w:ascii="仿宋_GB2312" w:hAnsi="仿宋" w:eastAsia="仿宋_GB2312"/>
          <w:sz w:val="32"/>
          <w:szCs w:val="32"/>
        </w:rPr>
        <w:t>区域的</w:t>
      </w:r>
      <w:r>
        <w:rPr>
          <w:rFonts w:hint="eastAsia" w:ascii="仿宋_GB2312" w:hAnsi="仿宋" w:eastAsia="仿宋_GB2312"/>
          <w:sz w:val="32"/>
          <w:szCs w:val="32"/>
        </w:rPr>
        <w:t>景观照明设施应当按照规定时间开启和关闭。</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电力供应紧张时期，政府</w:t>
      </w:r>
      <w:r>
        <w:rPr>
          <w:rFonts w:ascii="仿宋_GB2312" w:hAnsi="仿宋" w:eastAsia="仿宋_GB2312"/>
          <w:color w:val="000000"/>
          <w:sz w:val="32"/>
          <w:szCs w:val="32"/>
        </w:rPr>
        <w:t>可以</w:t>
      </w:r>
      <w:r>
        <w:rPr>
          <w:rFonts w:hint="eastAsia" w:ascii="仿宋_GB2312" w:hAnsi="仿宋" w:eastAsia="仿宋_GB2312"/>
          <w:color w:val="000000"/>
          <w:sz w:val="32"/>
          <w:szCs w:val="32"/>
        </w:rPr>
        <w:t>合理缩短重点区域景观照明时间。</w:t>
      </w:r>
    </w:p>
    <w:p>
      <w:pPr>
        <w:ind w:firstLine="643" w:firstLineChars="200"/>
        <w:jc w:val="center"/>
        <w:rPr>
          <w:rFonts w:hint="eastAsia" w:ascii="仿宋_GB2312" w:hAnsi="黑体" w:eastAsia="仿宋_GB2312"/>
          <w:b/>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第四章  节约能源</w:t>
      </w:r>
    </w:p>
    <w:p>
      <w:pPr>
        <w:ind w:firstLine="800" w:firstLineChars="250"/>
        <w:rPr>
          <w:rFonts w:ascii="仿宋_GB2312" w:hAnsi="仿宋" w:eastAsia="仿宋_GB2312"/>
          <w:color w:val="000000"/>
          <w:sz w:val="32"/>
          <w:szCs w:val="32"/>
        </w:rPr>
      </w:pPr>
      <w:r>
        <w:rPr>
          <w:rFonts w:hint="eastAsia" w:ascii="黑体" w:hAnsi="仿宋" w:eastAsia="黑体"/>
          <w:color w:val="000000"/>
          <w:sz w:val="32"/>
          <w:szCs w:val="32"/>
        </w:rPr>
        <w:t>第三十三条</w:t>
      </w:r>
      <w:r>
        <w:rPr>
          <w:rFonts w:hint="eastAsia" w:ascii="仿宋_GB2312" w:hAnsi="仿宋" w:eastAsia="仿宋_GB2312"/>
          <w:color w:val="000000"/>
          <w:sz w:val="32"/>
          <w:szCs w:val="32"/>
        </w:rPr>
        <w:t>【</w:t>
      </w:r>
      <w:r>
        <w:rPr>
          <w:rFonts w:hint="eastAsia" w:ascii="黑体" w:hAnsi="仿宋" w:eastAsia="黑体"/>
          <w:color w:val="000000"/>
          <w:sz w:val="32"/>
          <w:szCs w:val="32"/>
        </w:rPr>
        <w:t>智能控制系统</w:t>
      </w:r>
      <w:r>
        <w:rPr>
          <w:rFonts w:hint="eastAsia" w:ascii="仿宋_GB2312" w:hAnsi="仿宋" w:eastAsia="仿宋_GB2312"/>
          <w:color w:val="000000"/>
          <w:sz w:val="32"/>
          <w:szCs w:val="32"/>
        </w:rPr>
        <w:t>】 主管部门应当建设城市照明智能控制系统，对城市照明设施进行智能化监控和管理，实现政府</w:t>
      </w:r>
      <w:r>
        <w:rPr>
          <w:rFonts w:ascii="仿宋_GB2312" w:hAnsi="仿宋" w:eastAsia="仿宋_GB2312"/>
          <w:color w:val="000000"/>
          <w:sz w:val="32"/>
          <w:szCs w:val="32"/>
        </w:rPr>
        <w:t>投资</w:t>
      </w:r>
      <w:r>
        <w:rPr>
          <w:rFonts w:hint="eastAsia" w:ascii="仿宋_GB2312" w:hAnsi="仿宋" w:eastAsia="仿宋_GB2312"/>
          <w:color w:val="000000"/>
          <w:sz w:val="32"/>
          <w:szCs w:val="32"/>
        </w:rPr>
        <w:t>城市照明设施的科学合理开关灯和亮度控制。</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社会投资</w:t>
      </w:r>
      <w:r>
        <w:rPr>
          <w:rFonts w:ascii="仿宋_GB2312" w:hAnsi="仿宋" w:eastAsia="仿宋_GB2312"/>
          <w:color w:val="000000"/>
          <w:sz w:val="32"/>
          <w:szCs w:val="32"/>
        </w:rPr>
        <w:t>的城市照明设施，主管部门应当组织协调，逐步纳入城市照明</w:t>
      </w:r>
      <w:r>
        <w:rPr>
          <w:rFonts w:hint="eastAsia" w:ascii="仿宋_GB2312" w:hAnsi="仿宋" w:eastAsia="仿宋_GB2312"/>
          <w:color w:val="000000"/>
          <w:sz w:val="32"/>
          <w:szCs w:val="32"/>
        </w:rPr>
        <w:t>智能</w:t>
      </w:r>
      <w:r>
        <w:rPr>
          <w:rFonts w:ascii="仿宋_GB2312" w:hAnsi="仿宋" w:eastAsia="仿宋_GB2312"/>
          <w:color w:val="000000"/>
          <w:sz w:val="32"/>
          <w:szCs w:val="32"/>
        </w:rPr>
        <w:t>控制系统。</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第三十四条</w:t>
      </w:r>
      <w:r>
        <w:rPr>
          <w:rFonts w:hint="eastAsia" w:ascii="仿宋_GB2312" w:hAnsi="仿宋" w:eastAsia="仿宋_GB2312"/>
          <w:color w:val="000000"/>
          <w:sz w:val="32"/>
          <w:szCs w:val="32"/>
        </w:rPr>
        <w:t>【</w:t>
      </w:r>
      <w:r>
        <w:rPr>
          <w:rFonts w:hint="eastAsia" w:ascii="黑体" w:hAnsi="仿宋" w:eastAsia="黑体"/>
          <w:color w:val="000000"/>
          <w:sz w:val="32"/>
          <w:szCs w:val="32"/>
        </w:rPr>
        <w:t>节能产品应用</w:t>
      </w:r>
      <w:r>
        <w:rPr>
          <w:rFonts w:hint="eastAsia" w:ascii="仿宋_GB2312" w:hAnsi="仿宋" w:eastAsia="仿宋_GB2312"/>
          <w:color w:val="000000"/>
          <w:sz w:val="32"/>
          <w:szCs w:val="32"/>
        </w:rPr>
        <w:t>】 主管部门、财政和科技部门应当支持推广使用节能、环保的照明新技术、新产品、新设备，</w:t>
      </w:r>
      <w:r>
        <w:rPr>
          <w:rFonts w:ascii="仿宋_GB2312" w:hAnsi="仿宋" w:eastAsia="仿宋_GB2312"/>
          <w:color w:val="000000"/>
          <w:sz w:val="32"/>
          <w:szCs w:val="32"/>
        </w:rPr>
        <w:t>及时淘汰高</w:t>
      </w:r>
      <w:r>
        <w:rPr>
          <w:rFonts w:hint="eastAsia" w:ascii="仿宋_GB2312" w:hAnsi="仿宋" w:eastAsia="仿宋_GB2312"/>
          <w:color w:val="000000"/>
          <w:sz w:val="32"/>
          <w:szCs w:val="32"/>
        </w:rPr>
        <w:t>耗</w:t>
      </w:r>
      <w:r>
        <w:rPr>
          <w:rFonts w:ascii="仿宋_GB2312" w:hAnsi="仿宋" w:eastAsia="仿宋_GB2312"/>
          <w:color w:val="000000"/>
          <w:sz w:val="32"/>
          <w:szCs w:val="32"/>
        </w:rPr>
        <w:t>能低效</w:t>
      </w:r>
      <w:r>
        <w:rPr>
          <w:rFonts w:hint="eastAsia" w:ascii="仿宋_GB2312" w:hAnsi="仿宋" w:eastAsia="仿宋_GB2312"/>
          <w:color w:val="000000"/>
          <w:sz w:val="32"/>
          <w:szCs w:val="32"/>
        </w:rPr>
        <w:t>照明</w:t>
      </w:r>
      <w:r>
        <w:rPr>
          <w:rFonts w:ascii="仿宋_GB2312" w:hAnsi="仿宋" w:eastAsia="仿宋_GB2312"/>
          <w:color w:val="000000"/>
          <w:sz w:val="32"/>
          <w:szCs w:val="32"/>
        </w:rPr>
        <w:t>产品</w:t>
      </w:r>
      <w:r>
        <w:rPr>
          <w:rFonts w:hint="eastAsia" w:ascii="仿宋_GB2312" w:hAnsi="仿宋" w:eastAsia="仿宋_GB2312"/>
          <w:color w:val="000000"/>
          <w:sz w:val="32"/>
          <w:szCs w:val="32"/>
        </w:rPr>
        <w:t>，开展绿色节能照明示范试点活动，提高城市照明科学技术水平。</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第三十五条</w:t>
      </w:r>
      <w:r>
        <w:rPr>
          <w:rFonts w:hint="eastAsia" w:ascii="仿宋_GB2312" w:hAnsi="仿宋" w:eastAsia="仿宋_GB2312"/>
          <w:color w:val="000000"/>
          <w:sz w:val="32"/>
          <w:szCs w:val="32"/>
        </w:rPr>
        <w:t>【</w:t>
      </w:r>
      <w:r>
        <w:rPr>
          <w:rFonts w:hint="eastAsia" w:ascii="黑体" w:hAnsi="仿宋" w:eastAsia="黑体"/>
          <w:color w:val="000000"/>
          <w:sz w:val="32"/>
          <w:szCs w:val="32"/>
        </w:rPr>
        <w:t>节能计划</w:t>
      </w:r>
      <w:r>
        <w:rPr>
          <w:rFonts w:hint="eastAsia" w:ascii="仿宋_GB2312" w:hAnsi="仿宋" w:eastAsia="仿宋_GB2312"/>
          <w:color w:val="000000"/>
          <w:sz w:val="32"/>
          <w:szCs w:val="32"/>
        </w:rPr>
        <w:t xml:space="preserve">】 市主管部门应当根据城市照明专项规划，制定城市照明节能计划，严格控制景观照明的范围、亮度和能耗密度。 </w:t>
      </w:r>
    </w:p>
    <w:p>
      <w:pPr>
        <w:ind w:firstLine="640" w:firstLineChars="200"/>
        <w:rPr>
          <w:rFonts w:ascii="仿宋_GB2312" w:eastAsia="仿宋_GB2312"/>
          <w:sz w:val="32"/>
          <w:szCs w:val="32"/>
        </w:rPr>
      </w:pPr>
      <w:r>
        <w:rPr>
          <w:rFonts w:hint="eastAsia" w:ascii="黑体" w:hAnsi="仿宋" w:eastAsia="黑体"/>
          <w:color w:val="000000"/>
          <w:sz w:val="32"/>
          <w:szCs w:val="32"/>
        </w:rPr>
        <w:t>第三十六条</w:t>
      </w:r>
      <w:r>
        <w:rPr>
          <w:rFonts w:hint="eastAsia" w:ascii="仿宋_GB2312" w:hAnsi="仿宋" w:eastAsia="仿宋_GB2312"/>
          <w:color w:val="000000"/>
          <w:sz w:val="32"/>
          <w:szCs w:val="32"/>
        </w:rPr>
        <w:t>【</w:t>
      </w:r>
      <w:r>
        <w:rPr>
          <w:rFonts w:hint="eastAsia" w:ascii="黑体" w:hAnsi="仿宋" w:eastAsia="黑体"/>
          <w:color w:val="000000"/>
          <w:sz w:val="32"/>
          <w:szCs w:val="32"/>
        </w:rPr>
        <w:t>宣传和</w:t>
      </w:r>
      <w:r>
        <w:rPr>
          <w:rFonts w:ascii="黑体" w:hAnsi="仿宋" w:eastAsia="黑体"/>
          <w:color w:val="000000"/>
          <w:sz w:val="32"/>
          <w:szCs w:val="32"/>
        </w:rPr>
        <w:t>培训</w:t>
      </w:r>
      <w:r>
        <w:rPr>
          <w:rFonts w:hint="eastAsia" w:ascii="仿宋_GB2312" w:hAnsi="仿宋" w:eastAsia="仿宋_GB2312"/>
          <w:color w:val="000000"/>
          <w:sz w:val="32"/>
          <w:szCs w:val="32"/>
        </w:rPr>
        <w:t xml:space="preserve">】 </w:t>
      </w:r>
      <w:r>
        <w:rPr>
          <w:rFonts w:hint="eastAsia" w:ascii="仿宋_GB2312" w:eastAsia="仿宋_GB2312"/>
          <w:sz w:val="32"/>
          <w:szCs w:val="32"/>
        </w:rPr>
        <w:t>主管部门应当将绿色照明、节能减排工作纳入“节能周”、“全国低碳日”等环保活动的宣传内容，集中开展城市照明节能减排的宣传推广。</w:t>
      </w:r>
    </w:p>
    <w:p>
      <w:pPr>
        <w:ind w:firstLine="640" w:firstLineChars="200"/>
        <w:rPr>
          <w:rFonts w:hint="eastAsia" w:ascii="仿宋_GB2312" w:eastAsia="仿宋_GB2312"/>
          <w:sz w:val="32"/>
          <w:szCs w:val="32"/>
        </w:rPr>
      </w:pPr>
      <w:r>
        <w:rPr>
          <w:rFonts w:hint="eastAsia" w:ascii="仿宋_GB2312" w:eastAsia="仿宋_GB2312"/>
          <w:sz w:val="32"/>
          <w:szCs w:val="32"/>
        </w:rPr>
        <w:t>从事</w:t>
      </w:r>
      <w:r>
        <w:rPr>
          <w:rFonts w:ascii="仿宋_GB2312" w:eastAsia="仿宋_GB2312"/>
          <w:sz w:val="32"/>
          <w:szCs w:val="32"/>
        </w:rPr>
        <w:t>城市照明工程勘察、</w:t>
      </w:r>
      <w:r>
        <w:rPr>
          <w:rFonts w:hint="eastAsia" w:ascii="仿宋_GB2312" w:eastAsia="仿宋_GB2312"/>
          <w:sz w:val="32"/>
          <w:szCs w:val="32"/>
        </w:rPr>
        <w:t>设计</w:t>
      </w:r>
      <w:r>
        <w:rPr>
          <w:rFonts w:ascii="仿宋_GB2312" w:eastAsia="仿宋_GB2312"/>
          <w:sz w:val="32"/>
          <w:szCs w:val="32"/>
        </w:rPr>
        <w:t>、施工、监理和设施维护管理的专业技术</w:t>
      </w:r>
      <w:r>
        <w:rPr>
          <w:rFonts w:hint="eastAsia" w:ascii="仿宋_GB2312" w:eastAsia="仿宋_GB2312"/>
          <w:sz w:val="32"/>
          <w:szCs w:val="32"/>
        </w:rPr>
        <w:t>人员</w:t>
      </w:r>
      <w:r>
        <w:rPr>
          <w:rFonts w:ascii="仿宋_GB2312" w:eastAsia="仿宋_GB2312"/>
          <w:sz w:val="32"/>
          <w:szCs w:val="32"/>
        </w:rPr>
        <w:t>，应当定期参加</w:t>
      </w:r>
      <w:r>
        <w:rPr>
          <w:rFonts w:hint="eastAsia" w:ascii="仿宋_GB2312" w:eastAsia="仿宋_GB2312"/>
          <w:sz w:val="32"/>
          <w:szCs w:val="32"/>
        </w:rPr>
        <w:t>主管</w:t>
      </w:r>
      <w:r>
        <w:rPr>
          <w:rFonts w:ascii="仿宋_GB2312" w:eastAsia="仿宋_GB2312"/>
          <w:sz w:val="32"/>
          <w:szCs w:val="32"/>
        </w:rPr>
        <w:t>部门组织的节能教育和岗位节能培训，提高城市照明节能水平。</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第三十七条</w:t>
      </w:r>
      <w:r>
        <w:rPr>
          <w:rFonts w:hint="eastAsia" w:ascii="仿宋_GB2312" w:hAnsi="仿宋" w:eastAsia="仿宋_GB2312"/>
          <w:color w:val="000000"/>
          <w:sz w:val="32"/>
          <w:szCs w:val="32"/>
        </w:rPr>
        <w:t>【</w:t>
      </w:r>
      <w:r>
        <w:rPr>
          <w:rFonts w:hint="eastAsia" w:ascii="黑体" w:hAnsi="仿宋" w:eastAsia="黑体"/>
          <w:color w:val="000000"/>
          <w:sz w:val="32"/>
          <w:szCs w:val="32"/>
        </w:rPr>
        <w:t>检查和评估</w:t>
      </w:r>
      <w:r>
        <w:rPr>
          <w:rFonts w:hint="eastAsia" w:ascii="仿宋_GB2312" w:hAnsi="仿宋" w:eastAsia="仿宋_GB2312"/>
          <w:color w:val="000000"/>
          <w:sz w:val="32"/>
          <w:szCs w:val="32"/>
        </w:rPr>
        <w:t>】任何单位或者个人不得在城市照明中有过度照明的行为。</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主管部门应当定期检查、组织评估城市照明维护管理单位的照明节能控制措施，总结、推广先进的城市照明节能技术经验。</w:t>
      </w:r>
    </w:p>
    <w:p>
      <w:pPr>
        <w:ind w:firstLine="640" w:firstLineChars="200"/>
        <w:rPr>
          <w:rFonts w:ascii="仿宋_GB2312" w:eastAsia="仿宋_GB2312"/>
          <w:sz w:val="32"/>
          <w:szCs w:val="32"/>
        </w:rPr>
      </w:pPr>
      <w:r>
        <w:rPr>
          <w:rFonts w:hint="eastAsia" w:ascii="仿宋_GB2312" w:hAnsi="仿宋" w:eastAsia="仿宋_GB2312"/>
          <w:color w:val="000000"/>
          <w:sz w:val="32"/>
          <w:szCs w:val="32"/>
        </w:rPr>
        <w:t>本条所称</w:t>
      </w:r>
      <w:r>
        <w:rPr>
          <w:rFonts w:hint="eastAsia" w:ascii="仿宋_GB2312" w:eastAsia="仿宋_GB2312"/>
          <w:sz w:val="32"/>
          <w:szCs w:val="32"/>
        </w:rPr>
        <w:t>过度照明，是指照度或者亮度超过相关城市照明规范规定的最大允许值。</w:t>
      </w:r>
    </w:p>
    <w:p>
      <w:pPr>
        <w:ind w:firstLine="643" w:firstLineChars="200"/>
        <w:jc w:val="center"/>
        <w:rPr>
          <w:rFonts w:hint="eastAsia" w:ascii="仿宋_GB2312" w:hAnsi="黑体" w:eastAsia="仿宋_GB2312"/>
          <w:b/>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第五章 法律责任</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第三十八条</w:t>
      </w:r>
      <w:r>
        <w:rPr>
          <w:rFonts w:hint="eastAsia" w:ascii="仿宋_GB2312" w:hAnsi="仿宋" w:eastAsia="仿宋_GB2312"/>
          <w:color w:val="000000"/>
          <w:sz w:val="32"/>
          <w:szCs w:val="32"/>
        </w:rPr>
        <w:t>【</w:t>
      </w:r>
      <w:r>
        <w:rPr>
          <w:rFonts w:hint="eastAsia" w:ascii="黑体" w:hAnsi="仿宋" w:eastAsia="黑体"/>
          <w:color w:val="000000"/>
          <w:sz w:val="32"/>
          <w:szCs w:val="32"/>
        </w:rPr>
        <w:t>部门责任</w:t>
      </w:r>
      <w:r>
        <w:rPr>
          <w:rFonts w:hint="eastAsia" w:ascii="仿宋_GB2312" w:hAnsi="仿宋" w:eastAsia="仿宋_GB2312"/>
          <w:color w:val="000000"/>
          <w:sz w:val="32"/>
          <w:szCs w:val="32"/>
        </w:rPr>
        <w:t>】 主管部门等有关行政管理部门及其工作人员在城市照明管理工作中出现违法行为的，依法追究行政责任；涉嫌犯罪的，依法移送司法机关处理。</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第三十九条</w:t>
      </w:r>
      <w:r>
        <w:rPr>
          <w:rFonts w:hint="eastAsia" w:ascii="仿宋_GB2312" w:hAnsi="仿宋" w:eastAsia="仿宋_GB2312"/>
          <w:color w:val="000000"/>
          <w:sz w:val="32"/>
          <w:szCs w:val="32"/>
        </w:rPr>
        <w:t>【</w:t>
      </w:r>
      <w:r>
        <w:rPr>
          <w:rFonts w:hint="eastAsia" w:ascii="黑体" w:hAnsi="仿宋" w:eastAsia="黑体"/>
          <w:color w:val="000000"/>
          <w:sz w:val="32"/>
          <w:szCs w:val="32"/>
        </w:rPr>
        <w:t>法律责任一</w:t>
      </w:r>
      <w:r>
        <w:rPr>
          <w:rFonts w:hint="eastAsia" w:ascii="仿宋_GB2312" w:hAnsi="仿宋" w:eastAsia="仿宋_GB2312"/>
          <w:color w:val="000000"/>
          <w:sz w:val="32"/>
          <w:szCs w:val="32"/>
        </w:rPr>
        <w:t>】 违反本办法规定，有下列行为之一的，由主管部门按下列规定进行处罚：</w:t>
      </w:r>
    </w:p>
    <w:p>
      <w:pPr>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（一）违反本办</w:t>
      </w:r>
      <w:r>
        <w:rPr>
          <w:rFonts w:hint="eastAsia" w:ascii="仿宋_GB2312" w:hAnsi="仿宋" w:eastAsia="仿宋_GB2312"/>
          <w:sz w:val="32"/>
          <w:szCs w:val="32"/>
        </w:rPr>
        <w:t>法第十条第一款规定，城市照明设施未与主体工程</w:t>
      </w:r>
      <w:r>
        <w:rPr>
          <w:rFonts w:hint="eastAsia" w:ascii="仿宋_GB2312" w:hAnsi="仿宋" w:eastAsia="仿宋_GB2312"/>
          <w:color w:val="000000"/>
          <w:sz w:val="32"/>
          <w:szCs w:val="32"/>
        </w:rPr>
        <w:t>同时设计、同时施工、同时投入使用</w:t>
      </w:r>
      <w:r>
        <w:rPr>
          <w:rFonts w:hint="eastAsia" w:ascii="仿宋_GB2312" w:hAnsi="仿宋" w:eastAsia="仿宋_GB2312"/>
          <w:sz w:val="32"/>
          <w:szCs w:val="32"/>
        </w:rPr>
        <w:t>的，责令建设单位限期改正；逾期不改正的，处</w:t>
      </w:r>
      <w:r>
        <w:rPr>
          <w:rFonts w:ascii="仿宋_GB2312" w:hAnsi="仿宋" w:eastAsia="仿宋_GB2312"/>
          <w:sz w:val="32"/>
          <w:szCs w:val="32"/>
        </w:rPr>
        <w:t>3</w:t>
      </w:r>
      <w:r>
        <w:rPr>
          <w:rFonts w:hint="eastAsia" w:ascii="仿宋_GB2312" w:hAnsi="仿宋" w:eastAsia="仿宋_GB2312"/>
          <w:sz w:val="32"/>
          <w:szCs w:val="32"/>
        </w:rPr>
        <w:t>0000元罚款；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（二）违反</w:t>
      </w:r>
      <w:r>
        <w:rPr>
          <w:rFonts w:ascii="仿宋_GB2312" w:hAnsi="仿宋" w:eastAsia="仿宋_GB2312"/>
          <w:sz w:val="32"/>
          <w:szCs w:val="32"/>
        </w:rPr>
        <w:t>本办法第十</w:t>
      </w:r>
      <w:r>
        <w:rPr>
          <w:rFonts w:hint="eastAsia" w:ascii="仿宋_GB2312" w:hAnsi="仿宋" w:eastAsia="仿宋_GB2312"/>
          <w:sz w:val="32"/>
          <w:szCs w:val="32"/>
        </w:rPr>
        <w:t>四</w:t>
      </w:r>
      <w:r>
        <w:rPr>
          <w:rFonts w:ascii="仿宋_GB2312" w:hAnsi="仿宋" w:eastAsia="仿宋_GB2312"/>
          <w:sz w:val="32"/>
          <w:szCs w:val="32"/>
        </w:rPr>
        <w:t>条第三款规定，城市照明设施不符合城市照明设计方案</w:t>
      </w:r>
      <w:r>
        <w:rPr>
          <w:rFonts w:hint="eastAsia" w:ascii="仿宋_GB2312" w:hAnsi="仿宋" w:eastAsia="仿宋_GB2312"/>
          <w:sz w:val="32"/>
          <w:szCs w:val="32"/>
        </w:rPr>
        <w:t>交付</w:t>
      </w:r>
      <w:r>
        <w:rPr>
          <w:rFonts w:ascii="仿宋_GB2312" w:hAnsi="仿宋" w:eastAsia="仿宋_GB2312"/>
          <w:sz w:val="32"/>
          <w:szCs w:val="32"/>
        </w:rPr>
        <w:t>使用的，责令</w:t>
      </w:r>
      <w:r>
        <w:rPr>
          <w:rFonts w:hint="eastAsia" w:ascii="仿宋_GB2312" w:hAnsi="仿宋" w:eastAsia="仿宋_GB2312"/>
          <w:sz w:val="32"/>
          <w:szCs w:val="32"/>
        </w:rPr>
        <w:t>建设单位</w:t>
      </w:r>
      <w:r>
        <w:rPr>
          <w:rFonts w:ascii="仿宋_GB2312" w:hAnsi="仿宋" w:eastAsia="仿宋_GB2312"/>
          <w:sz w:val="32"/>
          <w:szCs w:val="32"/>
        </w:rPr>
        <w:t>限期改正，并处城市照明工程造价</w:t>
      </w:r>
      <w:r>
        <w:rPr>
          <w:rFonts w:hint="eastAsia" w:ascii="仿宋_GB2312" w:hAnsi="仿宋" w:eastAsia="仿宋_GB2312"/>
          <w:sz w:val="32"/>
          <w:szCs w:val="32"/>
        </w:rPr>
        <w:t>2</w:t>
      </w:r>
      <w:r>
        <w:rPr>
          <w:rFonts w:ascii="仿宋_GB2312" w:hAnsi="仿宋" w:eastAsia="仿宋_GB2312"/>
          <w:sz w:val="32"/>
          <w:szCs w:val="32"/>
        </w:rPr>
        <w:t>%的罚款</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（三）违反本办法第十七条规定，竣工验收备案材料中未包含城市照明内容的，责令建设单位限期改正，并处10000元罚款；提供虚假备案材料的，责令建设单位限期改正，并处</w:t>
      </w:r>
      <w:r>
        <w:rPr>
          <w:rFonts w:ascii="仿宋_GB2312" w:hAnsi="仿宋" w:eastAsia="仿宋_GB2312"/>
          <w:sz w:val="32"/>
          <w:szCs w:val="32"/>
        </w:rPr>
        <w:t>3</w:t>
      </w:r>
      <w:r>
        <w:rPr>
          <w:rFonts w:hint="eastAsia" w:ascii="仿宋_GB2312" w:hAnsi="仿宋" w:eastAsia="仿宋_GB2312"/>
          <w:sz w:val="32"/>
          <w:szCs w:val="32"/>
        </w:rPr>
        <w:t>0000元罚款；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（四）违反本办法第二十三条规定城市照明设施未保持完整、功能良好或外观整洁的，责令维护管理单位限期改正；逾期不改正的，处10000元罚款；法律另有规定的除外；</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违反本办法第二十六条第二款规定，未签订保护协议擅自迁移、拆除、改动城市道路照明设施，或者在城市道路照明管线上方开挖的，责令建设单位恢复原状，并处20000元罚款；挖断照明管线的，责令建设单位恢复原状，赔偿损失，并处40000元罚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（六）违反本办法第二十七条规定，擅自从城市道路照明设施接电的，责令接电方限期改正，支付所耗电费并处10000元罚款；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（七）违反本办法第二十八条规定，擅自在城市道路照明设施上设置广告或者装饰物的，责令举办方限期改正，并处5000元罚款；</w:t>
      </w:r>
    </w:p>
    <w:p>
      <w:pPr>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（八）违反本办法第三十二条第三款规定，重点</w:t>
      </w:r>
      <w:r>
        <w:rPr>
          <w:rFonts w:ascii="仿宋_GB2312" w:hAnsi="仿宋" w:eastAsia="仿宋_GB2312"/>
          <w:sz w:val="32"/>
          <w:szCs w:val="32"/>
        </w:rPr>
        <w:t>区域的</w:t>
      </w:r>
      <w:r>
        <w:rPr>
          <w:rFonts w:hint="eastAsia" w:ascii="仿宋_GB2312" w:hAnsi="仿宋" w:eastAsia="仿宋_GB2312"/>
          <w:sz w:val="32"/>
          <w:szCs w:val="32"/>
        </w:rPr>
        <w:t>景观照明设施不按照要求准时开启或者关闭的</w:t>
      </w:r>
      <w:r>
        <w:rPr>
          <w:rFonts w:hint="eastAsia" w:ascii="仿宋_GB2312" w:hAnsi="仿宋" w:eastAsia="仿宋_GB2312"/>
          <w:color w:val="000000"/>
          <w:sz w:val="32"/>
          <w:szCs w:val="32"/>
        </w:rPr>
        <w:t>，责令景观照明设施的维护管理单位限期改正，并处3000元罚款。</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第四十条</w:t>
      </w:r>
      <w:r>
        <w:rPr>
          <w:rFonts w:hint="eastAsia" w:ascii="仿宋_GB2312" w:hAnsi="仿宋" w:eastAsia="仿宋_GB2312"/>
          <w:color w:val="000000"/>
          <w:sz w:val="32"/>
          <w:szCs w:val="32"/>
        </w:rPr>
        <w:t>【</w:t>
      </w:r>
      <w:r>
        <w:rPr>
          <w:rFonts w:hint="eastAsia" w:ascii="黑体" w:hAnsi="仿宋" w:eastAsia="黑体"/>
          <w:color w:val="000000"/>
          <w:sz w:val="32"/>
          <w:szCs w:val="32"/>
        </w:rPr>
        <w:t>法律责任二</w:t>
      </w:r>
      <w:r>
        <w:rPr>
          <w:rFonts w:hint="eastAsia" w:ascii="仿宋_GB2312" w:hAnsi="仿宋" w:eastAsia="仿宋_GB2312"/>
          <w:color w:val="000000"/>
          <w:sz w:val="32"/>
          <w:szCs w:val="32"/>
        </w:rPr>
        <w:t>】 单位或者个人违反本办法</w:t>
      </w:r>
      <w:r>
        <w:rPr>
          <w:rFonts w:hint="eastAsia" w:ascii="仿宋_GB2312" w:hAnsi="仿宋" w:eastAsia="仿宋_GB2312"/>
          <w:sz w:val="32"/>
          <w:szCs w:val="32"/>
        </w:rPr>
        <w:t>第二十九条规</w:t>
      </w:r>
      <w:r>
        <w:rPr>
          <w:rFonts w:hint="eastAsia" w:ascii="仿宋_GB2312" w:hAnsi="仿宋" w:eastAsia="仿宋_GB2312"/>
          <w:color w:val="000000"/>
          <w:sz w:val="32"/>
          <w:szCs w:val="32"/>
        </w:rPr>
        <w:t>定的，依法赔偿损失，并由主管部门按照下列规定进行处罚：</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（一）在城市照明设施上刻划、涂污，张贴、晾晒的，责令限期改正，并处500元罚款；</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（二）在城市照明设施</w:t>
      </w:r>
      <w:r>
        <w:rPr>
          <w:rFonts w:hint="eastAsia" w:ascii="仿宋_GB2312" w:hAnsi="仿宋" w:eastAsia="仿宋_GB2312"/>
          <w:sz w:val="32"/>
          <w:szCs w:val="32"/>
        </w:rPr>
        <w:t>周边1米</w:t>
      </w:r>
      <w:r>
        <w:rPr>
          <w:rFonts w:ascii="仿宋_GB2312" w:hAnsi="仿宋" w:eastAsia="仿宋_GB2312"/>
          <w:sz w:val="32"/>
          <w:szCs w:val="32"/>
        </w:rPr>
        <w:t>以</w:t>
      </w:r>
      <w:r>
        <w:rPr>
          <w:rFonts w:hint="eastAsia" w:ascii="仿宋_GB2312" w:hAnsi="仿宋" w:eastAsia="仿宋_GB2312"/>
          <w:sz w:val="32"/>
          <w:szCs w:val="32"/>
        </w:rPr>
        <w:t>内</w:t>
      </w:r>
      <w:r>
        <w:rPr>
          <w:rFonts w:hint="eastAsia" w:ascii="仿宋_GB2312" w:hAnsi="仿宋" w:eastAsia="仿宋_GB2312"/>
          <w:color w:val="000000"/>
          <w:sz w:val="32"/>
          <w:szCs w:val="32"/>
        </w:rPr>
        <w:t xml:space="preserve">倾倒腐蚀物的，处10000元罚款； </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（三）擅自在城市照明设施上架设管线、安置其他设施的，责令限期改正，并处1000元罚款；</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（四）擅自操作城市照明开关设施或者改变其运行方式的，处2000元罚款。</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第四十一条</w:t>
      </w:r>
      <w:r>
        <w:rPr>
          <w:rFonts w:hint="eastAsia" w:ascii="仿宋_GB2312" w:hAnsi="仿宋" w:eastAsia="仿宋_GB2312"/>
          <w:color w:val="000000"/>
          <w:sz w:val="32"/>
          <w:szCs w:val="32"/>
        </w:rPr>
        <w:t>【</w:t>
      </w:r>
      <w:r>
        <w:rPr>
          <w:rFonts w:hint="eastAsia" w:ascii="黑体" w:hAnsi="仿宋" w:eastAsia="黑体"/>
          <w:color w:val="000000"/>
          <w:sz w:val="32"/>
          <w:szCs w:val="32"/>
        </w:rPr>
        <w:t>盗窃、非法收购责任</w:t>
      </w:r>
      <w:r>
        <w:rPr>
          <w:rFonts w:hint="eastAsia" w:ascii="仿宋_GB2312" w:hAnsi="仿宋" w:eastAsia="仿宋_GB2312"/>
          <w:color w:val="000000"/>
          <w:sz w:val="32"/>
          <w:szCs w:val="32"/>
        </w:rPr>
        <w:t>】 盗窃、非法收购城市照明设施的，由公安机关依法处理。涉嫌犯罪的，依法移送司法机关处理。</w:t>
      </w:r>
    </w:p>
    <w:p>
      <w:pPr>
        <w:widowControl/>
        <w:ind w:firstLine="640" w:firstLineChars="200"/>
        <w:jc w:val="left"/>
        <w:rPr>
          <w:rFonts w:hint="eastAsia" w:ascii="仿宋_GB2312" w:hAnsi="仿宋" w:eastAsia="仿宋_GB2312"/>
          <w:sz w:val="32"/>
          <w:szCs w:val="32"/>
        </w:rPr>
      </w:pPr>
      <w:r>
        <w:rPr>
          <w:rFonts w:hint="eastAsia" w:ascii="黑体" w:hAnsi="仿宋" w:eastAsia="黑体"/>
          <w:color w:val="000000"/>
          <w:sz w:val="32"/>
          <w:szCs w:val="32"/>
        </w:rPr>
        <w:t>第四十二条</w:t>
      </w:r>
      <w:r>
        <w:rPr>
          <w:rFonts w:hint="eastAsia" w:ascii="仿宋_GB2312" w:hAnsi="仿宋" w:eastAsia="仿宋_GB2312"/>
          <w:color w:val="000000"/>
          <w:sz w:val="32"/>
          <w:szCs w:val="32"/>
        </w:rPr>
        <w:t>【</w:t>
      </w:r>
      <w:r>
        <w:rPr>
          <w:rFonts w:hint="eastAsia" w:ascii="黑体" w:hAnsi="仿宋" w:eastAsia="黑体"/>
          <w:color w:val="000000"/>
          <w:sz w:val="32"/>
          <w:szCs w:val="32"/>
        </w:rPr>
        <w:t>信用管理</w:t>
      </w:r>
      <w:r>
        <w:rPr>
          <w:rFonts w:hint="eastAsia" w:ascii="仿宋_GB2312" w:hAnsi="仿宋" w:eastAsia="仿宋_GB2312"/>
          <w:color w:val="000000"/>
          <w:sz w:val="32"/>
          <w:szCs w:val="32"/>
        </w:rPr>
        <w:t>】 违反本办法规定，拒不缴纳罚款的，主管部门可以依法每日按照罚款数额的3‰加处罚款，或者申请法院强制执行，并将</w:t>
      </w:r>
      <w:r>
        <w:rPr>
          <w:rFonts w:hint="eastAsia" w:ascii="仿宋_GB2312" w:hAnsi="仿宋" w:eastAsia="仿宋_GB2312"/>
          <w:sz w:val="32"/>
          <w:szCs w:val="32"/>
        </w:rPr>
        <w:t>相关处罚信息通报住房建设、水务、交通、市场监管、公共征信等单位，由其纳入信用记录系统。</w:t>
      </w:r>
    </w:p>
    <w:p>
      <w:pPr>
        <w:widowControl/>
        <w:ind w:firstLine="640" w:firstLineChars="200"/>
        <w:jc w:val="left"/>
        <w:rPr>
          <w:rFonts w:hint="eastAsia" w:ascii="仿宋_GB2312" w:hAnsi="仿宋" w:eastAsia="仿宋_GB2312"/>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第六章  附  则</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第四十三条</w:t>
      </w:r>
      <w:r>
        <w:rPr>
          <w:rFonts w:hint="eastAsia" w:ascii="仿宋_GB2312" w:hAnsi="仿宋" w:eastAsia="仿宋_GB2312"/>
          <w:color w:val="000000"/>
          <w:sz w:val="32"/>
          <w:szCs w:val="32"/>
        </w:rPr>
        <w:t>【</w:t>
      </w:r>
      <w:r>
        <w:rPr>
          <w:rFonts w:hint="eastAsia" w:ascii="黑体" w:hAnsi="仿宋" w:eastAsia="黑体"/>
          <w:color w:val="000000"/>
          <w:sz w:val="32"/>
          <w:szCs w:val="32"/>
        </w:rPr>
        <w:t>实施日期</w:t>
      </w:r>
      <w:r>
        <w:rPr>
          <w:rFonts w:hint="eastAsia" w:ascii="仿宋_GB2312" w:hAnsi="仿宋" w:eastAsia="仿宋_GB2312"/>
          <w:color w:val="000000"/>
          <w:sz w:val="32"/>
          <w:szCs w:val="32"/>
        </w:rPr>
        <w:t>】 本办法自 年 月 日起施行。1997年3月3日发布的《深圳经济特区城市道路照明管理规定》（市政府令第59号）同时废止。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294C"/>
    <w:multiLevelType w:val="multilevel"/>
    <w:tmpl w:val="3B32294C"/>
    <w:lvl w:ilvl="0" w:tentative="0">
      <w:start w:val="1"/>
      <w:numFmt w:val="japaneseCounting"/>
      <w:lvlText w:val="第%1条"/>
      <w:lvlJc w:val="left"/>
      <w:pPr>
        <w:ind w:left="1707" w:hanging="1080"/>
      </w:pPr>
      <w:rPr>
        <w:rFonts w:hint="eastAsia" w:ascii="黑体" w:eastAsia="黑体"/>
        <w:b w:val="0"/>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9C84A1A"/>
    <w:multiLevelType w:val="multilevel"/>
    <w:tmpl w:val="79C84A1A"/>
    <w:lvl w:ilvl="0" w:tentative="0">
      <w:start w:val="1"/>
      <w:numFmt w:val="japaneseCounting"/>
      <w:lvlText w:val="（%1）"/>
      <w:lvlJc w:val="left"/>
      <w:pPr>
        <w:ind w:left="1707" w:hanging="108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219F8"/>
    <w:rsid w:val="1AF2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2017-11-16T06:32:00Z</dcterms:created>
  <dc:creator>Administrator</dc:creator>
  <cp:lastModifiedBy>Administrator</cp:lastModifiedBy>
  <dcterms:modified xsi:type="dcterms:W3CDTF">2017-11-16T06:32:55Z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