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line="525" w:lineRule="atLeast"/>
        <w:ind w:right="0"/>
        <w:jc w:val="center"/>
      </w:pPr>
      <w:bookmarkStart w:id="0" w:name="_GoBack"/>
      <w:r>
        <w:rPr>
          <w:rFonts w:hint="eastAsia" w:ascii="方正小标宋简体" w:hAnsi="方正小标宋简体" w:eastAsia="方正小标宋简体" w:cs="方正小标宋简体"/>
          <w:b w:val="0"/>
          <w:bCs/>
          <w:spacing w:val="-11"/>
          <w:kern w:val="2"/>
          <w:sz w:val="28"/>
          <w:szCs w:val="28"/>
          <w:lang w:val="en-US" w:eastAsia="zh-CN" w:bidi="ar-SA"/>
        </w:rPr>
        <w:t>《深圳市统计局关于布置2019年统计年报和2020年定期统计报表制度的通知（公开征求意见）》反馈情况一览表</w:t>
      </w:r>
      <w:bookmarkEnd w:id="0"/>
    </w:p>
    <w:p/>
    <w:tbl>
      <w:tblPr>
        <w:tblStyle w:val="4"/>
        <w:tblW w:w="14121" w:type="dxa"/>
        <w:jc w:val="center"/>
        <w:tblInd w:w="-2720" w:type="dxa"/>
        <w:tblBorders>
          <w:top w:val="single" w:color="auto" w:sz="8" w:space="0"/>
          <w:left w:val="none" w:color="auto" w:sz="0" w:space="0"/>
          <w:bottom w:val="single" w:color="auto" w:sz="8" w:space="0"/>
          <w:right w:val="none" w:color="auto" w:sz="0" w:space="0"/>
          <w:insideH w:val="single" w:color="auto" w:sz="8" w:space="0"/>
          <w:insideV w:val="none" w:color="auto" w:sz="0" w:space="0"/>
        </w:tblBorders>
        <w:tblLayout w:type="fixed"/>
        <w:tblCellMar>
          <w:top w:w="0" w:type="dxa"/>
          <w:left w:w="0" w:type="dxa"/>
          <w:bottom w:w="0" w:type="dxa"/>
          <w:right w:w="0" w:type="dxa"/>
        </w:tblCellMar>
      </w:tblPr>
      <w:tblGrid>
        <w:gridCol w:w="881"/>
        <w:gridCol w:w="1320"/>
        <w:gridCol w:w="5493"/>
        <w:gridCol w:w="6427"/>
      </w:tblGrid>
      <w:tr>
        <w:tblPrEx>
          <w:tblBorders>
            <w:top w:val="single" w:color="auto" w:sz="8" w:space="0"/>
            <w:left w:val="none" w:color="auto" w:sz="0" w:space="0"/>
            <w:bottom w:val="single" w:color="auto" w:sz="8" w:space="0"/>
            <w:right w:val="none" w:color="auto" w:sz="0" w:space="0"/>
            <w:insideH w:val="single" w:color="auto" w:sz="8" w:space="0"/>
            <w:insideV w:val="none" w:color="auto" w:sz="0" w:space="0"/>
          </w:tblBorders>
          <w:tblLayout w:type="fixed"/>
        </w:tblPrEx>
        <w:trPr>
          <w:jc w:val="center"/>
        </w:trPr>
        <w:tc>
          <w:tcPr>
            <w:tcW w:w="881" w:type="dxa"/>
            <w:tcBorders>
              <w:tl2br w:val="nil"/>
              <w:tr2bl w:val="nil"/>
            </w:tcBorders>
            <w:shd w:val="clear" w:color="auto" w:fill="auto"/>
            <w:tcMar>
              <w:left w:w="108" w:type="dxa"/>
              <w:right w:w="108" w:type="dxa"/>
            </w:tcMar>
            <w:vAlign w:val="center"/>
          </w:tcPr>
          <w:p>
            <w:pPr>
              <w:widowControl/>
              <w:wordWrap w:val="0"/>
              <w:jc w:val="center"/>
              <w:rPr>
                <w:rFonts w:ascii="宋体" w:hAnsi="宋体"/>
                <w:b/>
                <w:sz w:val="24"/>
              </w:rPr>
            </w:pPr>
            <w:r>
              <w:rPr>
                <w:rFonts w:ascii="宋体" w:hAnsi="宋体" w:cs="Calibri"/>
                <w:b/>
                <w:kern w:val="0"/>
                <w:sz w:val="24"/>
              </w:rPr>
              <w:t>序号</w:t>
            </w:r>
          </w:p>
        </w:tc>
        <w:tc>
          <w:tcPr>
            <w:tcW w:w="1320" w:type="dxa"/>
            <w:tcBorders>
              <w:tl2br w:val="nil"/>
              <w:tr2bl w:val="nil"/>
            </w:tcBorders>
            <w:shd w:val="clear" w:color="auto" w:fill="auto"/>
            <w:tcMar>
              <w:left w:w="108" w:type="dxa"/>
              <w:right w:w="108" w:type="dxa"/>
            </w:tcMar>
            <w:vAlign w:val="center"/>
          </w:tcPr>
          <w:p>
            <w:pPr>
              <w:widowControl/>
              <w:wordWrap w:val="0"/>
              <w:jc w:val="center"/>
              <w:rPr>
                <w:rFonts w:ascii="宋体" w:hAnsi="宋体"/>
                <w:b/>
                <w:sz w:val="24"/>
              </w:rPr>
            </w:pPr>
            <w:r>
              <w:rPr>
                <w:rFonts w:hint="eastAsia" w:ascii="宋体" w:hAnsi="宋体"/>
                <w:b/>
                <w:kern w:val="0"/>
                <w:sz w:val="24"/>
                <w:lang w:eastAsia="zh-CN"/>
              </w:rPr>
              <w:t>个人</w:t>
            </w:r>
            <w:r>
              <w:rPr>
                <w:rFonts w:hint="eastAsia" w:ascii="宋体" w:hAnsi="宋体"/>
                <w:b/>
                <w:kern w:val="0"/>
                <w:sz w:val="24"/>
                <w:lang w:val="en-US" w:eastAsia="zh-CN"/>
              </w:rPr>
              <w:t>/</w:t>
            </w:r>
            <w:r>
              <w:rPr>
                <w:rFonts w:ascii="宋体" w:hAnsi="宋体"/>
                <w:b/>
                <w:kern w:val="0"/>
                <w:sz w:val="24"/>
              </w:rPr>
              <w:t>单位</w:t>
            </w:r>
          </w:p>
        </w:tc>
        <w:tc>
          <w:tcPr>
            <w:tcW w:w="5493" w:type="dxa"/>
            <w:tcBorders>
              <w:tl2br w:val="nil"/>
              <w:tr2bl w:val="nil"/>
            </w:tcBorders>
            <w:shd w:val="clear" w:color="auto" w:fill="auto"/>
            <w:tcMar>
              <w:left w:w="108" w:type="dxa"/>
              <w:right w:w="108" w:type="dxa"/>
            </w:tcMar>
            <w:vAlign w:val="center"/>
          </w:tcPr>
          <w:p>
            <w:pPr>
              <w:widowControl/>
              <w:wordWrap w:val="0"/>
              <w:jc w:val="center"/>
              <w:rPr>
                <w:rFonts w:ascii="宋体" w:hAnsi="宋体"/>
                <w:b/>
                <w:sz w:val="24"/>
              </w:rPr>
            </w:pPr>
            <w:r>
              <w:rPr>
                <w:rFonts w:ascii="宋体" w:hAnsi="宋体"/>
                <w:b/>
                <w:kern w:val="0"/>
                <w:sz w:val="24"/>
              </w:rPr>
              <w:t>反馈意见</w:t>
            </w:r>
          </w:p>
        </w:tc>
        <w:tc>
          <w:tcPr>
            <w:tcW w:w="6427" w:type="dxa"/>
            <w:tcBorders>
              <w:tl2br w:val="nil"/>
              <w:tr2bl w:val="nil"/>
            </w:tcBorders>
            <w:shd w:val="clear" w:color="auto" w:fill="auto"/>
            <w:tcMar>
              <w:left w:w="108" w:type="dxa"/>
              <w:right w:w="108" w:type="dxa"/>
            </w:tcMar>
            <w:vAlign w:val="center"/>
          </w:tcPr>
          <w:p>
            <w:pPr>
              <w:widowControl/>
              <w:wordWrap w:val="0"/>
              <w:jc w:val="center"/>
              <w:rPr>
                <w:rFonts w:hint="eastAsia" w:ascii="宋体" w:hAnsi="宋体" w:eastAsiaTheme="minorEastAsia"/>
                <w:b/>
                <w:kern w:val="0"/>
                <w:sz w:val="24"/>
                <w:lang w:eastAsia="zh-CN"/>
              </w:rPr>
            </w:pPr>
            <w:r>
              <w:rPr>
                <w:rFonts w:hint="eastAsia" w:ascii="宋体" w:hAnsi="宋体"/>
                <w:b/>
                <w:kern w:val="0"/>
                <w:sz w:val="24"/>
                <w:lang w:eastAsia="zh-CN"/>
              </w:rPr>
              <w:t>处理结果</w:t>
            </w:r>
          </w:p>
        </w:tc>
      </w:tr>
      <w:tr>
        <w:tblPrEx>
          <w:tblBorders>
            <w:top w:val="single" w:color="auto" w:sz="8" w:space="0"/>
            <w:left w:val="none" w:color="auto" w:sz="0" w:space="0"/>
            <w:bottom w:val="single" w:color="auto" w:sz="8" w:space="0"/>
            <w:right w:val="none" w:color="auto" w:sz="0" w:space="0"/>
            <w:insideH w:val="single" w:color="auto" w:sz="8" w:space="0"/>
            <w:insideV w:val="none" w:color="auto" w:sz="0" w:space="0"/>
          </w:tblBorders>
          <w:tblLayout w:type="fixed"/>
          <w:tblCellMar>
            <w:top w:w="0" w:type="dxa"/>
            <w:left w:w="0" w:type="dxa"/>
            <w:bottom w:w="0" w:type="dxa"/>
            <w:right w:w="0" w:type="dxa"/>
          </w:tblCellMar>
        </w:tblPrEx>
        <w:trPr>
          <w:jc w:val="center"/>
        </w:trPr>
        <w:tc>
          <w:tcPr>
            <w:tcW w:w="881" w:type="dxa"/>
            <w:tcBorders>
              <w:tl2br w:val="nil"/>
              <w:tr2bl w:val="nil"/>
            </w:tcBorders>
            <w:shd w:val="clear" w:color="auto" w:fill="auto"/>
            <w:tcMar>
              <w:left w:w="108" w:type="dxa"/>
              <w:right w:w="108" w:type="dxa"/>
            </w:tcMar>
            <w:vAlign w:val="center"/>
          </w:tcPr>
          <w:p>
            <w:pPr>
              <w:pStyle w:val="6"/>
              <w:widowControl/>
              <w:numPr>
                <w:ilvl w:val="0"/>
                <w:numId w:val="1"/>
              </w:numPr>
              <w:wordWrap w:val="0"/>
              <w:ind w:firstLineChars="0"/>
              <w:jc w:val="center"/>
              <w:rPr>
                <w:rFonts w:ascii="宋体" w:hAnsi="宋体"/>
                <w:kern w:val="0"/>
                <w:sz w:val="24"/>
              </w:rPr>
            </w:pPr>
          </w:p>
        </w:tc>
        <w:tc>
          <w:tcPr>
            <w:tcW w:w="1320" w:type="dxa"/>
            <w:tcBorders>
              <w:tl2br w:val="nil"/>
              <w:tr2bl w:val="nil"/>
            </w:tcBorders>
            <w:shd w:val="clear" w:color="auto" w:fill="auto"/>
            <w:tcMar>
              <w:left w:w="108" w:type="dxa"/>
              <w:right w:w="108" w:type="dxa"/>
            </w:tcMar>
            <w:vAlign w:val="center"/>
          </w:tcPr>
          <w:p>
            <w:pPr>
              <w:widowControl/>
              <w:wordWrap w:val="0"/>
              <w:jc w:val="center"/>
              <w:rPr>
                <w:rFonts w:hint="default" w:ascii="宋体" w:hAnsi="宋体" w:eastAsiaTheme="minorEastAsia"/>
                <w:kern w:val="0"/>
                <w:sz w:val="24"/>
                <w:lang w:val="en-US" w:eastAsia="zh-CN"/>
              </w:rPr>
            </w:pPr>
            <w:r>
              <w:rPr>
                <w:rFonts w:hint="eastAsia" w:ascii="宋体" w:hAnsi="宋体"/>
                <w:kern w:val="0"/>
                <w:sz w:val="24"/>
                <w:lang w:val="en-US" w:eastAsia="zh-CN"/>
              </w:rPr>
              <w:t>市民</w:t>
            </w:r>
          </w:p>
        </w:tc>
        <w:tc>
          <w:tcPr>
            <w:tcW w:w="5493" w:type="dxa"/>
            <w:tcBorders>
              <w:tl2br w:val="nil"/>
              <w:tr2bl w:val="nil"/>
            </w:tcBorders>
            <w:shd w:val="clear" w:color="auto" w:fill="auto"/>
            <w:tcMar>
              <w:left w:w="108" w:type="dxa"/>
              <w:right w:w="108" w:type="dxa"/>
            </w:tcMar>
            <w:vAlign w:val="center"/>
          </w:tcPr>
          <w:p>
            <w:pPr>
              <w:jc w:val="left"/>
              <w:rPr>
                <w:rFonts w:hint="eastAsia" w:ascii="宋体" w:hAnsi="宋体" w:eastAsiaTheme="minorEastAsia"/>
                <w:kern w:val="0"/>
                <w:sz w:val="24"/>
                <w:lang w:eastAsia="zh-CN"/>
              </w:rPr>
            </w:pPr>
            <w:r>
              <w:rPr>
                <w:rFonts w:hint="eastAsia" w:ascii="宋体" w:hAnsi="宋体"/>
                <w:kern w:val="0"/>
                <w:sz w:val="24"/>
                <w:lang w:eastAsia="zh-CN"/>
              </w:rPr>
              <w:t>年定报是每年都要修订的吗？频繁修订的话会不会给企业造成负担呢？</w:t>
            </w:r>
          </w:p>
        </w:tc>
        <w:tc>
          <w:tcPr>
            <w:tcW w:w="6427" w:type="dxa"/>
            <w:tcBorders>
              <w:tl2br w:val="nil"/>
              <w:tr2bl w:val="nil"/>
            </w:tcBorders>
            <w:shd w:val="clear" w:color="auto" w:fill="auto"/>
            <w:tcMar>
              <w:left w:w="108" w:type="dxa"/>
              <w:right w:w="108" w:type="dxa"/>
            </w:tcMar>
            <w:vAlign w:val="center"/>
          </w:tcPr>
          <w:p>
            <w:pPr>
              <w:ind w:firstLine="480" w:firstLineChars="200"/>
              <w:jc w:val="left"/>
              <w:rPr>
                <w:rFonts w:hint="eastAsia" w:ascii="宋体" w:hAnsi="宋体" w:eastAsiaTheme="minorEastAsia"/>
                <w:kern w:val="0"/>
                <w:sz w:val="24"/>
                <w:lang w:eastAsia="zh-CN"/>
              </w:rPr>
            </w:pPr>
            <w:r>
              <w:rPr>
                <w:rFonts w:hint="eastAsia" w:ascii="宋体" w:hAnsi="宋体"/>
                <w:kern w:val="0"/>
                <w:sz w:val="24"/>
                <w:lang w:eastAsia="zh-CN"/>
              </w:rPr>
              <w:t>年定报的修订是根据国家统计局和广东省统计局统计年报和定期统计报表制度相关通知要求，结合本市实际制定的。修订目的是为了更真实准确地反映我市经济发展状况，统计局各专业每年都会对企业、各区、街道开展年定报培训会。</w:t>
            </w:r>
          </w:p>
        </w:tc>
      </w:tr>
      <w:tr>
        <w:tblPrEx>
          <w:tblBorders>
            <w:top w:val="single" w:color="auto" w:sz="8" w:space="0"/>
            <w:left w:val="none" w:color="auto" w:sz="0" w:space="0"/>
            <w:bottom w:val="single" w:color="auto" w:sz="8" w:space="0"/>
            <w:right w:val="none" w:color="auto" w:sz="0" w:space="0"/>
            <w:insideH w:val="single" w:color="auto" w:sz="8" w:space="0"/>
            <w:insideV w:val="none" w:color="auto" w:sz="0" w:space="0"/>
          </w:tblBorders>
          <w:tblLayout w:type="fixed"/>
          <w:tblCellMar>
            <w:top w:w="0" w:type="dxa"/>
            <w:left w:w="0" w:type="dxa"/>
            <w:bottom w:w="0" w:type="dxa"/>
            <w:right w:w="0" w:type="dxa"/>
          </w:tblCellMar>
        </w:tblPrEx>
        <w:trPr>
          <w:jc w:val="center"/>
        </w:trPr>
        <w:tc>
          <w:tcPr>
            <w:tcW w:w="881" w:type="dxa"/>
            <w:tcBorders>
              <w:tl2br w:val="nil"/>
              <w:tr2bl w:val="nil"/>
            </w:tcBorders>
            <w:shd w:val="clear" w:color="auto" w:fill="auto"/>
            <w:tcMar>
              <w:left w:w="108" w:type="dxa"/>
              <w:right w:w="108" w:type="dxa"/>
            </w:tcMar>
            <w:vAlign w:val="center"/>
          </w:tcPr>
          <w:p>
            <w:pPr>
              <w:pStyle w:val="6"/>
              <w:widowControl/>
              <w:numPr>
                <w:ilvl w:val="0"/>
                <w:numId w:val="1"/>
              </w:numPr>
              <w:wordWrap w:val="0"/>
              <w:ind w:firstLineChars="0"/>
              <w:jc w:val="center"/>
              <w:rPr>
                <w:rFonts w:ascii="宋体" w:hAnsi="宋体"/>
                <w:kern w:val="0"/>
                <w:sz w:val="24"/>
              </w:rPr>
            </w:pPr>
          </w:p>
        </w:tc>
        <w:tc>
          <w:tcPr>
            <w:tcW w:w="1320" w:type="dxa"/>
            <w:tcBorders>
              <w:tl2br w:val="nil"/>
              <w:tr2bl w:val="nil"/>
            </w:tcBorders>
            <w:shd w:val="clear" w:color="auto" w:fill="auto"/>
            <w:tcMar>
              <w:left w:w="108" w:type="dxa"/>
              <w:right w:w="108" w:type="dxa"/>
            </w:tcMar>
            <w:vAlign w:val="center"/>
          </w:tcPr>
          <w:p>
            <w:pPr>
              <w:widowControl/>
              <w:wordWrap w:val="0"/>
              <w:jc w:val="center"/>
              <w:rPr>
                <w:rFonts w:hint="eastAsia" w:ascii="宋体" w:hAnsi="宋体" w:eastAsiaTheme="minorEastAsia"/>
                <w:kern w:val="0"/>
                <w:sz w:val="24"/>
                <w:lang w:eastAsia="zh-CN"/>
              </w:rPr>
            </w:pPr>
            <w:r>
              <w:rPr>
                <w:rFonts w:hint="eastAsia" w:ascii="宋体" w:hAnsi="宋体"/>
                <w:kern w:val="0"/>
                <w:sz w:val="24"/>
                <w:lang w:eastAsia="zh-CN"/>
              </w:rPr>
              <w:t>市民</w:t>
            </w:r>
          </w:p>
        </w:tc>
        <w:tc>
          <w:tcPr>
            <w:tcW w:w="5493" w:type="dxa"/>
            <w:tcBorders>
              <w:tl2br w:val="nil"/>
              <w:tr2bl w:val="nil"/>
            </w:tcBorders>
            <w:shd w:val="clear" w:color="auto" w:fill="auto"/>
            <w:tcMar>
              <w:left w:w="108" w:type="dxa"/>
              <w:right w:w="108" w:type="dxa"/>
            </w:tcMar>
            <w:vAlign w:val="center"/>
          </w:tcPr>
          <w:p>
            <w:pPr>
              <w:widowControl/>
              <w:numPr>
                <w:ilvl w:val="0"/>
                <w:numId w:val="0"/>
              </w:numPr>
              <w:shd w:val="clear" w:color="auto" w:fill="FFFFFF"/>
              <w:jc w:val="left"/>
              <w:rPr>
                <w:rFonts w:hint="eastAsia" w:ascii="宋体" w:hAnsi="宋体" w:eastAsiaTheme="minorEastAsia"/>
                <w:kern w:val="0"/>
                <w:sz w:val="24"/>
                <w:lang w:eastAsia="zh-CN"/>
              </w:rPr>
            </w:pPr>
            <w:r>
              <w:rPr>
                <w:rFonts w:hint="eastAsia" w:ascii="宋体" w:hAnsi="宋体"/>
                <w:kern w:val="0"/>
                <w:sz w:val="24"/>
                <w:lang w:eastAsia="zh-CN"/>
              </w:rPr>
              <w:t>深圳市统计局制定的地方统计调查制度会不会与省和国家的统计调查制度有重复？</w:t>
            </w:r>
          </w:p>
        </w:tc>
        <w:tc>
          <w:tcPr>
            <w:tcW w:w="6427" w:type="dxa"/>
            <w:tcBorders>
              <w:tl2br w:val="nil"/>
              <w:tr2bl w:val="nil"/>
            </w:tcBorders>
            <w:shd w:val="clear" w:color="auto" w:fill="auto"/>
            <w:tcMar>
              <w:left w:w="108" w:type="dxa"/>
              <w:right w:w="108" w:type="dxa"/>
            </w:tcMar>
            <w:vAlign w:val="center"/>
          </w:tcPr>
          <w:p>
            <w:pPr>
              <w:widowControl/>
              <w:shd w:val="clear" w:color="auto" w:fill="FFFFFF"/>
              <w:jc w:val="left"/>
              <w:rPr>
                <w:rFonts w:hint="default" w:ascii="宋体" w:hAnsi="宋体" w:eastAsiaTheme="minorEastAsia"/>
                <w:kern w:val="0"/>
                <w:sz w:val="24"/>
                <w:lang w:val="en-US" w:eastAsia="zh-CN"/>
              </w:rPr>
            </w:pPr>
            <w:r>
              <w:rPr>
                <w:rFonts w:hint="eastAsia" w:ascii="宋体" w:hAnsi="宋体"/>
                <w:kern w:val="0"/>
                <w:sz w:val="24"/>
                <w:lang w:val="en-US" w:eastAsia="zh-CN"/>
              </w:rPr>
              <w:t xml:space="preserve">    根据统计法第十一条规定：统计调查项目包括国家统计调查项目、部门统计调查项目和地方统计调查项目。地方统计调查项目是指县级以上地方人民政府及其部门的地方性统计调查项目。 国家统计调查项目、部门统计调查项目、地方统计调查项目应当明确分工，互相衔接，不得重复。</w:t>
            </w:r>
          </w:p>
        </w:tc>
      </w:tr>
      <w:tr>
        <w:tblPrEx>
          <w:tblBorders>
            <w:top w:val="single" w:color="auto" w:sz="8" w:space="0"/>
            <w:left w:val="none" w:color="auto" w:sz="0" w:space="0"/>
            <w:bottom w:val="single" w:color="auto" w:sz="8" w:space="0"/>
            <w:right w:val="none" w:color="auto" w:sz="0" w:space="0"/>
            <w:insideH w:val="single" w:color="auto" w:sz="8" w:space="0"/>
            <w:insideV w:val="none" w:color="auto" w:sz="0" w:space="0"/>
          </w:tblBorders>
          <w:tblLayout w:type="fixed"/>
          <w:tblCellMar>
            <w:top w:w="0" w:type="dxa"/>
            <w:left w:w="0" w:type="dxa"/>
            <w:bottom w:w="0" w:type="dxa"/>
            <w:right w:w="0" w:type="dxa"/>
          </w:tblCellMar>
        </w:tblPrEx>
        <w:trPr>
          <w:trHeight w:val="1293" w:hRule="atLeast"/>
          <w:jc w:val="center"/>
        </w:trPr>
        <w:tc>
          <w:tcPr>
            <w:tcW w:w="881" w:type="dxa"/>
            <w:tcBorders>
              <w:tl2br w:val="nil"/>
              <w:tr2bl w:val="nil"/>
            </w:tcBorders>
            <w:shd w:val="clear" w:color="auto" w:fill="auto"/>
            <w:tcMar>
              <w:left w:w="108" w:type="dxa"/>
              <w:right w:w="108" w:type="dxa"/>
            </w:tcMar>
            <w:vAlign w:val="center"/>
          </w:tcPr>
          <w:p>
            <w:pPr>
              <w:pStyle w:val="6"/>
              <w:widowControl/>
              <w:numPr>
                <w:ilvl w:val="0"/>
                <w:numId w:val="1"/>
              </w:numPr>
              <w:wordWrap w:val="0"/>
              <w:ind w:firstLineChars="0"/>
              <w:jc w:val="center"/>
              <w:rPr>
                <w:rFonts w:ascii="宋体" w:hAnsi="宋体"/>
                <w:kern w:val="0"/>
                <w:sz w:val="24"/>
              </w:rPr>
            </w:pPr>
          </w:p>
        </w:tc>
        <w:tc>
          <w:tcPr>
            <w:tcW w:w="1320" w:type="dxa"/>
            <w:tcBorders>
              <w:tl2br w:val="nil"/>
              <w:tr2bl w:val="nil"/>
            </w:tcBorders>
            <w:shd w:val="clear" w:color="auto" w:fill="auto"/>
            <w:tcMar>
              <w:left w:w="108" w:type="dxa"/>
              <w:right w:w="108" w:type="dxa"/>
            </w:tcMar>
            <w:vAlign w:val="center"/>
          </w:tcPr>
          <w:p>
            <w:pPr>
              <w:widowControl/>
              <w:wordWrap w:val="0"/>
              <w:jc w:val="center"/>
              <w:rPr>
                <w:rFonts w:hint="eastAsia" w:ascii="宋体" w:hAnsi="宋体"/>
                <w:kern w:val="0"/>
                <w:sz w:val="24"/>
                <w:lang w:eastAsia="zh-CN"/>
              </w:rPr>
            </w:pPr>
            <w:r>
              <w:rPr>
                <w:rFonts w:hint="eastAsia" w:ascii="宋体" w:hAnsi="宋体"/>
                <w:kern w:val="0"/>
                <w:sz w:val="24"/>
                <w:lang w:eastAsia="zh-CN"/>
              </w:rPr>
              <w:t>市民</w:t>
            </w:r>
          </w:p>
        </w:tc>
        <w:tc>
          <w:tcPr>
            <w:tcW w:w="5493" w:type="dxa"/>
            <w:tcBorders>
              <w:tl2br w:val="nil"/>
              <w:tr2bl w:val="nil"/>
            </w:tcBorders>
            <w:shd w:val="clear" w:color="auto" w:fill="auto"/>
            <w:tcMar>
              <w:left w:w="108" w:type="dxa"/>
              <w:right w:w="108" w:type="dxa"/>
            </w:tcMar>
            <w:vAlign w:val="center"/>
          </w:tcPr>
          <w:p>
            <w:pPr>
              <w:widowControl/>
              <w:numPr>
                <w:ilvl w:val="0"/>
                <w:numId w:val="0"/>
              </w:numPr>
              <w:shd w:val="clear" w:color="auto" w:fill="FFFFFF"/>
              <w:jc w:val="left"/>
              <w:rPr>
                <w:rFonts w:hint="eastAsia" w:ascii="宋体" w:hAnsi="宋体" w:eastAsiaTheme="minorEastAsia"/>
                <w:kern w:val="0"/>
                <w:sz w:val="24"/>
                <w:lang w:eastAsia="zh-CN"/>
              </w:rPr>
            </w:pPr>
            <w:r>
              <w:rPr>
                <w:rFonts w:hint="eastAsia" w:ascii="宋体" w:hAnsi="宋体"/>
                <w:kern w:val="0"/>
                <w:sz w:val="24"/>
                <w:lang w:eastAsia="zh-CN"/>
              </w:rPr>
              <w:t>请问划分行业的原则是什么？</w:t>
            </w:r>
          </w:p>
        </w:tc>
        <w:tc>
          <w:tcPr>
            <w:tcW w:w="6427" w:type="dxa"/>
            <w:tcBorders>
              <w:tl2br w:val="nil"/>
              <w:tr2bl w:val="nil"/>
            </w:tcBorders>
            <w:shd w:val="clear" w:color="auto" w:fill="auto"/>
            <w:tcMar>
              <w:left w:w="108" w:type="dxa"/>
              <w:right w:w="108" w:type="dxa"/>
            </w:tcMar>
            <w:vAlign w:val="center"/>
          </w:tcPr>
          <w:p>
            <w:pPr>
              <w:widowControl/>
              <w:shd w:val="clear" w:color="auto" w:fill="FFFFFF"/>
              <w:ind w:firstLine="480" w:firstLineChars="200"/>
              <w:jc w:val="left"/>
              <w:rPr>
                <w:rFonts w:hint="eastAsia" w:ascii="宋体" w:hAnsi="宋体"/>
                <w:kern w:val="0"/>
                <w:sz w:val="24"/>
                <w:lang w:val="en-US" w:eastAsia="zh-CN"/>
              </w:rPr>
            </w:pPr>
            <w:r>
              <w:rPr>
                <w:rFonts w:hint="eastAsia" w:ascii="宋体" w:hAnsi="宋体"/>
                <w:kern w:val="0"/>
                <w:sz w:val="24"/>
                <w:lang w:eastAsia="zh-CN"/>
              </w:rPr>
              <w:t>根据《国民经济行业分类》（GB/T 4754-2017）第1号修改单，</w:t>
            </w:r>
            <w:r>
              <w:rPr>
                <w:rFonts w:hint="eastAsia" w:ascii="宋体" w:hAnsi="宋体"/>
                <w:kern w:val="0"/>
                <w:sz w:val="24"/>
                <w:lang w:val="en-US" w:eastAsia="zh-CN"/>
              </w:rPr>
              <w:t>本标准采用经济活动的同质性原则划分国民经济行业。即每一个行业类别按照同一种经济活动的性质划分，而不是依据编制、会计制度或部门管理等划分。</w:t>
            </w:r>
          </w:p>
          <w:p>
            <w:pPr>
              <w:widowControl/>
              <w:shd w:val="clear" w:color="auto" w:fill="FFFFFF"/>
              <w:jc w:val="left"/>
              <w:rPr>
                <w:rFonts w:hint="eastAsia" w:ascii="宋体" w:hAnsi="宋体"/>
                <w:kern w:val="0"/>
                <w:sz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810D0"/>
    <w:multiLevelType w:val="multilevel"/>
    <w:tmpl w:val="36A810D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D945FA"/>
    <w:rsid w:val="30D94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beforeLines="0" w:after="260" w:afterLines="0" w:line="413" w:lineRule="auto"/>
      <w:outlineLvl w:val="2"/>
    </w:pPr>
    <w:rPr>
      <w:rFonts w:eastAsia="宋体"/>
      <w:b/>
      <w:sz w:val="32"/>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2019-11-29T08:31:00Z</dcterms:created>
  <dc:creator>好饭友</dc:creator>
  <cp:lastModifiedBy>好饭友</cp:lastModifiedBy>
  <dcterms:modified xsi:type="dcterms:W3CDTF">2019-11-29T08:31:38Z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