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/>
          <w:b/>
          <w:bCs/>
          <w:sz w:val="32"/>
          <w:szCs w:val="32"/>
        </w:rPr>
        <w:t>附件</w:t>
      </w:r>
      <w:r>
        <w:rPr>
          <w:rFonts w:hint="eastAsia" w:ascii="宋体" w:hAnsi="宋体"/>
          <w:b/>
          <w:bCs/>
          <w:sz w:val="32"/>
          <w:szCs w:val="32"/>
        </w:rPr>
        <w:t>6</w:t>
      </w:r>
    </w:p>
    <w:p>
      <w:pPr>
        <w:jc w:val="center"/>
        <w:rPr>
          <w:rFonts w:ascii="仿宋_GB2312" w:hAnsi="宋体" w:eastAsia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sz w:val="44"/>
          <w:szCs w:val="44"/>
        </w:rPr>
        <w:t>涉外业务专项统计表</w:t>
      </w:r>
    </w:p>
    <w:tbl>
      <w:tblPr>
        <w:tblStyle w:val="7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10"/>
        <w:gridCol w:w="2032"/>
        <w:gridCol w:w="25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业务类型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案件数量（件）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案件标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的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额（元）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涉外案件业务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国际经济合作</w:t>
            </w:r>
          </w:p>
        </w:tc>
        <w:tc>
          <w:tcPr>
            <w:tcW w:w="2032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504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企业合规</w:t>
            </w:r>
          </w:p>
        </w:tc>
        <w:tc>
          <w:tcPr>
            <w:tcW w:w="2032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504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国际贸易</w:t>
            </w:r>
          </w:p>
        </w:tc>
        <w:tc>
          <w:tcPr>
            <w:tcW w:w="2032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504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跨境投资</w:t>
            </w:r>
          </w:p>
        </w:tc>
        <w:tc>
          <w:tcPr>
            <w:tcW w:w="2032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504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金融与资本市场</w:t>
            </w:r>
          </w:p>
        </w:tc>
        <w:tc>
          <w:tcPr>
            <w:tcW w:w="2032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504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双反双保</w:t>
            </w:r>
          </w:p>
        </w:tc>
        <w:tc>
          <w:tcPr>
            <w:tcW w:w="2032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504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能源与基础设施</w:t>
            </w:r>
          </w:p>
        </w:tc>
        <w:tc>
          <w:tcPr>
            <w:tcW w:w="2032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504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跨国犯罪与追逃追赃</w:t>
            </w:r>
          </w:p>
        </w:tc>
        <w:tc>
          <w:tcPr>
            <w:tcW w:w="2032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504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知识产权及信息安全</w:t>
            </w:r>
          </w:p>
        </w:tc>
        <w:tc>
          <w:tcPr>
            <w:tcW w:w="2032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504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海商海事</w:t>
            </w:r>
          </w:p>
        </w:tc>
        <w:tc>
          <w:tcPr>
            <w:tcW w:w="2032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504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民商事诉讼与仲裁</w:t>
            </w:r>
          </w:p>
        </w:tc>
        <w:tc>
          <w:tcPr>
            <w:tcW w:w="2032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504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其他涉外刑事案件</w:t>
            </w:r>
          </w:p>
        </w:tc>
        <w:tc>
          <w:tcPr>
            <w:tcW w:w="2032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504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其他委托人为涉外主体的案件、事务，或涉及跨境、境外投资、争议解决案件、事务</w:t>
            </w:r>
          </w:p>
        </w:tc>
        <w:tc>
          <w:tcPr>
            <w:tcW w:w="2032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504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涉外合规案件</w:t>
            </w:r>
          </w:p>
        </w:tc>
        <w:tc>
          <w:tcPr>
            <w:tcW w:w="2032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504" w:type="dxa"/>
          </w:tcPr>
          <w:p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附：涉外律师、律师事务所统计标准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涉外律师业务、能力统计</w:t>
      </w:r>
    </w:p>
    <w:tbl>
      <w:tblPr>
        <w:tblStyle w:val="7"/>
        <w:tblW w:w="0" w:type="auto"/>
        <w:tblInd w:w="7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244"/>
        <w:gridCol w:w="16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12"/>
              <w:ind w:firstLine="0" w:firstLineChars="0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5244" w:type="dxa"/>
          </w:tcPr>
          <w:p>
            <w:pPr>
              <w:pStyle w:val="12"/>
              <w:ind w:firstLine="0" w:firstLineChars="0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业务、能力标准（涉外律师应具备以下至少一项能力或经历）</w:t>
            </w:r>
          </w:p>
        </w:tc>
        <w:tc>
          <w:tcPr>
            <w:tcW w:w="1610" w:type="dxa"/>
          </w:tcPr>
          <w:p>
            <w:pPr>
              <w:pStyle w:val="12"/>
              <w:ind w:firstLine="0" w:firstLineChars="0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符合条件律师姓名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以涉外法律服务为主要业务，熟练掌握至少一种外语，并可以作为工作语言；</w:t>
            </w:r>
          </w:p>
        </w:tc>
        <w:tc>
          <w:tcPr>
            <w:tcW w:w="1610" w:type="dxa"/>
          </w:tcPr>
          <w:p>
            <w:pPr>
              <w:pStyle w:val="12"/>
              <w:ind w:firstLine="0" w:firstLineChars="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担任跨境内企业或政府部门法律顾问并提供涉外法律服务，或协助企业、政府部门处理国际政治、经济相关法律问题；</w:t>
            </w:r>
          </w:p>
        </w:tc>
        <w:tc>
          <w:tcPr>
            <w:tcW w:w="1610" w:type="dxa"/>
          </w:tcPr>
          <w:p>
            <w:pPr>
              <w:pStyle w:val="12"/>
              <w:ind w:firstLine="0" w:firstLineChars="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为中、外企业涉外经济活动提供非诉法律服务</w:t>
            </w:r>
          </w:p>
        </w:tc>
        <w:tc>
          <w:tcPr>
            <w:tcW w:w="1610" w:type="dxa"/>
          </w:tcPr>
          <w:p>
            <w:pPr>
              <w:pStyle w:val="12"/>
              <w:ind w:firstLine="0" w:firstLineChars="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代表中、外企业在涉外民商事纠纷中提供诉讼代理服务；</w:t>
            </w:r>
          </w:p>
        </w:tc>
        <w:tc>
          <w:tcPr>
            <w:tcW w:w="1610" w:type="dxa"/>
          </w:tcPr>
          <w:p>
            <w:pPr>
              <w:pStyle w:val="12"/>
              <w:ind w:firstLine="0" w:firstLineChars="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办理涉外法律事务，促进境内企业“走出去”发挥重要作用或挽回重大经济损失；</w:t>
            </w:r>
          </w:p>
        </w:tc>
        <w:tc>
          <w:tcPr>
            <w:tcW w:w="1610" w:type="dxa"/>
          </w:tcPr>
          <w:p>
            <w:pPr>
              <w:pStyle w:val="12"/>
              <w:ind w:firstLine="0" w:firstLineChars="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具有涉外仲裁、调节工作经历（例如仲裁员、调解员）；</w:t>
            </w:r>
          </w:p>
        </w:tc>
        <w:tc>
          <w:tcPr>
            <w:tcW w:w="1610" w:type="dxa"/>
          </w:tcPr>
          <w:p>
            <w:pPr>
              <w:pStyle w:val="12"/>
              <w:ind w:firstLine="0" w:firstLineChars="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具有企业涉外法律事务部门工作经历，或具有行政机关涉外部门工作经历；</w:t>
            </w:r>
          </w:p>
        </w:tc>
        <w:tc>
          <w:tcPr>
            <w:tcW w:w="1610" w:type="dxa"/>
          </w:tcPr>
          <w:p>
            <w:pPr>
              <w:pStyle w:val="12"/>
              <w:ind w:firstLine="0" w:firstLineChars="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具有境外律师事务所、司法部门或其他法律机构工作经历；</w:t>
            </w:r>
          </w:p>
        </w:tc>
        <w:tc>
          <w:tcPr>
            <w:tcW w:w="1610" w:type="dxa"/>
          </w:tcPr>
          <w:p>
            <w:pPr>
              <w:pStyle w:val="12"/>
              <w:ind w:firstLine="0" w:firstLineChars="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获得境外国家或地区律师执业资格或法律从业资质；</w:t>
            </w:r>
          </w:p>
        </w:tc>
        <w:tc>
          <w:tcPr>
            <w:tcW w:w="1610" w:type="dxa"/>
          </w:tcPr>
          <w:p>
            <w:pPr>
              <w:pStyle w:val="12"/>
              <w:ind w:firstLine="0" w:firstLineChars="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具有境外法学院或其他相关专业留学教育经历；</w:t>
            </w:r>
          </w:p>
        </w:tc>
        <w:tc>
          <w:tcPr>
            <w:tcW w:w="1610" w:type="dxa"/>
          </w:tcPr>
          <w:p>
            <w:pPr>
              <w:pStyle w:val="12"/>
              <w:ind w:firstLine="0" w:firstLineChars="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国内外语学院毕业或具有国内外语学院任教经历；</w:t>
            </w:r>
          </w:p>
        </w:tc>
        <w:tc>
          <w:tcPr>
            <w:tcW w:w="1610" w:type="dxa"/>
          </w:tcPr>
          <w:p>
            <w:pPr>
              <w:pStyle w:val="12"/>
              <w:ind w:firstLine="0" w:firstLineChars="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12"/>
        <w:ind w:left="720" w:firstLine="0" w:firstLineChars="0"/>
        <w:jc w:val="left"/>
        <w:rPr>
          <w:rFonts w:ascii="宋体" w:hAnsi="宋体"/>
          <w:b/>
          <w:bCs/>
          <w:sz w:val="28"/>
          <w:szCs w:val="28"/>
        </w:rPr>
      </w:pPr>
    </w:p>
    <w:p>
      <w:pPr>
        <w:rPr>
          <w:rFonts w:ascii="仿宋_GB2312" w:hAnsi="仿宋_GB2312" w:eastAsia="仿宋_GB2312"/>
          <w:b/>
          <w:sz w:val="36"/>
          <w:szCs w:val="36"/>
        </w:rPr>
      </w:pPr>
      <w:r>
        <w:rPr>
          <w:rFonts w:hint="eastAsia" w:ascii="仿宋_GB2312" w:hAnsi="仿宋_GB2312" w:eastAsia="仿宋_GB2312"/>
          <w:b/>
          <w:sz w:val="36"/>
          <w:szCs w:val="36"/>
        </w:rPr>
        <w:t>2、涉外律师、律师事务所统计标准</w:t>
      </w:r>
    </w:p>
    <w:p>
      <w:pPr>
        <w:pStyle w:val="12"/>
        <w:numPr>
          <w:ilvl w:val="0"/>
          <w:numId w:val="2"/>
        </w:numPr>
        <w:ind w:firstLineChars="0"/>
        <w:rPr>
          <w:rFonts w:ascii="仿宋_GB2312" w:hAnsi="仿宋_GB2312" w:eastAsia="仿宋_GB2312"/>
          <w:b/>
        </w:rPr>
      </w:pPr>
      <w:r>
        <w:rPr>
          <w:rFonts w:hint="eastAsia" w:ascii="仿宋_GB2312" w:hAnsi="仿宋_GB2312" w:eastAsia="仿宋_GB2312"/>
          <w:sz w:val="32"/>
          <w:szCs w:val="32"/>
        </w:rPr>
        <w:t>涉外律师、律师事务所近三年内业务范围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涉外律师、律师事务所近三年业务应包括以下至少一项：</w:t>
      </w:r>
    </w:p>
    <w:p>
      <w:pPr>
        <w:pStyle w:val="12"/>
        <w:numPr>
          <w:ilvl w:val="0"/>
          <w:numId w:val="3"/>
        </w:numPr>
        <w:ind w:firstLineChars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国际经济合作。包括国际经济对话，国际组织谈判，双边或多边经贸协定，政府投资协定谈判等;</w:t>
      </w:r>
    </w:p>
    <w:p>
      <w:pPr>
        <w:pStyle w:val="12"/>
        <w:numPr>
          <w:ilvl w:val="0"/>
          <w:numId w:val="3"/>
        </w:numPr>
        <w:ind w:firstLineChars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国际贸易。包括WTO争端解决，反垄断，反倾销、反补贴及保障措施，美国337调查、301调查，国际货物买卖，跨境电子商务，海关事务等;</w:t>
      </w:r>
    </w:p>
    <w:p>
      <w:pPr>
        <w:pStyle w:val="12"/>
        <w:numPr>
          <w:ilvl w:val="0"/>
          <w:numId w:val="3"/>
        </w:numPr>
        <w:ind w:firstLineChars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跨境投资。包括境外绿地投资，跨境股权并购，跨境资产交易，境外设立法人或分支机构，反商业贿赂、反腐败等;</w:t>
      </w:r>
    </w:p>
    <w:p>
      <w:pPr>
        <w:pStyle w:val="12"/>
        <w:numPr>
          <w:ilvl w:val="0"/>
          <w:numId w:val="3"/>
        </w:numPr>
        <w:ind w:firstLineChars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金融与资本市场。包括跨境贷款，境外发债，国际融资，互联网金融，境外上市，涉外基金、信托等;</w:t>
      </w:r>
    </w:p>
    <w:p>
      <w:pPr>
        <w:pStyle w:val="12"/>
        <w:numPr>
          <w:ilvl w:val="0"/>
          <w:numId w:val="3"/>
        </w:numPr>
        <w:ind w:firstLineChars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能源与基础设施。包括境外基础设施投资与建设，国际能源勘探与开发等;</w:t>
      </w:r>
    </w:p>
    <w:p>
      <w:pPr>
        <w:pStyle w:val="12"/>
        <w:numPr>
          <w:ilvl w:val="0"/>
          <w:numId w:val="3"/>
        </w:numPr>
        <w:ind w:firstLineChars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海商海事。包括船舶，航运，海损，海洋养殖，海事特别程序等;</w:t>
      </w:r>
    </w:p>
    <w:p>
      <w:pPr>
        <w:pStyle w:val="12"/>
        <w:numPr>
          <w:ilvl w:val="0"/>
          <w:numId w:val="3"/>
        </w:numPr>
        <w:ind w:firstLineChars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跨国犯罪与追逃追赃。包括跨国毒品、洗钱、腐败、恐怖主义等犯罪，追逃追赃，国际刑事司法协助等;</w:t>
      </w:r>
    </w:p>
    <w:p>
      <w:pPr>
        <w:pStyle w:val="12"/>
        <w:numPr>
          <w:ilvl w:val="0"/>
          <w:numId w:val="3"/>
        </w:numPr>
        <w:ind w:firstLineChars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知识产权及信息安全。包括涉外专利、商标、著作权、商业秘密保护，涉外知识产权交易，国际网络信息安全，涉外知识产权争议等;</w:t>
      </w:r>
    </w:p>
    <w:p>
      <w:pPr>
        <w:pStyle w:val="12"/>
        <w:numPr>
          <w:ilvl w:val="0"/>
          <w:numId w:val="3"/>
        </w:numPr>
        <w:ind w:firstLineChars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民商事诉讼与仲裁。包括涉外民商事诉讼、仲裁及相关执行，替代性争议解决等；</w:t>
      </w:r>
    </w:p>
    <w:p>
      <w:pPr>
        <w:pStyle w:val="12"/>
        <w:numPr>
          <w:ilvl w:val="0"/>
          <w:numId w:val="3"/>
        </w:numPr>
        <w:ind w:firstLineChars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其他</w:t>
      </w:r>
      <w:r>
        <w:rPr>
          <w:rFonts w:ascii="仿宋_GB2312" w:hAnsi="仿宋_GB2312" w:eastAsia="仿宋_GB2312"/>
          <w:sz w:val="32"/>
          <w:szCs w:val="32"/>
        </w:rPr>
        <w:t>涉外刑事案件</w:t>
      </w:r>
      <w:r>
        <w:rPr>
          <w:rFonts w:hint="eastAsia" w:ascii="仿宋_GB2312" w:hAnsi="仿宋_GB2312" w:eastAsia="仿宋_GB2312"/>
          <w:sz w:val="32"/>
          <w:szCs w:val="32"/>
        </w:rPr>
        <w:t>。包括</w:t>
      </w:r>
      <w:r>
        <w:rPr>
          <w:rFonts w:ascii="仿宋_GB2312" w:hAnsi="仿宋_GB2312" w:eastAsia="仿宋_GB2312"/>
          <w:sz w:val="32"/>
          <w:szCs w:val="32"/>
        </w:rPr>
        <w:t>在中国领域内的外国人、无国籍人的犯罪案件，中国公民侵犯外国人、无国籍人或外国权益的犯罪案件，外国人在中国领域外对中国国家或公民的犯罪案件。</w:t>
      </w:r>
    </w:p>
    <w:p>
      <w:pPr>
        <w:pStyle w:val="12"/>
        <w:numPr>
          <w:ilvl w:val="0"/>
          <w:numId w:val="3"/>
        </w:numPr>
        <w:ind w:firstLineChars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其他委托人为涉外主体的案件、事务，或涉及跨境、境外投资、争议解决案件、事务。</w:t>
      </w:r>
    </w:p>
    <w:p>
      <w:pPr>
        <w:pStyle w:val="12"/>
        <w:numPr>
          <w:ilvl w:val="0"/>
          <w:numId w:val="2"/>
        </w:numPr>
        <w:ind w:firstLineChars="0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涉外律师业务、能力标准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涉外律师应具备以下至少一项能力或经历：</w:t>
      </w:r>
    </w:p>
    <w:p>
      <w:pPr>
        <w:pStyle w:val="12"/>
        <w:numPr>
          <w:ilvl w:val="0"/>
          <w:numId w:val="4"/>
        </w:numPr>
        <w:ind w:firstLineChars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以涉外法律服务为主要业务，熟练掌握至少一种外语，并可以作为工作语言；</w:t>
      </w:r>
    </w:p>
    <w:p>
      <w:pPr>
        <w:pStyle w:val="12"/>
        <w:numPr>
          <w:ilvl w:val="0"/>
          <w:numId w:val="4"/>
        </w:numPr>
        <w:ind w:firstLineChars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担任境内企业或政府部门法律顾问并提供涉外法律服务，或协助企业、政府部门处理国际政治、经济相关法律问题；</w:t>
      </w:r>
    </w:p>
    <w:p>
      <w:pPr>
        <w:pStyle w:val="12"/>
        <w:numPr>
          <w:ilvl w:val="0"/>
          <w:numId w:val="4"/>
        </w:numPr>
        <w:ind w:firstLineChars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为中、外企业涉外经济活动提供非诉法律服务；</w:t>
      </w:r>
    </w:p>
    <w:p>
      <w:pPr>
        <w:pStyle w:val="12"/>
        <w:numPr>
          <w:ilvl w:val="0"/>
          <w:numId w:val="4"/>
        </w:numPr>
        <w:ind w:firstLineChars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代表中、外企业在涉外民商事纠纷中提供诉讼代理服务；</w:t>
      </w:r>
    </w:p>
    <w:p>
      <w:pPr>
        <w:pStyle w:val="12"/>
        <w:numPr>
          <w:ilvl w:val="0"/>
          <w:numId w:val="4"/>
        </w:numPr>
        <w:ind w:firstLineChars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办理涉外法律事务，促进境内企业“走出去”发挥重要作用或挽回重大经济损失;</w:t>
      </w:r>
    </w:p>
    <w:p>
      <w:pPr>
        <w:pStyle w:val="12"/>
        <w:numPr>
          <w:ilvl w:val="0"/>
          <w:numId w:val="4"/>
        </w:numPr>
        <w:ind w:firstLineChars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具有涉外仲裁、调解工作经历（例如仲裁员、调解员）；</w:t>
      </w:r>
    </w:p>
    <w:p>
      <w:pPr>
        <w:pStyle w:val="12"/>
        <w:numPr>
          <w:ilvl w:val="0"/>
          <w:numId w:val="4"/>
        </w:numPr>
        <w:ind w:firstLineChars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具有企业涉外法律事务部门工作经历，或具有行政机关涉外部门工作经历;</w:t>
      </w:r>
    </w:p>
    <w:p>
      <w:pPr>
        <w:pStyle w:val="12"/>
        <w:numPr>
          <w:ilvl w:val="0"/>
          <w:numId w:val="4"/>
        </w:numPr>
        <w:ind w:firstLineChars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具有境外律师事务所、司法部门或其他法律机构工作经历；</w:t>
      </w:r>
    </w:p>
    <w:p>
      <w:pPr>
        <w:pStyle w:val="12"/>
        <w:numPr>
          <w:ilvl w:val="0"/>
          <w:numId w:val="4"/>
        </w:numPr>
        <w:ind w:firstLineChars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获得境外国家或地区律师执业资格或法律从业资质；</w:t>
      </w:r>
    </w:p>
    <w:p>
      <w:pPr>
        <w:pStyle w:val="12"/>
        <w:numPr>
          <w:ilvl w:val="0"/>
          <w:numId w:val="4"/>
        </w:numPr>
        <w:ind w:firstLineChars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具有境外法学院或其他相关专业留学教育经历；</w:t>
      </w:r>
    </w:p>
    <w:p>
      <w:pPr>
        <w:pStyle w:val="12"/>
        <w:numPr>
          <w:ilvl w:val="0"/>
          <w:numId w:val="4"/>
        </w:numPr>
        <w:ind w:firstLineChars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国内外语学院毕业或具有国内外语学院任教经历的。</w:t>
      </w:r>
    </w:p>
    <w:p>
      <w:pPr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三、涉外法律业务审查标准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涉外法律业务应满足以下至少一项条件：</w:t>
      </w:r>
    </w:p>
    <w:p>
      <w:pPr>
        <w:ind w:left="566" w:hanging="566" w:hangingChars="177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 委托当事人为涉外主体，如境外自然人、境外企业、外商投资企业或跨国公司；</w:t>
      </w:r>
    </w:p>
    <w:p>
      <w:pPr>
        <w:ind w:left="566" w:hanging="566" w:hangingChars="177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</w:t>
      </w:r>
      <w:r>
        <w:rPr>
          <w:rFonts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委托法律业务为跨境或境外案件、事务（如跨境、境外争议解决、中国投资者海外投资等相关案件、事务）；</w:t>
      </w:r>
    </w:p>
    <w:p>
      <w:pPr>
        <w:ind w:left="566" w:hanging="566" w:hangingChars="177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</w:t>
      </w:r>
      <w:r>
        <w:rPr>
          <w:rFonts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委托法律业务的相对方、相关方、合作方、收购方或被收购方等关联方为涉外主体；</w:t>
      </w:r>
    </w:p>
    <w:p>
      <w:pPr>
        <w:ind w:left="566" w:hanging="566" w:hangingChars="177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（四） 委托法律业务涉及适用境外其他国家或地区法律法规、国际法、国际公约或我国涉外法律；</w:t>
      </w:r>
    </w:p>
    <w:p>
      <w:pPr>
        <w:ind w:left="566" w:hanging="566" w:hangingChars="177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（五）</w:t>
      </w:r>
      <w:r>
        <w:rPr>
          <w:rFonts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委托法律业务的管辖机构为境外主体、司法机关（如外国法院、仲裁机构、国际贸易组织等）；</w:t>
      </w:r>
    </w:p>
    <w:p>
      <w:pPr>
        <w:ind w:left="566" w:hanging="566" w:hangingChars="177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（六）</w:t>
      </w:r>
      <w:r>
        <w:rPr>
          <w:rFonts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其它相关涉外法律业务，包括但不限于委托当事人相关主体（如分公司等）、标的物（如目标公司或合作伙伴等）在境外或相关事务发生在境外。</w:t>
      </w:r>
    </w:p>
    <w:p>
      <w:pPr>
        <w:ind w:firstLine="4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为证明上述内容，律师或律所应提交涉外法律业务相应的委托代理合同关键页、授权委托书或其他形式的委托文件（如表明委托关系的邮件、经客户确认的收费账单等）。</w:t>
      </w: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仿宋_GB231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仿宋_GB2312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6E02"/>
    <w:multiLevelType w:val="multilevel"/>
    <w:tmpl w:val="12DA6E0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F75B29"/>
    <w:multiLevelType w:val="multilevel"/>
    <w:tmpl w:val="2BF75B29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5E76DA"/>
    <w:multiLevelType w:val="multilevel"/>
    <w:tmpl w:val="535E76DA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A22471"/>
    <w:multiLevelType w:val="multilevel"/>
    <w:tmpl w:val="54A2247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44"/>
    <w:rsid w:val="000B282D"/>
    <w:rsid w:val="000D1370"/>
    <w:rsid w:val="001A3396"/>
    <w:rsid w:val="001B7D6D"/>
    <w:rsid w:val="00232A48"/>
    <w:rsid w:val="00301973"/>
    <w:rsid w:val="003222D0"/>
    <w:rsid w:val="00331F06"/>
    <w:rsid w:val="00395889"/>
    <w:rsid w:val="003A6686"/>
    <w:rsid w:val="003C45EF"/>
    <w:rsid w:val="00493168"/>
    <w:rsid w:val="004950D3"/>
    <w:rsid w:val="00512D8A"/>
    <w:rsid w:val="005C3644"/>
    <w:rsid w:val="005F08FB"/>
    <w:rsid w:val="00616D83"/>
    <w:rsid w:val="00637ABC"/>
    <w:rsid w:val="00642FD0"/>
    <w:rsid w:val="006945CB"/>
    <w:rsid w:val="00711111"/>
    <w:rsid w:val="007538DA"/>
    <w:rsid w:val="00811380"/>
    <w:rsid w:val="009002F2"/>
    <w:rsid w:val="009766EB"/>
    <w:rsid w:val="00987933"/>
    <w:rsid w:val="00994CA2"/>
    <w:rsid w:val="009A345D"/>
    <w:rsid w:val="009A564E"/>
    <w:rsid w:val="00A25F9F"/>
    <w:rsid w:val="00A516A2"/>
    <w:rsid w:val="00AD2208"/>
    <w:rsid w:val="00B71249"/>
    <w:rsid w:val="00BA6126"/>
    <w:rsid w:val="00BE39DB"/>
    <w:rsid w:val="00C46681"/>
    <w:rsid w:val="00D14A28"/>
    <w:rsid w:val="00D272A9"/>
    <w:rsid w:val="00D62ACF"/>
    <w:rsid w:val="00D71C40"/>
    <w:rsid w:val="00D8637A"/>
    <w:rsid w:val="00D90E1D"/>
    <w:rsid w:val="00DD6C33"/>
    <w:rsid w:val="00E4791F"/>
    <w:rsid w:val="00E8093E"/>
    <w:rsid w:val="00E87D29"/>
    <w:rsid w:val="00E942F3"/>
    <w:rsid w:val="00F81767"/>
    <w:rsid w:val="00FA5C5E"/>
    <w:rsid w:val="00FB6340"/>
    <w:rsid w:val="00FC64B3"/>
    <w:rsid w:val="6CC9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0"/>
    <w:pPr>
      <w:spacing w:before="140" w:after="100" w:afterAutospacing="1"/>
      <w:ind w:left="115"/>
    </w:pPr>
    <w:rPr>
      <w:rFonts w:ascii="宋体" w:hAnsi="宋体"/>
      <w:sz w:val="32"/>
      <w:szCs w:val="32"/>
      <w:lang w:val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 Char"/>
    <w:basedOn w:val="8"/>
    <w:link w:val="2"/>
    <w:semiHidden/>
    <w:qFormat/>
    <w:uiPriority w:val="0"/>
    <w:rPr>
      <w:rFonts w:ascii="宋体" w:hAnsi="宋体" w:eastAsia="宋体" w:cs="Times New Roman"/>
      <w:sz w:val="32"/>
      <w:szCs w:val="32"/>
      <w:lang w:val="zh-CN"/>
    </w:rPr>
  </w:style>
  <w:style w:type="character" w:customStyle="1" w:styleId="10">
    <w:name w:val="页眉 Char"/>
    <w:basedOn w:val="8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5</Pages>
  <Words>304</Words>
  <Characters>1737</Characters>
  <Lines>14</Lines>
  <Paragraphs>4</Paragraphs>
  <TotalTime>14</TotalTime>
  <ScaleCrop>false</ScaleCrop>
  <LinksUpToDate>false</LinksUpToDate>
  <CharactersWithSpaces>2037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2020-04-17T06:35:00Z</dcterms:created>
  <dc:creator>闵之伟</dc:creator>
  <cp:lastModifiedBy>山地高</cp:lastModifiedBy>
  <dcterms:modified xsi:type="dcterms:W3CDTF">2020-04-28T09:21:16Z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