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仿宋_GB2312" w:eastAsia="仿宋_GB2312"/>
          <w:sz w:val="32"/>
          <w:szCs w:val="32"/>
        </w:rPr>
      </w:pPr>
      <w:bookmarkStart w:id="0" w:name="_GoBack"/>
      <w:bookmarkEnd w:id="0"/>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1</w:t>
      </w:r>
    </w:p>
    <w:p>
      <w:pPr>
        <w:snapToGrid w:val="0"/>
        <w:spacing w:line="620" w:lineRule="exact"/>
        <w:jc w:val="center"/>
        <w:rPr>
          <w:rFonts w:ascii="宋体"/>
          <w:sz w:val="44"/>
          <w:szCs w:val="44"/>
        </w:rPr>
      </w:pPr>
    </w:p>
    <w:p>
      <w:pPr>
        <w:snapToGrid w:val="0"/>
        <w:spacing w:line="620" w:lineRule="exact"/>
        <w:jc w:val="center"/>
        <w:rPr>
          <w:rFonts w:hint="eastAsia" w:ascii="宋体" w:hAnsi="宋体" w:cs="宋体"/>
          <w:sz w:val="44"/>
          <w:szCs w:val="44"/>
        </w:rPr>
      </w:pPr>
      <w:r>
        <w:rPr>
          <w:rFonts w:hint="eastAsia" w:ascii="宋体" w:hAnsi="宋体" w:cs="宋体"/>
          <w:sz w:val="44"/>
          <w:szCs w:val="44"/>
        </w:rPr>
        <w:t>深圳市财政专户开户银行选择办法</w:t>
      </w:r>
    </w:p>
    <w:p>
      <w:pPr>
        <w:snapToGrid w:val="0"/>
        <w:spacing w:line="620" w:lineRule="exact"/>
        <w:jc w:val="center"/>
        <w:rPr>
          <w:rFonts w:hint="eastAsia" w:ascii="宋体" w:hAnsi="宋体" w:eastAsia="宋体" w:cs="宋体"/>
          <w:sz w:val="44"/>
          <w:szCs w:val="44"/>
          <w:lang w:eastAsia="zh-CN"/>
        </w:rPr>
      </w:pPr>
      <w:r>
        <w:rPr>
          <w:rFonts w:hint="eastAsia" w:ascii="宋体" w:hAnsi="宋体" w:cs="宋体"/>
          <w:sz w:val="44"/>
          <w:szCs w:val="44"/>
          <w:lang w:eastAsia="zh-CN"/>
        </w:rPr>
        <w:t>（征求意见稿）</w:t>
      </w:r>
    </w:p>
    <w:p>
      <w:pPr>
        <w:spacing w:line="620" w:lineRule="exact"/>
        <w:jc w:val="center"/>
        <w:rPr>
          <w:rFonts w:ascii="仿宋_GB2312" w:hAnsi="仿宋"/>
          <w:b/>
          <w:bCs/>
        </w:rPr>
      </w:pPr>
    </w:p>
    <w:p>
      <w:pPr>
        <w:numPr>
          <w:ilvl w:val="0"/>
          <w:numId w:val="1"/>
        </w:numPr>
        <w:spacing w:line="620" w:lineRule="exact"/>
        <w:ind w:firstLine="0"/>
        <w:jc w:val="center"/>
        <w:rPr>
          <w:rFonts w:ascii="黑体" w:hAnsi="仿宋" w:eastAsia="黑体"/>
          <w:sz w:val="32"/>
          <w:szCs w:val="32"/>
        </w:rPr>
      </w:pPr>
      <w:r>
        <w:rPr>
          <w:rFonts w:hint="eastAsia" w:ascii="黑体" w:hAnsi="仿宋" w:eastAsia="黑体" w:cs="黑体"/>
          <w:sz w:val="32"/>
          <w:szCs w:val="32"/>
        </w:rPr>
        <w:t>总则</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为加强全市财政专户管理，规范财政专户开户银行选择工作，根据《国务院办公厅转发财政部关于进一步加强财政专户管理意见的通知》（国办发〔</w:t>
      </w:r>
      <w:r>
        <w:rPr>
          <w:rFonts w:ascii="华文仿宋" w:hAnsi="华文仿宋" w:eastAsia="华文仿宋" w:cs="华文仿宋"/>
          <w:sz w:val="32"/>
          <w:szCs w:val="32"/>
        </w:rPr>
        <w:t>2012</w:t>
      </w:r>
      <w:r>
        <w:rPr>
          <w:rFonts w:hint="eastAsia" w:ascii="华文仿宋" w:hAnsi="华文仿宋" w:eastAsia="华文仿宋" w:cs="华文仿宋"/>
          <w:sz w:val="32"/>
          <w:szCs w:val="32"/>
        </w:rPr>
        <w:t>〕</w:t>
      </w:r>
      <w:r>
        <w:rPr>
          <w:rFonts w:ascii="华文仿宋" w:hAnsi="华文仿宋" w:eastAsia="华文仿宋" w:cs="华文仿宋"/>
          <w:sz w:val="32"/>
          <w:szCs w:val="32"/>
        </w:rPr>
        <w:t>17</w:t>
      </w:r>
      <w:r>
        <w:rPr>
          <w:rFonts w:hint="eastAsia" w:ascii="华文仿宋" w:hAnsi="华文仿宋" w:eastAsia="华文仿宋" w:cs="华文仿宋"/>
          <w:sz w:val="32"/>
          <w:szCs w:val="32"/>
        </w:rPr>
        <w:t>号）、《财政部关于印发〈财政专户管理办法〉的通知》（财库〔</w:t>
      </w:r>
      <w:r>
        <w:rPr>
          <w:rFonts w:ascii="华文仿宋" w:hAnsi="华文仿宋" w:eastAsia="华文仿宋" w:cs="华文仿宋"/>
          <w:sz w:val="32"/>
          <w:szCs w:val="32"/>
        </w:rPr>
        <w:t>2013</w:t>
      </w:r>
      <w:r>
        <w:rPr>
          <w:rFonts w:hint="eastAsia" w:ascii="华文仿宋" w:hAnsi="华文仿宋" w:eastAsia="华文仿宋" w:cs="华文仿宋"/>
          <w:sz w:val="32"/>
          <w:szCs w:val="32"/>
        </w:rPr>
        <w:t>〕</w:t>
      </w:r>
      <w:r>
        <w:rPr>
          <w:rFonts w:ascii="华文仿宋" w:hAnsi="华文仿宋" w:eastAsia="华文仿宋" w:cs="华文仿宋"/>
          <w:sz w:val="32"/>
          <w:szCs w:val="32"/>
        </w:rPr>
        <w:t>46</w:t>
      </w:r>
      <w:r>
        <w:rPr>
          <w:rFonts w:hint="eastAsia" w:ascii="华文仿宋" w:hAnsi="华文仿宋" w:eastAsia="华文仿宋" w:cs="华文仿宋"/>
          <w:sz w:val="32"/>
          <w:szCs w:val="32"/>
        </w:rPr>
        <w:t>号）以及《财政部关于进一步加强财政部门和预算单位资金存放管理的指导意见》（财库〔</w:t>
      </w:r>
      <w:r>
        <w:rPr>
          <w:rFonts w:ascii="华文仿宋" w:hAnsi="华文仿宋" w:eastAsia="华文仿宋" w:cs="华文仿宋"/>
          <w:sz w:val="32"/>
          <w:szCs w:val="32"/>
        </w:rPr>
        <w:t>2017</w:t>
      </w:r>
      <w:r>
        <w:rPr>
          <w:rFonts w:hint="eastAsia" w:ascii="华文仿宋" w:hAnsi="华文仿宋" w:eastAsia="华文仿宋" w:cs="华文仿宋"/>
          <w:sz w:val="32"/>
          <w:szCs w:val="32"/>
        </w:rPr>
        <w:t>〕</w:t>
      </w:r>
      <w:r>
        <w:rPr>
          <w:rFonts w:ascii="华文仿宋" w:hAnsi="华文仿宋" w:eastAsia="华文仿宋" w:cs="华文仿宋"/>
          <w:sz w:val="32"/>
          <w:szCs w:val="32"/>
        </w:rPr>
        <w:t>76</w:t>
      </w:r>
      <w:r>
        <w:rPr>
          <w:rFonts w:hint="eastAsia" w:ascii="华文仿宋" w:hAnsi="华文仿宋" w:eastAsia="华文仿宋" w:cs="华文仿宋"/>
          <w:sz w:val="32"/>
          <w:szCs w:val="32"/>
        </w:rPr>
        <w:t>号）、《财政部关于全面规范地方财政专户有关事宜的通知》（财库〔</w:t>
      </w:r>
      <w:r>
        <w:rPr>
          <w:rFonts w:ascii="华文仿宋" w:hAnsi="华文仿宋" w:eastAsia="华文仿宋" w:cs="华文仿宋"/>
          <w:sz w:val="32"/>
          <w:szCs w:val="32"/>
        </w:rPr>
        <w:t>2017</w:t>
      </w:r>
      <w:r>
        <w:rPr>
          <w:rFonts w:hint="eastAsia" w:ascii="华文仿宋" w:hAnsi="华文仿宋" w:eastAsia="华文仿宋" w:cs="华文仿宋"/>
          <w:sz w:val="32"/>
          <w:szCs w:val="32"/>
        </w:rPr>
        <w:t>〕</w:t>
      </w:r>
      <w:r>
        <w:rPr>
          <w:rFonts w:ascii="华文仿宋" w:hAnsi="华文仿宋" w:eastAsia="华文仿宋" w:cs="华文仿宋"/>
          <w:sz w:val="32"/>
          <w:szCs w:val="32"/>
        </w:rPr>
        <w:t>79</w:t>
      </w:r>
      <w:r>
        <w:rPr>
          <w:rFonts w:hint="eastAsia" w:ascii="华文仿宋" w:hAnsi="华文仿宋" w:eastAsia="华文仿宋" w:cs="华文仿宋"/>
          <w:sz w:val="32"/>
          <w:szCs w:val="32"/>
        </w:rPr>
        <w:t>号）等有关规定，结合深圳市实际情况，制定本办法。</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深圳市市本级及区级（含行政区、新区和深汕特别合作区，下同）财政部门在开立、变更财政专户工作中选择开户银行适用本办法。</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本办法所称财政专户，应符合《财政专户管理办法》有关规定。市本级及区级财政部门按照已制定的财政专户资金保值增值操作办法设立的定期主账户（号）不属于财政专户。但定期主账户（号）同时核算活期存款，则视为财政专户，应按本办法规定的财政专户开户程序办理。</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财政专户开户银行选择遵循安全、规范、公平、透明的原则。</w:t>
      </w:r>
    </w:p>
    <w:p>
      <w:pPr>
        <w:numPr>
          <w:ilvl w:val="0"/>
          <w:numId w:val="3"/>
        </w:numPr>
        <w:spacing w:line="620" w:lineRule="exact"/>
        <w:jc w:val="center"/>
        <w:rPr>
          <w:rFonts w:ascii="华文仿宋" w:hAnsi="华文仿宋" w:eastAsia="华文仿宋"/>
          <w:sz w:val="32"/>
          <w:szCs w:val="32"/>
        </w:rPr>
      </w:pPr>
      <w:r>
        <w:rPr>
          <w:rFonts w:hint="eastAsia" w:ascii="华文仿宋" w:hAnsi="华文仿宋" w:eastAsia="华文仿宋" w:cs="华文仿宋"/>
          <w:sz w:val="32"/>
          <w:szCs w:val="32"/>
        </w:rPr>
        <w:t>组织实施</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应选择同城银行经办机构作为财政专户开户银行（以下简称开户银行），不得在非银行业金融机构、异地银行经办机构开设财政专户。银行经办机构主要是指在中华人民共和国境内依法设立的商业银行、城市商业银行、农村商业银行等吸收公众存款的金融机构以及政策性银行。</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市、区财政部门在选择开户银行过程中，应当明确内设国库管理机构、业务管理机构和监督检查机构的职责分工，建立互相协调、相互制衡的内部工作机制。其中：</w:t>
      </w:r>
    </w:p>
    <w:p>
      <w:p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（一）国库管理机构主要负责统一管理财政专户，包括财政专户的开立及变更管理，财政专户开户银行的选择与管理。</w:t>
      </w:r>
    </w:p>
    <w:p>
      <w:p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（二）业务管理机构主要负责提出开立财政专户的需求及相关依据。</w:t>
      </w:r>
    </w:p>
    <w:p>
      <w:p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（三）监督检查机构主要负责监督检查财政专户开立及变更管理规定的执行情况，监督检查财政专户开户银行选择与考评情况，依据有关规定对违规问题提出处理意见。</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市、区财政部门应采取招投标方式选择财政专户开户银行。有以下情形之一，不具备招投标条件的，应采取集体决策方式选择开户银行：</w:t>
      </w:r>
    </w:p>
    <w:p>
      <w:pPr>
        <w:tabs>
          <w:tab w:val="left" w:pos="180"/>
          <w:tab w:val="left" w:pos="144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（一）满足资金管理核算要求的银行数量少于</w:t>
      </w:r>
      <w:r>
        <w:rPr>
          <w:rFonts w:ascii="华文仿宋" w:hAnsi="华文仿宋" w:eastAsia="华文仿宋" w:cs="华文仿宋"/>
          <w:sz w:val="32"/>
          <w:szCs w:val="32"/>
        </w:rPr>
        <w:t>3</w:t>
      </w:r>
      <w:r>
        <w:rPr>
          <w:rFonts w:hint="eastAsia" w:ascii="华文仿宋" w:hAnsi="华文仿宋" w:eastAsia="华文仿宋" w:cs="华文仿宋"/>
          <w:sz w:val="32"/>
          <w:szCs w:val="32"/>
        </w:rPr>
        <w:t>家。</w:t>
      </w:r>
    </w:p>
    <w:p>
      <w:pPr>
        <w:tabs>
          <w:tab w:val="left" w:pos="180"/>
          <w:tab w:val="left" w:pos="144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（二）资金量较小，预计市级财政专户存款全年日均余额不高于</w:t>
      </w:r>
      <w:r>
        <w:rPr>
          <w:rFonts w:ascii="华文仿宋" w:hAnsi="华文仿宋" w:eastAsia="华文仿宋" w:cs="华文仿宋"/>
          <w:sz w:val="32"/>
          <w:szCs w:val="32"/>
        </w:rPr>
        <w:t>5</w:t>
      </w:r>
      <w:r>
        <w:rPr>
          <w:rFonts w:hint="eastAsia" w:ascii="华文仿宋" w:hAnsi="华文仿宋" w:eastAsia="华文仿宋" w:cs="华文仿宋"/>
          <w:sz w:val="32"/>
          <w:szCs w:val="32"/>
        </w:rPr>
        <w:t>亿元，区级财政专户存款全年日均余额不高于</w:t>
      </w:r>
      <w:r>
        <w:rPr>
          <w:rFonts w:ascii="华文仿宋" w:hAnsi="华文仿宋" w:eastAsia="华文仿宋" w:cs="华文仿宋"/>
          <w:sz w:val="32"/>
          <w:szCs w:val="32"/>
        </w:rPr>
        <w:t>2</w:t>
      </w:r>
      <w:r>
        <w:rPr>
          <w:rFonts w:hint="eastAsia" w:ascii="华文仿宋" w:hAnsi="华文仿宋" w:eastAsia="华文仿宋" w:cs="华文仿宋"/>
          <w:sz w:val="32"/>
          <w:szCs w:val="32"/>
        </w:rPr>
        <w:t>亿元。</w:t>
      </w:r>
    </w:p>
    <w:p>
      <w:pPr>
        <w:tabs>
          <w:tab w:val="left" w:pos="180"/>
          <w:tab w:val="left" w:pos="144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（三）发生不可预见紧急情况，采用招投标方式所需时间不能满足急需。</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市、区财政部门选择财政专户开户银行无论采取招投标方式，还是集体决策方式，均应组织评审小组对备选银行进行综合评分。财政内部监督检查机构应对评审小组成员的选取进行监督。</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采用招投标方式选择开户银行的，由监督检查机构派员全程监督投标现场。对于资金性质相同的专户，市本级财政部门通过招投标选定了开户银行并且招标工作结束不满两年的，区级财政部门可采用上述招投标结果。</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采取集体决策方式选择财政专户开户银行的，应通过本级财政部门领导办公会议讨论确定，并在会议记录中反映采用集体决策方式的原因、对备选银行的评比情况、会议表决情况和最后结果等。</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新开立财政专户实行事前报批制度。新开立财政专户要逐级上报财政部核准，申请材料中应详细说明文件依据、现有同类账户开立情况、开户事由及必要性。经财政部核准同意开立财政专户的，市财政部门在收到财政部《财政专户开立核准书》后</w:t>
      </w:r>
      <w:r>
        <w:rPr>
          <w:rFonts w:ascii="华文仿宋" w:hAnsi="华文仿宋" w:eastAsia="华文仿宋" w:cs="华文仿宋"/>
          <w:sz w:val="32"/>
          <w:szCs w:val="32"/>
        </w:rPr>
        <w:t>10</w:t>
      </w:r>
      <w:r>
        <w:rPr>
          <w:rFonts w:hint="eastAsia" w:ascii="华文仿宋" w:hAnsi="华文仿宋" w:eastAsia="华文仿宋" w:cs="华文仿宋"/>
          <w:sz w:val="32"/>
          <w:szCs w:val="32"/>
        </w:rPr>
        <w:t>个工作日内下达《财政专户开立批复通知书》（详见附件），提出申请的区财政部门在收到市财政部门《财政专户开立批复通知书》后方可组织开展开户银行选择工作。按照《财政专户管理办法》的有关规定，变更财政专户开户银行不需上报财政部核准，市、区级财政部门根据工作需要按规定程序组织开展开户银行变更工作。</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区级财政部门完成财政专户开立或变更手续后，应在</w:t>
      </w:r>
      <w:r>
        <w:rPr>
          <w:rFonts w:ascii="华文仿宋" w:hAnsi="华文仿宋" w:eastAsia="华文仿宋" w:cs="华文仿宋"/>
          <w:sz w:val="32"/>
          <w:szCs w:val="32"/>
        </w:rPr>
        <w:t>10</w:t>
      </w:r>
      <w:r>
        <w:rPr>
          <w:rFonts w:hint="eastAsia" w:ascii="华文仿宋" w:hAnsi="华文仿宋" w:eastAsia="华文仿宋" w:cs="华文仿宋"/>
          <w:sz w:val="32"/>
          <w:szCs w:val="32"/>
        </w:rPr>
        <w:t>个工作日内向市财政部门报备开户情况，并提供有关证明材料，包括选择开户银行程序和方式的书面说明，以及开户许可证复印件等有关证明材料。市财政部门对有关材料进行合规审查，符合要求的按月汇总上报财政部备案，不符合要求的通知整改。</w:t>
      </w:r>
    </w:p>
    <w:p>
      <w:p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（一）采用招投标方式选择财政专户开户银行的，需一并报备招标方案、招标文件、评标得分和中标通知等材料。</w:t>
      </w:r>
    </w:p>
    <w:p>
      <w:p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（二）采取集体决策方式选择财政专户开户银行的，需一并报备领导集体办公会议纪要、对备选银行的评比情况等材料。</w:t>
      </w:r>
    </w:p>
    <w:p>
      <w:pPr>
        <w:tabs>
          <w:tab w:val="left" w:pos="1800"/>
        </w:tabs>
        <w:spacing w:line="620" w:lineRule="exact"/>
        <w:ind w:firstLine="420" w:firstLineChars="200"/>
        <w:rPr>
          <w:rFonts w:ascii="华文仿宋" w:hAnsi="华文仿宋" w:eastAsia="华文仿宋"/>
        </w:rPr>
      </w:pPr>
    </w:p>
    <w:p>
      <w:pPr>
        <w:numPr>
          <w:ilvl w:val="0"/>
          <w:numId w:val="3"/>
        </w:numPr>
        <w:spacing w:line="620" w:lineRule="exact"/>
        <w:jc w:val="center"/>
        <w:rPr>
          <w:rFonts w:ascii="华文仿宋" w:hAnsi="华文仿宋" w:eastAsia="华文仿宋"/>
          <w:sz w:val="32"/>
          <w:szCs w:val="32"/>
        </w:rPr>
      </w:pPr>
      <w:r>
        <w:rPr>
          <w:rFonts w:hint="eastAsia" w:ascii="华文仿宋" w:hAnsi="华文仿宋" w:eastAsia="华文仿宋" w:cs="华文仿宋"/>
          <w:sz w:val="32"/>
          <w:szCs w:val="32"/>
        </w:rPr>
        <w:t>指标设置</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选择财政专户开户银行过程中，应采取综合评分法对投标银行或集体决策备选银行进行评分，根据评分结果选择开户银行。综合评分办法由评分指标和评分标准组成。</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评分指标至少包括经营状况和服务水平两方面。经营状况指标主要反映开户银行的资产质量、偿付能力、运营能力、内部控制水平等方面。服务水平指标主要反映开户银行信息系统建设、对账服务、分账核算服务、以往提供财政服务履约情况等方面。</w:t>
      </w:r>
    </w:p>
    <w:p>
      <w:p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市、区财政部门可以结合实际情况和管理要求设置相关具体指标。</w:t>
      </w:r>
    </w:p>
    <w:p>
      <w:pPr>
        <w:numPr>
          <w:ilvl w:val="0"/>
          <w:numId w:val="2"/>
        </w:numPr>
        <w:tabs>
          <w:tab w:val="left" w:pos="180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评分标准主要明确各项评分指标的权重和计算方法。市、区财政部门应当结合本级实际情况和管理要求设置各项指标的相应分值，其中经营状况指标所占权重不应低于</w:t>
      </w:r>
      <w:r>
        <w:rPr>
          <w:rFonts w:ascii="华文仿宋" w:hAnsi="华文仿宋" w:eastAsia="华文仿宋" w:cs="华文仿宋"/>
          <w:sz w:val="32"/>
          <w:szCs w:val="32"/>
        </w:rPr>
        <w:t>40</w:t>
      </w:r>
      <w:r>
        <w:rPr>
          <w:rFonts w:hint="eastAsia" w:ascii="华文仿宋" w:hAnsi="华文仿宋" w:eastAsia="华文仿宋" w:cs="华文仿宋"/>
          <w:sz w:val="32"/>
          <w:szCs w:val="32"/>
        </w:rPr>
        <w:t>％。</w:t>
      </w:r>
    </w:p>
    <w:p>
      <w:pPr>
        <w:tabs>
          <w:tab w:val="left" w:pos="1800"/>
        </w:tabs>
        <w:spacing w:line="620" w:lineRule="exact"/>
        <w:rPr>
          <w:rFonts w:ascii="华文仿宋" w:hAnsi="华文仿宋" w:eastAsia="华文仿宋"/>
          <w:sz w:val="32"/>
          <w:szCs w:val="32"/>
        </w:rPr>
      </w:pPr>
    </w:p>
    <w:p>
      <w:pPr>
        <w:numPr>
          <w:ilvl w:val="0"/>
          <w:numId w:val="3"/>
        </w:numPr>
        <w:tabs>
          <w:tab w:val="left" w:pos="0"/>
          <w:tab w:val="clear" w:pos="1760"/>
        </w:tabs>
        <w:spacing w:line="620" w:lineRule="exact"/>
        <w:ind w:left="0" w:firstLine="0"/>
        <w:jc w:val="center"/>
        <w:rPr>
          <w:rFonts w:ascii="华文仿宋" w:hAnsi="华文仿宋" w:eastAsia="华文仿宋"/>
          <w:sz w:val="32"/>
          <w:szCs w:val="32"/>
        </w:rPr>
      </w:pPr>
      <w:r>
        <w:rPr>
          <w:rFonts w:hint="eastAsia" w:ascii="华文仿宋" w:hAnsi="华文仿宋" w:eastAsia="华文仿宋" w:cs="华文仿宋"/>
          <w:sz w:val="32"/>
          <w:szCs w:val="32"/>
        </w:rPr>
        <w:t>管理监督</w:t>
      </w:r>
    </w:p>
    <w:p>
      <w:pPr>
        <w:numPr>
          <w:ilvl w:val="0"/>
          <w:numId w:val="2"/>
        </w:numPr>
        <w:tabs>
          <w:tab w:val="left" w:pos="1800"/>
          <w:tab w:val="left" w:pos="216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市、区财政部门应加强对开户银行的管理，开户银行若存在评分结果不合格、存在运营风险、内控制度不健全、经营状况不佳或达不到审计、监管要求等不良情况，应当及时变更财政专户开户银行。</w:t>
      </w:r>
    </w:p>
    <w:p>
      <w:pPr>
        <w:numPr>
          <w:ilvl w:val="0"/>
          <w:numId w:val="2"/>
        </w:numPr>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市财政部门应定期检查区级财政专户开户银行的选择管理情况，跟踪监督财政专户的开立、变更、撤销和资金收支、余额等情况。市财政部门在监督检查中发现有违反本办法规定行为，应及时督促纠正。</w:t>
      </w:r>
    </w:p>
    <w:p>
      <w:pPr>
        <w:spacing w:line="620" w:lineRule="exact"/>
        <w:rPr>
          <w:rFonts w:ascii="华文仿宋" w:hAnsi="华文仿宋" w:eastAsia="华文仿宋"/>
        </w:rPr>
      </w:pPr>
    </w:p>
    <w:p>
      <w:pPr>
        <w:numPr>
          <w:ilvl w:val="0"/>
          <w:numId w:val="3"/>
        </w:numPr>
        <w:tabs>
          <w:tab w:val="clear" w:pos="1760"/>
        </w:tabs>
        <w:spacing w:line="620" w:lineRule="exact"/>
        <w:ind w:left="0" w:firstLine="0"/>
        <w:jc w:val="center"/>
        <w:rPr>
          <w:rFonts w:ascii="华文仿宋" w:hAnsi="华文仿宋" w:eastAsia="华文仿宋"/>
          <w:sz w:val="32"/>
          <w:szCs w:val="32"/>
        </w:rPr>
      </w:pPr>
      <w:r>
        <w:rPr>
          <w:rFonts w:hint="eastAsia" w:ascii="华文仿宋" w:hAnsi="华文仿宋" w:eastAsia="华文仿宋" w:cs="华文仿宋"/>
          <w:sz w:val="32"/>
          <w:szCs w:val="32"/>
        </w:rPr>
        <w:t>附则</w:t>
      </w:r>
    </w:p>
    <w:p>
      <w:pPr>
        <w:numPr>
          <w:ilvl w:val="0"/>
          <w:numId w:val="2"/>
        </w:numPr>
        <w:tabs>
          <w:tab w:val="left" w:pos="1800"/>
          <w:tab w:val="left" w:pos="216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各区财政部门应当依照本办法的有关规定，制定本地区开户银行选择实施细则并报市财政部门备案。</w:t>
      </w:r>
    </w:p>
    <w:p>
      <w:pPr>
        <w:numPr>
          <w:ilvl w:val="0"/>
          <w:numId w:val="2"/>
        </w:numPr>
        <w:tabs>
          <w:tab w:val="left" w:pos="1800"/>
          <w:tab w:val="left" w:pos="2160"/>
        </w:tabs>
        <w:spacing w:line="620" w:lineRule="exact"/>
        <w:ind w:firstLine="640" w:firstLineChars="200"/>
        <w:rPr>
          <w:rFonts w:ascii="华文仿宋" w:hAnsi="华文仿宋" w:eastAsia="华文仿宋"/>
          <w:sz w:val="32"/>
          <w:szCs w:val="32"/>
        </w:rPr>
      </w:pPr>
      <w:r>
        <w:rPr>
          <w:rFonts w:hint="eastAsia" w:ascii="华文仿宋" w:hAnsi="华文仿宋" w:eastAsia="华文仿宋" w:cs="华文仿宋"/>
          <w:sz w:val="32"/>
          <w:szCs w:val="32"/>
        </w:rPr>
        <w:t>本办法自印发之日起施行，有效期五年。</w:t>
      </w:r>
    </w:p>
    <w:p>
      <w:pPr>
        <w:tabs>
          <w:tab w:val="left" w:pos="1800"/>
          <w:tab w:val="left" w:pos="2160"/>
        </w:tabs>
        <w:spacing w:line="620" w:lineRule="exact"/>
        <w:rPr>
          <w:rFonts w:ascii="华文仿宋" w:hAnsi="华文仿宋" w:eastAsia="华文仿宋"/>
          <w:sz w:val="32"/>
          <w:szCs w:val="32"/>
        </w:rPr>
      </w:pPr>
    </w:p>
    <w:p>
      <w:pPr>
        <w:tabs>
          <w:tab w:val="left" w:pos="1800"/>
          <w:tab w:val="left" w:pos="2160"/>
        </w:tabs>
        <w:spacing w:line="620" w:lineRule="exact"/>
        <w:ind w:firstLine="640" w:firstLineChars="200"/>
        <w:jc w:val="left"/>
        <w:rPr>
          <w:rFonts w:ascii="华文仿宋" w:hAnsi="华文仿宋" w:eastAsia="华文仿宋"/>
          <w:sz w:val="32"/>
          <w:szCs w:val="32"/>
        </w:rPr>
      </w:pPr>
      <w:r>
        <w:rPr>
          <w:rFonts w:hint="eastAsia" w:ascii="华文仿宋" w:hAnsi="华文仿宋" w:eastAsia="华文仿宋" w:cs="华文仿宋"/>
          <w:sz w:val="32"/>
          <w:szCs w:val="32"/>
        </w:rPr>
        <w:t>附件：财政专户开立批复通知书</w:t>
      </w: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ind w:firstLine="2242" w:firstLineChars="700"/>
        <w:rPr>
          <w:rFonts w:ascii="华文仿宋" w:hAnsi="华文仿宋" w:eastAsia="华文仿宋"/>
          <w:b/>
          <w:bCs/>
          <w:sz w:val="32"/>
          <w:szCs w:val="32"/>
        </w:rPr>
      </w:pPr>
    </w:p>
    <w:p>
      <w:pPr>
        <w:tabs>
          <w:tab w:val="left" w:pos="1800"/>
          <w:tab w:val="left" w:pos="2160"/>
        </w:tabs>
        <w:spacing w:line="620" w:lineRule="exact"/>
        <w:rPr>
          <w:rFonts w:ascii="华文仿宋" w:hAnsi="华文仿宋" w:eastAsia="华文仿宋"/>
          <w:sz w:val="32"/>
          <w:szCs w:val="32"/>
        </w:rPr>
      </w:pPr>
      <w:r>
        <w:rPr>
          <w:rFonts w:hint="eastAsia" w:ascii="华文仿宋" w:hAnsi="华文仿宋" w:eastAsia="华文仿宋" w:cs="华文仿宋"/>
          <w:sz w:val="32"/>
          <w:szCs w:val="32"/>
        </w:rPr>
        <w:t>附件</w:t>
      </w:r>
    </w:p>
    <w:p>
      <w:pPr>
        <w:tabs>
          <w:tab w:val="left" w:pos="1800"/>
          <w:tab w:val="left" w:pos="2160"/>
        </w:tabs>
        <w:spacing w:line="620" w:lineRule="exact"/>
        <w:rPr>
          <w:rFonts w:ascii="华文仿宋" w:hAnsi="华文仿宋" w:eastAsia="华文仿宋"/>
        </w:rPr>
      </w:pPr>
    </w:p>
    <w:p>
      <w:pPr>
        <w:tabs>
          <w:tab w:val="left" w:pos="1800"/>
          <w:tab w:val="left" w:pos="2160"/>
        </w:tabs>
        <w:spacing w:line="620" w:lineRule="exact"/>
        <w:jc w:val="center"/>
        <w:rPr>
          <w:rFonts w:ascii="华文仿宋" w:hAnsi="华文仿宋" w:eastAsia="华文仿宋"/>
          <w:sz w:val="44"/>
          <w:szCs w:val="44"/>
        </w:rPr>
      </w:pPr>
      <w:r>
        <w:rPr>
          <w:rFonts w:hint="eastAsia" w:ascii="华文仿宋" w:hAnsi="华文仿宋" w:eastAsia="华文仿宋" w:cs="华文仿宋"/>
          <w:sz w:val="44"/>
          <w:szCs w:val="44"/>
        </w:rPr>
        <w:t>财政专户开立批复通知书</w:t>
      </w:r>
    </w:p>
    <w:p>
      <w:pPr>
        <w:tabs>
          <w:tab w:val="left" w:pos="1800"/>
          <w:tab w:val="left" w:pos="2160"/>
        </w:tabs>
        <w:spacing w:line="620" w:lineRule="exact"/>
        <w:rPr>
          <w:rFonts w:ascii="华文仿宋" w:hAnsi="华文仿宋" w:eastAsia="华文仿宋"/>
          <w:b/>
          <w:bCs/>
        </w:rPr>
      </w:pPr>
    </w:p>
    <w:p>
      <w:pPr>
        <w:tabs>
          <w:tab w:val="left" w:pos="1800"/>
          <w:tab w:val="left" w:pos="2160"/>
        </w:tabs>
        <w:spacing w:line="620" w:lineRule="exact"/>
        <w:rPr>
          <w:rFonts w:ascii="华文仿宋" w:hAnsi="华文仿宋" w:eastAsia="华文仿宋" w:cs="华文仿宋"/>
          <w:sz w:val="32"/>
          <w:szCs w:val="32"/>
        </w:rPr>
      </w:pP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财政局：</w:t>
      </w: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编号：</w:t>
      </w:r>
      <w:r>
        <w:rPr>
          <w:rFonts w:ascii="华文仿宋" w:hAnsi="华文仿宋" w:eastAsia="华文仿宋" w:cs="华文仿宋"/>
          <w:sz w:val="32"/>
          <w:szCs w:val="32"/>
        </w:rPr>
        <w:t xml:space="preserve">   </w:t>
      </w:r>
    </w:p>
    <w:p>
      <w:pPr>
        <w:tabs>
          <w:tab w:val="left" w:pos="1800"/>
          <w:tab w:val="left" w:pos="2160"/>
        </w:tabs>
        <w:spacing w:line="620" w:lineRule="exact"/>
        <w:rPr>
          <w:rFonts w:ascii="华文仿宋" w:hAnsi="华文仿宋" w:eastAsia="华文仿宋"/>
          <w:sz w:val="32"/>
          <w:szCs w:val="32"/>
        </w:rPr>
      </w:pP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现将财政部《财政专户开立核准书》（核准号</w:t>
      </w: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）转发你局，请按规定办理专户开立及备案手续。</w:t>
      </w:r>
    </w:p>
    <w:p>
      <w:pPr>
        <w:tabs>
          <w:tab w:val="left" w:pos="1800"/>
          <w:tab w:val="left" w:pos="2160"/>
        </w:tabs>
        <w:spacing w:line="620" w:lineRule="exact"/>
        <w:rPr>
          <w:rFonts w:ascii="华文仿宋" w:hAnsi="华文仿宋" w:eastAsia="华文仿宋"/>
          <w:sz w:val="32"/>
          <w:szCs w:val="32"/>
        </w:rPr>
      </w:pPr>
    </w:p>
    <w:p>
      <w:pPr>
        <w:tabs>
          <w:tab w:val="left" w:pos="1800"/>
          <w:tab w:val="left" w:pos="2160"/>
        </w:tabs>
        <w:spacing w:line="620" w:lineRule="exact"/>
        <w:rPr>
          <w:rFonts w:ascii="华文仿宋" w:hAnsi="华文仿宋" w:eastAsia="华文仿宋"/>
          <w:sz w:val="32"/>
          <w:szCs w:val="32"/>
        </w:rPr>
      </w:pPr>
    </w:p>
    <w:p>
      <w:pPr>
        <w:tabs>
          <w:tab w:val="left" w:pos="1800"/>
          <w:tab w:val="left" w:pos="2160"/>
        </w:tabs>
        <w:spacing w:line="620" w:lineRule="exact"/>
        <w:rPr>
          <w:rFonts w:ascii="华文仿宋" w:hAnsi="华文仿宋" w:eastAsia="华文仿宋"/>
          <w:sz w:val="32"/>
          <w:szCs w:val="32"/>
        </w:rPr>
      </w:pPr>
    </w:p>
    <w:p>
      <w:pPr>
        <w:tabs>
          <w:tab w:val="left" w:pos="1800"/>
          <w:tab w:val="left" w:pos="2160"/>
        </w:tabs>
        <w:spacing w:line="620" w:lineRule="exact"/>
        <w:rPr>
          <w:rFonts w:ascii="华文仿宋" w:hAnsi="华文仿宋" w:eastAsia="华文仿宋"/>
          <w:sz w:val="32"/>
          <w:szCs w:val="32"/>
        </w:rPr>
      </w:pP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深圳市财政局国库处</w:t>
      </w:r>
    </w:p>
    <w:p>
      <w:pPr>
        <w:tabs>
          <w:tab w:val="left" w:pos="1800"/>
          <w:tab w:val="left" w:pos="2160"/>
        </w:tabs>
        <w:spacing w:line="620" w:lineRule="exact"/>
        <w:ind w:firstLine="5760" w:firstLineChars="1800"/>
        <w:rPr>
          <w:rFonts w:ascii="仿宋_GB2312" w:hAnsi="仿宋" w:eastAsia="仿宋_GB2312"/>
          <w:sz w:val="32"/>
          <w:szCs w:val="32"/>
        </w:rPr>
      </w:pP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年</w:t>
      </w: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月</w:t>
      </w:r>
      <w:r>
        <w:rPr>
          <w:rFonts w:ascii="华文仿宋" w:hAnsi="华文仿宋" w:eastAsia="华文仿宋" w:cs="华文仿宋"/>
          <w:sz w:val="32"/>
          <w:szCs w:val="32"/>
        </w:rPr>
        <w:t xml:space="preserve">  </w:t>
      </w:r>
      <w:r>
        <w:rPr>
          <w:rFonts w:ascii="仿宋_GB2312" w:hAnsi="仿宋"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2</w:t>
    </w:r>
    <w:r>
      <w:rPr>
        <w:rStyle w:val="8"/>
        <w:rFonts w:ascii="宋体" w:hAnsi="宋体" w:cs="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185"/>
    <w:multiLevelType w:val="multilevel"/>
    <w:tmpl w:val="0B560185"/>
    <w:lvl w:ilvl="0" w:tentative="0">
      <w:start w:val="2"/>
      <w:numFmt w:val="japaneseCounting"/>
      <w:lvlText w:val="第%1章"/>
      <w:lvlJc w:val="left"/>
      <w:pPr>
        <w:tabs>
          <w:tab w:val="left" w:pos="1760"/>
        </w:tabs>
        <w:ind w:left="1760" w:hanging="1080"/>
      </w:pPr>
      <w:rPr>
        <w:rFonts w:hint="default"/>
      </w:rPr>
    </w:lvl>
    <w:lvl w:ilvl="1" w:tentative="0">
      <w:start w:val="1"/>
      <w:numFmt w:val="lowerLetter"/>
      <w:lvlText w:val="%2)"/>
      <w:lvlJc w:val="left"/>
      <w:pPr>
        <w:tabs>
          <w:tab w:val="left" w:pos="1520"/>
        </w:tabs>
        <w:ind w:left="1520" w:hanging="420"/>
      </w:pPr>
    </w:lvl>
    <w:lvl w:ilvl="2" w:tentative="0">
      <w:start w:val="1"/>
      <w:numFmt w:val="lowerRoman"/>
      <w:lvlText w:val="%3."/>
      <w:lvlJc w:val="right"/>
      <w:pPr>
        <w:tabs>
          <w:tab w:val="left" w:pos="1940"/>
        </w:tabs>
        <w:ind w:left="1940" w:hanging="420"/>
      </w:pPr>
    </w:lvl>
    <w:lvl w:ilvl="3" w:tentative="0">
      <w:start w:val="1"/>
      <w:numFmt w:val="decimal"/>
      <w:lvlText w:val="%4."/>
      <w:lvlJc w:val="left"/>
      <w:pPr>
        <w:tabs>
          <w:tab w:val="left" w:pos="2360"/>
        </w:tabs>
        <w:ind w:left="2360" w:hanging="420"/>
      </w:pPr>
    </w:lvl>
    <w:lvl w:ilvl="4" w:tentative="0">
      <w:start w:val="1"/>
      <w:numFmt w:val="lowerLetter"/>
      <w:lvlText w:val="%5)"/>
      <w:lvlJc w:val="left"/>
      <w:pPr>
        <w:tabs>
          <w:tab w:val="left" w:pos="2780"/>
        </w:tabs>
        <w:ind w:left="2780" w:hanging="420"/>
      </w:pPr>
    </w:lvl>
    <w:lvl w:ilvl="5" w:tentative="0">
      <w:start w:val="1"/>
      <w:numFmt w:val="lowerRoman"/>
      <w:lvlText w:val="%6."/>
      <w:lvlJc w:val="right"/>
      <w:pPr>
        <w:tabs>
          <w:tab w:val="left" w:pos="3200"/>
        </w:tabs>
        <w:ind w:left="3200" w:hanging="420"/>
      </w:pPr>
    </w:lvl>
    <w:lvl w:ilvl="6" w:tentative="0">
      <w:start w:val="1"/>
      <w:numFmt w:val="decimal"/>
      <w:lvlText w:val="%7."/>
      <w:lvlJc w:val="left"/>
      <w:pPr>
        <w:tabs>
          <w:tab w:val="left" w:pos="3620"/>
        </w:tabs>
        <w:ind w:left="3620" w:hanging="420"/>
      </w:pPr>
    </w:lvl>
    <w:lvl w:ilvl="7" w:tentative="0">
      <w:start w:val="1"/>
      <w:numFmt w:val="lowerLetter"/>
      <w:lvlText w:val="%8)"/>
      <w:lvlJc w:val="left"/>
      <w:pPr>
        <w:tabs>
          <w:tab w:val="left" w:pos="4040"/>
        </w:tabs>
        <w:ind w:left="4040" w:hanging="420"/>
      </w:pPr>
    </w:lvl>
    <w:lvl w:ilvl="8" w:tentative="0">
      <w:start w:val="1"/>
      <w:numFmt w:val="lowerRoman"/>
      <w:lvlText w:val="%9."/>
      <w:lvlJc w:val="right"/>
      <w:pPr>
        <w:tabs>
          <w:tab w:val="left" w:pos="4460"/>
        </w:tabs>
        <w:ind w:left="4460" w:hanging="420"/>
      </w:pPr>
    </w:lvl>
  </w:abstractNum>
  <w:abstractNum w:abstractNumId="1">
    <w:nsid w:val="27F22244"/>
    <w:multiLevelType w:val="multilevel"/>
    <w:tmpl w:val="27F22244"/>
    <w:lvl w:ilvl="0" w:tentative="0">
      <w:start w:val="1"/>
      <w:numFmt w:val="chineseCountingThousand"/>
      <w:lvlText w:val="第%1章 "/>
      <w:lvlJc w:val="left"/>
      <w:pPr>
        <w:tabs>
          <w:tab w:val="left" w:pos="680"/>
        </w:tabs>
        <w:ind w:firstLine="680"/>
      </w:pPr>
      <w:rPr>
        <w:rFonts w:hint="eastAsia" w:ascii="黑体" w:eastAsia="黑体"/>
        <w:b w:val="0"/>
        <w:bCs w:val="0"/>
      </w:rPr>
    </w:lvl>
    <w:lvl w:ilvl="1" w:tentative="0">
      <w:start w:val="1"/>
      <w:numFmt w:val="chineseCountingThousand"/>
      <w:lvlText w:val="第%2条 "/>
      <w:lvlJc w:val="left"/>
      <w:pPr>
        <w:tabs>
          <w:tab w:val="left" w:pos="420"/>
        </w:tabs>
        <w:ind w:firstLine="680"/>
      </w:pPr>
    </w:lvl>
    <w:lvl w:ilvl="2" w:tentative="0">
      <w:start w:val="2"/>
      <w:numFmt w:val="japaneseCounting"/>
      <w:lvlText w:val="（%3）"/>
      <w:lvlJc w:val="left"/>
      <w:pPr>
        <w:tabs>
          <w:tab w:val="left" w:pos="1920"/>
        </w:tabs>
        <w:ind w:left="1920" w:hanging="10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F121876"/>
    <w:multiLevelType w:val="multilevel"/>
    <w:tmpl w:val="4F121876"/>
    <w:lvl w:ilvl="0" w:tentative="0">
      <w:start w:val="1"/>
      <w:numFmt w:val="chineseCountingThousand"/>
      <w:lvlText w:val="第%1条"/>
      <w:lvlJc w:val="left"/>
      <w:pPr>
        <w:tabs>
          <w:tab w:val="left" w:pos="420"/>
        </w:tabs>
        <w:ind w:firstLine="680"/>
      </w:pPr>
      <w:rPr>
        <w:b/>
        <w:bCs/>
      </w:rPr>
    </w:lvl>
    <w:lvl w:ilvl="1" w:tentative="0">
      <w:start w:val="1"/>
      <w:numFmt w:val="japaneseCounting"/>
      <w:lvlText w:val="（%2）"/>
      <w:lvlJc w:val="left"/>
      <w:pPr>
        <w:tabs>
          <w:tab w:val="left" w:pos="1100"/>
        </w:tabs>
        <w:ind w:left="1100" w:hanging="420"/>
      </w:pPr>
      <w:rPr>
        <w:rFonts w:ascii="仿宋_GB2312" w:hAnsi="仿宋" w:eastAsia="仿宋_GB2312"/>
      </w:rPr>
    </w:lvl>
    <w:lvl w:ilvl="2" w:tentative="0">
      <w:start w:val="1"/>
      <w:numFmt w:val="chineseCountingThousand"/>
      <w:lvlText w:val="第%3章 "/>
      <w:lvlJc w:val="left"/>
      <w:pPr>
        <w:tabs>
          <w:tab w:val="left" w:pos="840"/>
        </w:tabs>
        <w:ind w:left="160" w:firstLine="6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180"/>
    <w:rsid w:val="00001080"/>
    <w:rsid w:val="000268AA"/>
    <w:rsid w:val="00036573"/>
    <w:rsid w:val="000513EF"/>
    <w:rsid w:val="000566DD"/>
    <w:rsid w:val="0006493F"/>
    <w:rsid w:val="00066260"/>
    <w:rsid w:val="00066FFB"/>
    <w:rsid w:val="00082315"/>
    <w:rsid w:val="000A6668"/>
    <w:rsid w:val="000B4C52"/>
    <w:rsid w:val="000C3F7E"/>
    <w:rsid w:val="000D2A8E"/>
    <w:rsid w:val="000F5B39"/>
    <w:rsid w:val="00116F1A"/>
    <w:rsid w:val="001255BC"/>
    <w:rsid w:val="00143679"/>
    <w:rsid w:val="00143F6C"/>
    <w:rsid w:val="00146515"/>
    <w:rsid w:val="0014787C"/>
    <w:rsid w:val="00165313"/>
    <w:rsid w:val="00174F8B"/>
    <w:rsid w:val="001934EA"/>
    <w:rsid w:val="001B1873"/>
    <w:rsid w:val="001C22B7"/>
    <w:rsid w:val="001C540C"/>
    <w:rsid w:val="001E7E78"/>
    <w:rsid w:val="00201D22"/>
    <w:rsid w:val="002043A3"/>
    <w:rsid w:val="00245A59"/>
    <w:rsid w:val="00253918"/>
    <w:rsid w:val="002B0978"/>
    <w:rsid w:val="002E0B82"/>
    <w:rsid w:val="00394558"/>
    <w:rsid w:val="003C57AF"/>
    <w:rsid w:val="003D0DB4"/>
    <w:rsid w:val="003E0A14"/>
    <w:rsid w:val="003E1F67"/>
    <w:rsid w:val="00411C3B"/>
    <w:rsid w:val="00415EB0"/>
    <w:rsid w:val="00434571"/>
    <w:rsid w:val="00435D00"/>
    <w:rsid w:val="00443992"/>
    <w:rsid w:val="00445E99"/>
    <w:rsid w:val="004764CD"/>
    <w:rsid w:val="00480D2F"/>
    <w:rsid w:val="00484180"/>
    <w:rsid w:val="004A76AC"/>
    <w:rsid w:val="004B22B1"/>
    <w:rsid w:val="0050349E"/>
    <w:rsid w:val="0050507B"/>
    <w:rsid w:val="00510387"/>
    <w:rsid w:val="00510516"/>
    <w:rsid w:val="00531503"/>
    <w:rsid w:val="00534AEF"/>
    <w:rsid w:val="00563788"/>
    <w:rsid w:val="005662DB"/>
    <w:rsid w:val="00574502"/>
    <w:rsid w:val="00582373"/>
    <w:rsid w:val="005A0350"/>
    <w:rsid w:val="005C0C18"/>
    <w:rsid w:val="005E740E"/>
    <w:rsid w:val="005F4F44"/>
    <w:rsid w:val="00603B02"/>
    <w:rsid w:val="00607F09"/>
    <w:rsid w:val="00611E29"/>
    <w:rsid w:val="006312F0"/>
    <w:rsid w:val="0064582C"/>
    <w:rsid w:val="00650F1A"/>
    <w:rsid w:val="0065292C"/>
    <w:rsid w:val="00680472"/>
    <w:rsid w:val="006D7E92"/>
    <w:rsid w:val="006E1363"/>
    <w:rsid w:val="006F097F"/>
    <w:rsid w:val="006F557F"/>
    <w:rsid w:val="00715CC0"/>
    <w:rsid w:val="007341F2"/>
    <w:rsid w:val="00746E80"/>
    <w:rsid w:val="007620DD"/>
    <w:rsid w:val="00782686"/>
    <w:rsid w:val="0079668B"/>
    <w:rsid w:val="007B1EE7"/>
    <w:rsid w:val="007B2E9A"/>
    <w:rsid w:val="007B61CE"/>
    <w:rsid w:val="007C03D1"/>
    <w:rsid w:val="007C1B9B"/>
    <w:rsid w:val="007C27D3"/>
    <w:rsid w:val="007D66FE"/>
    <w:rsid w:val="007E59E6"/>
    <w:rsid w:val="007F060D"/>
    <w:rsid w:val="00800CB3"/>
    <w:rsid w:val="0084273E"/>
    <w:rsid w:val="00850872"/>
    <w:rsid w:val="008654F8"/>
    <w:rsid w:val="0088659D"/>
    <w:rsid w:val="008A3F5D"/>
    <w:rsid w:val="008A6E19"/>
    <w:rsid w:val="008B7B73"/>
    <w:rsid w:val="008D424D"/>
    <w:rsid w:val="008E1493"/>
    <w:rsid w:val="00902390"/>
    <w:rsid w:val="009240ED"/>
    <w:rsid w:val="0097189D"/>
    <w:rsid w:val="00972101"/>
    <w:rsid w:val="009B3A8C"/>
    <w:rsid w:val="009B7555"/>
    <w:rsid w:val="00A6318A"/>
    <w:rsid w:val="00A65FF3"/>
    <w:rsid w:val="00A761B2"/>
    <w:rsid w:val="00A85909"/>
    <w:rsid w:val="00AC4F7B"/>
    <w:rsid w:val="00AE049E"/>
    <w:rsid w:val="00AE33A6"/>
    <w:rsid w:val="00AF2F8A"/>
    <w:rsid w:val="00B322DB"/>
    <w:rsid w:val="00B72125"/>
    <w:rsid w:val="00B911C2"/>
    <w:rsid w:val="00BA7992"/>
    <w:rsid w:val="00C06B87"/>
    <w:rsid w:val="00C07C0A"/>
    <w:rsid w:val="00C1315E"/>
    <w:rsid w:val="00C80187"/>
    <w:rsid w:val="00C82846"/>
    <w:rsid w:val="00CA6681"/>
    <w:rsid w:val="00CB3EC5"/>
    <w:rsid w:val="00CC66F0"/>
    <w:rsid w:val="00D0152A"/>
    <w:rsid w:val="00D07038"/>
    <w:rsid w:val="00D26292"/>
    <w:rsid w:val="00D60F0B"/>
    <w:rsid w:val="00D72621"/>
    <w:rsid w:val="00D94DAD"/>
    <w:rsid w:val="00DA1FB5"/>
    <w:rsid w:val="00DA4505"/>
    <w:rsid w:val="00DD074B"/>
    <w:rsid w:val="00DD0CFA"/>
    <w:rsid w:val="00E03799"/>
    <w:rsid w:val="00E16029"/>
    <w:rsid w:val="00E20E25"/>
    <w:rsid w:val="00E457AA"/>
    <w:rsid w:val="00E541A2"/>
    <w:rsid w:val="00E55DD1"/>
    <w:rsid w:val="00E90C85"/>
    <w:rsid w:val="00EA680F"/>
    <w:rsid w:val="00EE1B15"/>
    <w:rsid w:val="00EE2C7B"/>
    <w:rsid w:val="00EE31CF"/>
    <w:rsid w:val="00EE53A9"/>
    <w:rsid w:val="00EE55CD"/>
    <w:rsid w:val="00EF575A"/>
    <w:rsid w:val="00F00F34"/>
    <w:rsid w:val="00F30676"/>
    <w:rsid w:val="00F40E95"/>
    <w:rsid w:val="00F65D15"/>
    <w:rsid w:val="00F80B34"/>
    <w:rsid w:val="00FA18D7"/>
    <w:rsid w:val="00FB6DCF"/>
    <w:rsid w:val="00FD325E"/>
    <w:rsid w:val="26BA0455"/>
    <w:rsid w:val="3A936B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宋体"/>
    </w:r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Header Char"/>
    <w:basedOn w:val="7"/>
    <w:link w:val="5"/>
    <w:semiHidden/>
    <w:qFormat/>
    <w:locked/>
    <w:uiPriority w:val="99"/>
    <w:rPr>
      <w:sz w:val="18"/>
      <w:szCs w:val="18"/>
    </w:rPr>
  </w:style>
  <w:style w:type="character" w:customStyle="1" w:styleId="10">
    <w:name w:val="Footer Char"/>
    <w:basedOn w:val="7"/>
    <w:link w:val="4"/>
    <w:semiHidden/>
    <w:qFormat/>
    <w:locked/>
    <w:uiPriority w:val="99"/>
    <w:rPr>
      <w:sz w:val="18"/>
      <w:szCs w:val="18"/>
    </w:rPr>
  </w:style>
  <w:style w:type="character" w:customStyle="1" w:styleId="11">
    <w:name w:val="Plain Text Char"/>
    <w:basedOn w:val="7"/>
    <w:link w:val="2"/>
    <w:qFormat/>
    <w:locked/>
    <w:uiPriority w:val="99"/>
    <w:rPr>
      <w:rFonts w:ascii="宋体" w:hAnsi="Courier New" w:eastAsia="宋体" w:cs="宋体"/>
      <w:sz w:val="21"/>
      <w:szCs w:val="21"/>
    </w:rPr>
  </w:style>
  <w:style w:type="character" w:customStyle="1" w:styleId="12">
    <w:name w:val="Balloon Text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373</Words>
  <Characters>2131</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2020-05-07T09:25:00Z</dcterms:created>
  <dc:creator>徐进</dc:creator>
  <cp:lastModifiedBy>好饭友</cp:lastModifiedBy>
  <dcterms:modified xsi:type="dcterms:W3CDTF">2020-05-07T10:11:33Z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