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附件2</w:t>
      </w:r>
    </w:p>
    <w:p>
      <w:pPr>
        <w:spacing w:line="620" w:lineRule="exact"/>
        <w:jc w:val="left"/>
        <w:rPr>
          <w:rFonts w:hint="eastAsia" w:ascii="方正小标宋简体" w:hAnsi="宋体" w:eastAsia="方正小标宋简体"/>
          <w:color w:val="000000"/>
          <w:sz w:val="44"/>
          <w:szCs w:val="44"/>
        </w:rPr>
      </w:pPr>
    </w:p>
    <w:p>
      <w:pPr>
        <w:spacing w:line="62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深圳市财政局关于运用政府采购订单融资政策支持企业发展的通知</w:t>
      </w:r>
    </w:p>
    <w:p>
      <w:pPr>
        <w:spacing w:line="62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（征求意见稿）</w:t>
      </w:r>
    </w:p>
    <w:p>
      <w:pPr>
        <w:spacing w:line="620" w:lineRule="exact"/>
        <w:jc w:val="center"/>
        <w:rPr>
          <w:rFonts w:ascii="方正小标宋简体" w:eastAsia="方正小标宋简体"/>
          <w:color w:val="000000"/>
          <w:sz w:val="44"/>
          <w:szCs w:val="44"/>
        </w:rPr>
      </w:pPr>
    </w:p>
    <w:p>
      <w:pPr>
        <w:spacing w:line="620" w:lineRule="exact"/>
        <w:rPr>
          <w:rFonts w:ascii="仿宋_GB2312" w:hAnsi="Calibri" w:eastAsia="仿宋_GB2312"/>
          <w:sz w:val="32"/>
          <w:szCs w:val="32"/>
        </w:rPr>
      </w:pPr>
      <w:r>
        <w:rPr>
          <w:rFonts w:hint="eastAsia" w:ascii="仿宋_GB2312" w:eastAsia="仿宋_GB2312"/>
          <w:sz w:val="32"/>
          <w:szCs w:val="32"/>
        </w:rPr>
        <w:t>市直各行政事业单位，各区财政局、大鹏新区发展和财政局、深汕特别合作区发展改革和财政局，市区政府集中采购机构、社会采购代理机构，相关金融机构，政府采购供应商：</w:t>
      </w:r>
    </w:p>
    <w:p>
      <w:pPr>
        <w:spacing w:line="620" w:lineRule="exact"/>
        <w:ind w:firstLine="640" w:firstLineChars="200"/>
        <w:rPr>
          <w:rFonts w:ascii="仿宋_GB2312" w:hAnsi="仿宋" w:eastAsia="仿宋_GB2312"/>
          <w:sz w:val="32"/>
          <w:szCs w:val="32"/>
        </w:rPr>
      </w:pPr>
      <w:r>
        <w:rPr>
          <w:rFonts w:hint="eastAsia" w:ascii="仿宋_GB2312" w:eastAsia="仿宋_GB2312" w:cs="仿宋_GB2312"/>
          <w:sz w:val="32"/>
          <w:szCs w:val="32"/>
        </w:rPr>
        <w:t>自2016年底我市推出政府采购订单融资改革以来，在各参与方的共同努力下，改革取得了初步成效，有效缓解了政府采购供应商融资难、融资贵、融资慢等问题，支持企业稳步发展。</w:t>
      </w:r>
      <w:r>
        <w:rPr>
          <w:rFonts w:hint="eastAsia" w:ascii="仿宋_GB2312" w:hAnsi="仿宋" w:eastAsia="仿宋_GB2312"/>
          <w:sz w:val="32"/>
          <w:szCs w:val="32"/>
        </w:rPr>
        <w:t>为深入贯彻落实习近平总书记关于坚决打赢新冠肺炎疫情防控阻击战的重要指示精神，进一步运用好政府采购订单融资政策，更大力度支持企业发展，根据</w:t>
      </w:r>
      <w:r>
        <w:rPr>
          <w:rFonts w:ascii="仿宋_GB2312" w:hAnsi="仿宋" w:eastAsia="仿宋_GB2312"/>
          <w:sz w:val="32"/>
          <w:szCs w:val="32"/>
        </w:rPr>
        <w:t>《</w:t>
      </w:r>
      <w:r>
        <w:rPr>
          <w:rFonts w:hint="eastAsia" w:ascii="仿宋_GB2312" w:hAnsi="仿宋" w:eastAsia="仿宋_GB2312"/>
          <w:sz w:val="32"/>
          <w:szCs w:val="32"/>
        </w:rPr>
        <w:t>深圳市财政局关于印发〈</w:t>
      </w:r>
      <w:r>
        <w:rPr>
          <w:rFonts w:ascii="仿宋_GB2312" w:hAnsi="仿宋" w:eastAsia="仿宋_GB2312"/>
          <w:sz w:val="32"/>
          <w:szCs w:val="32"/>
        </w:rPr>
        <w:t>深圳市政府采购支持企业复工复产共渡难关若干措施</w:t>
      </w:r>
      <w:r>
        <w:rPr>
          <w:rFonts w:hint="eastAsia" w:ascii="仿宋_GB2312" w:hAnsi="仿宋" w:eastAsia="仿宋_GB2312"/>
          <w:sz w:val="32"/>
          <w:szCs w:val="32"/>
        </w:rPr>
        <w:t>〉的通知</w:t>
      </w:r>
      <w:r>
        <w:rPr>
          <w:rFonts w:ascii="仿宋_GB2312" w:hAnsi="仿宋" w:eastAsia="仿宋_GB2312"/>
          <w:sz w:val="32"/>
          <w:szCs w:val="32"/>
        </w:rPr>
        <w:t>》</w:t>
      </w:r>
      <w:r>
        <w:rPr>
          <w:rFonts w:hint="eastAsia" w:ascii="仿宋_GB2312" w:hAnsi="仿宋" w:eastAsia="仿宋_GB2312"/>
          <w:sz w:val="32"/>
          <w:szCs w:val="32"/>
        </w:rPr>
        <w:t>（深财规〔2020〕2号），现将有关事项通知如下：</w:t>
      </w:r>
    </w:p>
    <w:p>
      <w:pPr>
        <w:spacing w:line="620" w:lineRule="exact"/>
        <w:ind w:firstLine="640" w:firstLineChars="200"/>
        <w:rPr>
          <w:rFonts w:hint="eastAsia" w:ascii="黑体" w:hAnsi="黑体" w:eastAsia="黑体"/>
          <w:sz w:val="32"/>
          <w:szCs w:val="32"/>
        </w:rPr>
      </w:pPr>
      <w:r>
        <w:rPr>
          <w:rFonts w:hint="eastAsia" w:ascii="黑体" w:hAnsi="黑体" w:eastAsia="黑体"/>
          <w:sz w:val="32"/>
          <w:szCs w:val="32"/>
        </w:rPr>
        <w:t>一、关于政府采购订单融资</w:t>
      </w:r>
    </w:p>
    <w:p>
      <w:pPr>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通知中的政府采购订单融资（以下简称订单融资）是指：政府采购中标（成交）供应商，凭借其所获取的我市政府采购合同，向参与订单融资业务的金融机构提出融资申请，金融机构以各自信贷政策为基础，为中标（成交）供应商提供信贷资金的行为。</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二、鼓励金融机构开展政府采购订单融资业务</w:t>
      </w:r>
    </w:p>
    <w:p>
      <w:pPr>
        <w:autoSpaceDE w:val="0"/>
        <w:spacing w:line="620" w:lineRule="exact"/>
        <w:ind w:firstLine="643" w:firstLineChars="200"/>
        <w:rPr>
          <w:rFonts w:ascii="仿宋_GB2312" w:hAnsi="Calibri" w:eastAsia="仿宋_GB2312"/>
          <w:kern w:val="0"/>
          <w:sz w:val="32"/>
          <w:szCs w:val="32"/>
          <w:shd w:val="clear" w:color="auto" w:fill="FFFFFF"/>
        </w:rPr>
      </w:pPr>
      <w:r>
        <w:rPr>
          <w:rFonts w:hint="eastAsia" w:ascii="楷体_GB2312" w:hAnsi="仿宋" w:eastAsia="楷体_GB2312"/>
          <w:b/>
          <w:sz w:val="32"/>
          <w:szCs w:val="32"/>
        </w:rPr>
        <w:t>（一）扩充金融机构范围。</w:t>
      </w:r>
      <w:r>
        <w:rPr>
          <w:rFonts w:hint="eastAsia" w:ascii="仿宋_GB2312" w:hAnsi="仿宋" w:eastAsia="仿宋_GB2312"/>
          <w:color w:val="000000"/>
          <w:sz w:val="32"/>
          <w:szCs w:val="32"/>
        </w:rPr>
        <w:t>符合以下基本条件的金融机构，可以按照《</w:t>
      </w:r>
      <w:r>
        <w:rPr>
          <w:rFonts w:hint="eastAsia" w:ascii="仿宋_GB2312" w:hAnsi="宋体" w:eastAsia="仿宋_GB2312" w:cs="宋体"/>
          <w:color w:val="000000"/>
          <w:kern w:val="0"/>
          <w:sz w:val="32"/>
          <w:szCs w:val="32"/>
          <w:shd w:val="clear" w:color="auto" w:fill="FFFFFF"/>
        </w:rPr>
        <w:t>金融机构开展政府采购订单融资业务指引</w:t>
      </w:r>
      <w:r>
        <w:rPr>
          <w:rFonts w:hint="eastAsia" w:ascii="仿宋_GB2312" w:hAnsi="仿宋" w:eastAsia="仿宋_GB2312"/>
          <w:color w:val="000000"/>
          <w:sz w:val="32"/>
          <w:szCs w:val="32"/>
        </w:rPr>
        <w:t>》（详见附件），向市财政局申请纳入订单融资金融机构名单：纳入深圳银保监局商业银行风险评级，且自愿成为订单融资</w:t>
      </w:r>
      <w:r>
        <w:rPr>
          <w:rFonts w:hint="eastAsia" w:ascii="仿宋_GB2312" w:hAnsi="仿宋" w:eastAsia="仿宋_GB2312"/>
          <w:sz w:val="32"/>
          <w:szCs w:val="32"/>
        </w:rPr>
        <w:t>金融机构的国内商业银行；注册资本和实缴资本均达到5亿元及以上，且自愿成为订单融资金融机构的国内商业保理公司。市财政局对金融机构名单实行动态管理，并通过深圳市政府采购监管网（www.zfcg.sz.gov.cn）和深圳</w:t>
      </w:r>
      <w:r>
        <w:rPr>
          <w:rFonts w:hint="eastAsia" w:ascii="仿宋_GB2312" w:hAnsi="宋体" w:eastAsia="仿宋_GB2312" w:cs="宋体"/>
          <w:kern w:val="0"/>
          <w:sz w:val="32"/>
          <w:szCs w:val="32"/>
          <w:shd w:val="clear" w:color="auto" w:fill="FFFFFF"/>
        </w:rPr>
        <w:t>市政府采购中心官网（http://cgzx.sz.gov.cn/）</w:t>
      </w:r>
      <w:r>
        <w:rPr>
          <w:rFonts w:hint="eastAsia" w:ascii="仿宋_GB2312" w:hAnsi="仿宋" w:eastAsia="仿宋_GB2312"/>
          <w:sz w:val="32"/>
          <w:szCs w:val="32"/>
        </w:rPr>
        <w:t>对外公开。</w:t>
      </w:r>
    </w:p>
    <w:p>
      <w:pPr>
        <w:autoSpaceDE w:val="0"/>
        <w:autoSpaceDN w:val="0"/>
        <w:adjustRightInd w:val="0"/>
        <w:spacing w:line="620" w:lineRule="exact"/>
        <w:ind w:firstLine="643" w:firstLineChars="200"/>
        <w:rPr>
          <w:rFonts w:ascii="仿宋_GB2312" w:eastAsia="仿宋_GB2312" w:cs="仿宋_GB2312"/>
          <w:kern w:val="0"/>
          <w:sz w:val="32"/>
          <w:szCs w:val="32"/>
        </w:rPr>
      </w:pPr>
      <w:r>
        <w:rPr>
          <w:rFonts w:hint="eastAsia" w:ascii="楷体_GB2312" w:hAnsi="仿宋" w:eastAsia="楷体_GB2312"/>
          <w:b/>
          <w:sz w:val="32"/>
          <w:szCs w:val="32"/>
        </w:rPr>
        <w:t>（二）给予银行加分奖励。</w:t>
      </w:r>
      <w:r>
        <w:rPr>
          <w:rFonts w:hint="eastAsia" w:ascii="仿宋_GB2312" w:eastAsia="仿宋_GB2312" w:cs="仿宋_GB2312"/>
          <w:kern w:val="0"/>
          <w:sz w:val="32"/>
          <w:szCs w:val="32"/>
        </w:rPr>
        <w:t>银行类金融机构，在</w:t>
      </w:r>
      <w:r>
        <w:rPr>
          <w:rFonts w:hint="eastAsia" w:ascii="仿宋_GB2312" w:hAnsi="仿宋" w:eastAsia="仿宋_GB2312"/>
          <w:sz w:val="32"/>
          <w:szCs w:val="32"/>
        </w:rPr>
        <w:t>2020年1月1日至2020年12月31日期间（以贷款实际到账时间算），</w:t>
      </w:r>
      <w:r>
        <w:rPr>
          <w:rFonts w:hint="eastAsia" w:ascii="仿宋_GB2312" w:eastAsia="仿宋_GB2312" w:cs="仿宋_GB2312"/>
          <w:kern w:val="0"/>
          <w:sz w:val="32"/>
          <w:szCs w:val="32"/>
        </w:rPr>
        <w:t>向我市政府采购供应商发放订单融资贷款的，市财政局在开展</w:t>
      </w:r>
      <w:r>
        <w:rPr>
          <w:rFonts w:ascii="仿宋_GB2312" w:eastAsia="仿宋_GB2312" w:cs="仿宋_GB2312"/>
          <w:kern w:val="0"/>
          <w:sz w:val="32"/>
          <w:szCs w:val="32"/>
        </w:rPr>
        <w:t>2020</w:t>
      </w:r>
      <w:r>
        <w:rPr>
          <w:rFonts w:hint="eastAsia" w:ascii="仿宋_GB2312" w:eastAsia="仿宋_GB2312" w:cs="仿宋_GB2312"/>
          <w:kern w:val="0"/>
          <w:sz w:val="32"/>
          <w:szCs w:val="32"/>
        </w:rPr>
        <w:t>年市本级财政业务代理银行综合考评时给予加分奖励。</w:t>
      </w:r>
      <w:r>
        <w:rPr>
          <w:rFonts w:ascii="仿宋_GB2312" w:eastAsia="仿宋_GB2312" w:cs="仿宋_GB2312"/>
          <w:kern w:val="0"/>
          <w:sz w:val="32"/>
          <w:szCs w:val="32"/>
        </w:rPr>
        <w:t>2020</w:t>
      </w:r>
      <w:r>
        <w:rPr>
          <w:rFonts w:hint="eastAsia" w:ascii="仿宋_GB2312" w:eastAsia="仿宋_GB2312" w:cs="仿宋_GB2312"/>
          <w:kern w:val="0"/>
          <w:sz w:val="32"/>
          <w:szCs w:val="32"/>
        </w:rPr>
        <w:t>年实际新增贷款规模每增加</w:t>
      </w:r>
      <w:r>
        <w:rPr>
          <w:rFonts w:ascii="仿宋_GB2312" w:eastAsia="仿宋_GB2312" w:cs="仿宋_GB2312"/>
          <w:kern w:val="0"/>
          <w:sz w:val="32"/>
          <w:szCs w:val="32"/>
        </w:rPr>
        <w:t>5000</w:t>
      </w:r>
      <w:r>
        <w:rPr>
          <w:rFonts w:hint="eastAsia" w:ascii="仿宋_GB2312" w:eastAsia="仿宋_GB2312" w:cs="仿宋_GB2312"/>
          <w:kern w:val="0"/>
          <w:sz w:val="32"/>
          <w:szCs w:val="32"/>
        </w:rPr>
        <w:t>万元（贷款对象为中小微企业的按照</w:t>
      </w:r>
      <w:r>
        <w:rPr>
          <w:rFonts w:ascii="仿宋_GB2312" w:eastAsia="仿宋_GB2312" w:cs="仿宋_GB2312"/>
          <w:kern w:val="0"/>
          <w:sz w:val="32"/>
          <w:szCs w:val="32"/>
        </w:rPr>
        <w:t>120%</w:t>
      </w:r>
      <w:r>
        <w:rPr>
          <w:rFonts w:hint="eastAsia" w:ascii="仿宋_GB2312" w:eastAsia="仿宋_GB2312" w:cs="仿宋_GB2312"/>
          <w:kern w:val="0"/>
          <w:sz w:val="32"/>
          <w:szCs w:val="32"/>
        </w:rPr>
        <w:t>计算），加</w:t>
      </w:r>
      <w:r>
        <w:rPr>
          <w:rFonts w:ascii="仿宋_GB2312" w:eastAsia="仿宋_GB2312" w:cs="仿宋_GB2312"/>
          <w:kern w:val="0"/>
          <w:sz w:val="32"/>
          <w:szCs w:val="32"/>
        </w:rPr>
        <w:t>1</w:t>
      </w:r>
      <w:r>
        <w:rPr>
          <w:rFonts w:hint="eastAsia" w:ascii="仿宋_GB2312" w:eastAsia="仿宋_GB2312" w:cs="仿宋_GB2312"/>
          <w:kern w:val="0"/>
          <w:sz w:val="32"/>
          <w:szCs w:val="32"/>
        </w:rPr>
        <w:t>分，单家机构最高加</w:t>
      </w:r>
      <w:r>
        <w:rPr>
          <w:rFonts w:ascii="仿宋_GB2312" w:eastAsia="仿宋_GB2312" w:cs="仿宋_GB2312"/>
          <w:kern w:val="0"/>
          <w:sz w:val="32"/>
          <w:szCs w:val="32"/>
        </w:rPr>
        <w:t>3</w:t>
      </w:r>
      <w:r>
        <w:rPr>
          <w:rFonts w:hint="eastAsia" w:ascii="仿宋_GB2312" w:eastAsia="仿宋_GB2312" w:cs="仿宋_GB2312"/>
          <w:kern w:val="0"/>
          <w:sz w:val="32"/>
          <w:szCs w:val="32"/>
        </w:rPr>
        <w:t>分。</w:t>
      </w:r>
    </w:p>
    <w:p>
      <w:pPr>
        <w:autoSpaceDE w:val="0"/>
        <w:autoSpaceDN w:val="0"/>
        <w:adjustRightInd w:val="0"/>
        <w:spacing w:line="6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（三）叠加享受补偿政策。</w:t>
      </w:r>
      <w:r>
        <w:rPr>
          <w:rFonts w:hint="eastAsia" w:ascii="仿宋_GB2312" w:hAnsi="仿宋" w:eastAsia="仿宋_GB2312"/>
          <w:sz w:val="32"/>
          <w:szCs w:val="32"/>
        </w:rPr>
        <w:t>金融机构发放的订单融资贷款，符合《深圳市中小微企业银行贷款风险补偿资金池管理实施细则（试行）》中风险补偿条件的，可以叠加享受风险补偿政策。</w:t>
      </w:r>
    </w:p>
    <w:p>
      <w:pPr>
        <w:autoSpaceDE w:val="0"/>
        <w:autoSpaceDN w:val="0"/>
        <w:adjustRightInd w:val="0"/>
        <w:spacing w:line="62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（四）对外公开融资数据。</w:t>
      </w:r>
      <w:r>
        <w:rPr>
          <w:rFonts w:hint="eastAsia" w:ascii="仿宋_GB2312" w:hAnsi="仿宋" w:eastAsia="仿宋_GB2312"/>
          <w:sz w:val="32"/>
          <w:szCs w:val="32"/>
        </w:rPr>
        <w:t>市财政局按月统计各金融机构在我市开展订单融资业务的数据，按照实际放贷规模从大到小进行排序，将数据对外公开并抄送市区财政部门和相关职能部门。</w:t>
      </w:r>
    </w:p>
    <w:p>
      <w:pPr>
        <w:spacing w:line="620" w:lineRule="exact"/>
        <w:ind w:firstLine="643" w:firstLineChars="200"/>
        <w:rPr>
          <w:rFonts w:hint="eastAsia" w:ascii="仿宋_GB2312" w:hAnsi="宋体" w:eastAsia="仿宋_GB2312"/>
          <w:sz w:val="32"/>
          <w:szCs w:val="32"/>
        </w:rPr>
      </w:pPr>
      <w:r>
        <w:rPr>
          <w:rFonts w:hint="eastAsia" w:ascii="楷体_GB2312" w:hAnsi="仿宋" w:eastAsia="楷体_GB2312"/>
          <w:b/>
          <w:sz w:val="32"/>
          <w:szCs w:val="32"/>
        </w:rPr>
        <w:t>（五）加强动态监管。</w:t>
      </w:r>
      <w:r>
        <w:rPr>
          <w:rFonts w:hint="eastAsia" w:ascii="仿宋_GB2312" w:hAnsi="宋体" w:eastAsia="仿宋_GB2312"/>
          <w:sz w:val="32"/>
          <w:szCs w:val="32"/>
        </w:rPr>
        <w:t>为加强对金融机构的动态监管，</w:t>
      </w:r>
    </w:p>
    <w:p>
      <w:pPr>
        <w:spacing w:line="620" w:lineRule="exact"/>
        <w:rPr>
          <w:rFonts w:hint="eastAsia" w:ascii="仿宋_GB2312" w:hAnsi="宋体" w:eastAsia="仿宋_GB2312"/>
          <w:sz w:val="32"/>
          <w:szCs w:val="32"/>
        </w:rPr>
      </w:pPr>
      <w:r>
        <w:rPr>
          <w:rFonts w:hint="eastAsia" w:ascii="仿宋_GB2312" w:hAnsi="宋体" w:eastAsia="仿宋_GB2312"/>
          <w:sz w:val="32"/>
          <w:szCs w:val="32"/>
        </w:rPr>
        <w:t>对在同一自然年度内未开展业务的金融机构作剔除名单处理，且在下一自然年度内拒绝接收其再次申请。对于金融机构</w:t>
      </w:r>
      <w:r>
        <w:rPr>
          <w:rFonts w:hint="eastAsia" w:ascii="仿宋_GB2312" w:hAnsi="宋体" w:eastAsia="仿宋_GB2312" w:cs="宋体"/>
          <w:kern w:val="0"/>
          <w:sz w:val="32"/>
          <w:szCs w:val="32"/>
          <w:shd w:val="clear" w:color="auto" w:fill="FFFFFF"/>
        </w:rPr>
        <w:t>不按照其在深圳市政府采购监管网公示的产品服务承诺事项办理供应商订单融资业务的，不按照要求报送业务数据的，由市财政局进行约谈，责令限期整改；拒不整改或者变相拒不整改的，将其</w:t>
      </w:r>
      <w:r>
        <w:rPr>
          <w:rFonts w:hint="eastAsia" w:ascii="仿宋_GB2312" w:hAnsi="宋体" w:eastAsia="仿宋_GB2312"/>
          <w:sz w:val="32"/>
          <w:szCs w:val="32"/>
        </w:rPr>
        <w:t>作剔除名单处理，且在下一自然年度内拒绝接收其再次申请。</w:t>
      </w:r>
    </w:p>
    <w:p>
      <w:pPr>
        <w:autoSpaceDE w:val="0"/>
        <w:autoSpaceDN w:val="0"/>
        <w:adjustRightInd w:val="0"/>
        <w:spacing w:line="620" w:lineRule="exact"/>
        <w:ind w:firstLine="640" w:firstLineChars="200"/>
        <w:rPr>
          <w:rFonts w:ascii="黑体" w:hAnsi="黑体" w:eastAsia="黑体"/>
          <w:sz w:val="32"/>
          <w:szCs w:val="32"/>
        </w:rPr>
      </w:pPr>
      <w:r>
        <w:rPr>
          <w:rFonts w:hint="eastAsia" w:ascii="黑体" w:hAnsi="黑体" w:eastAsia="黑体"/>
          <w:sz w:val="32"/>
          <w:szCs w:val="32"/>
        </w:rPr>
        <w:t>三、多部门为开展政府采购订单融资业务提供便利</w:t>
      </w:r>
    </w:p>
    <w:p>
      <w:pPr>
        <w:autoSpaceDE w:val="0"/>
        <w:autoSpaceDN w:val="0"/>
        <w:adjustRightInd w:val="0"/>
        <w:spacing w:line="62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（一）财政部门。</w:t>
      </w:r>
      <w:r>
        <w:rPr>
          <w:rFonts w:hint="eastAsia" w:ascii="仿宋_GB2312" w:hAnsi="仿宋" w:eastAsia="仿宋_GB2312"/>
          <w:sz w:val="32"/>
          <w:szCs w:val="32"/>
        </w:rPr>
        <w:t>财政部门要通过召开座谈会、开展调查问卷等方式广泛收集意见建议，积极协调解决阻碍订单融资业务开展的问题和困难。市财政局在深圳市政府采购监管网开通订单融资专栏，定期发布并动态更新订单融资政策、信息、数据。市财政局推进订单融资管理系统建设，在系统上线运行之前，财政部门要为金融机构查询放贷项目的付款情况提供便利条件。市财政局修订供应商诚信管理办法，将存在订单融资逾期还款、以同一合同多处申请贷款、以造假方式申请贷款等不良行为的供应商，记入政府采购供应商诚信档案，限制其参与我市政府采购活动。</w:t>
      </w:r>
    </w:p>
    <w:p>
      <w:pPr>
        <w:autoSpaceDE w:val="0"/>
        <w:autoSpaceDN w:val="0"/>
        <w:adjustRightInd w:val="0"/>
        <w:spacing w:line="620" w:lineRule="exact"/>
        <w:ind w:firstLine="643" w:firstLineChars="200"/>
        <w:rPr>
          <w:rFonts w:ascii="仿宋_GB2312" w:hAnsi="宋体" w:eastAsia="仿宋_GB2312" w:cs="宋体"/>
          <w:kern w:val="0"/>
          <w:sz w:val="32"/>
          <w:szCs w:val="32"/>
          <w:shd w:val="clear" w:color="auto" w:fill="FFFFFF"/>
        </w:rPr>
      </w:pPr>
      <w:r>
        <w:rPr>
          <w:rFonts w:hint="eastAsia" w:ascii="楷体_GB2312" w:hAnsi="仿宋" w:eastAsia="楷体_GB2312"/>
          <w:b/>
          <w:sz w:val="32"/>
          <w:szCs w:val="32"/>
        </w:rPr>
        <w:t>（二）采购单位。</w:t>
      </w:r>
      <w:r>
        <w:rPr>
          <w:rFonts w:hint="eastAsia" w:ascii="仿宋_GB2312" w:hAnsi="仿宋" w:eastAsia="仿宋_GB2312"/>
          <w:sz w:val="32"/>
          <w:szCs w:val="32"/>
        </w:rPr>
        <w:t>采购单位要按照政府采购合同约定，及时将合同款项支付至合同中指定的收款账户。要向本单位政府采购项目中标（成交）供应商宣传订单融资政策，为供应商申请订单融资提供便利。</w:t>
      </w:r>
      <w:r>
        <w:rPr>
          <w:rFonts w:hint="eastAsia" w:ascii="仿宋_GB2312" w:hAnsi="宋体" w:eastAsia="仿宋_GB2312" w:cs="宋体"/>
          <w:kern w:val="0"/>
          <w:sz w:val="32"/>
          <w:szCs w:val="32"/>
          <w:shd w:val="clear" w:color="auto" w:fill="FFFFFF"/>
        </w:rPr>
        <w:t>因开展订单融资业务，需要变更合同中供应商收款账户信息的，采购单位在公示变更内容无异议后，可以与供应商签订补充协议，不需要再进行合同变更备案。采购单位应当简化此类合同变更事宜的审批程序，提高变更效率。《合同账户变更公示操作指引》详见附件。</w:t>
      </w:r>
    </w:p>
    <w:p>
      <w:pPr>
        <w:spacing w:line="62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（三）招标机构。</w:t>
      </w:r>
      <w:r>
        <w:rPr>
          <w:rFonts w:hint="eastAsia" w:ascii="仿宋_GB2312" w:hAnsi="宋体" w:eastAsia="仿宋_GB2312" w:cs="宋体"/>
          <w:kern w:val="0"/>
          <w:sz w:val="32"/>
          <w:szCs w:val="32"/>
          <w:shd w:val="clear" w:color="auto" w:fill="FFFFFF"/>
        </w:rPr>
        <w:t>市政府采购中心在中心官方网站开通订单融资专栏，</w:t>
      </w:r>
      <w:r>
        <w:rPr>
          <w:rFonts w:hint="eastAsia" w:ascii="仿宋_GB2312" w:hAnsi="仿宋" w:eastAsia="仿宋_GB2312"/>
          <w:sz w:val="32"/>
          <w:szCs w:val="32"/>
        </w:rPr>
        <w:t>定期发布并动态更新订单融资政策、信息、数据，建立订单融资供需信息交流平台，提高供需匹配效率。招标机构（指市区政府集中采购机构和社会采购代理机构，下同）应当为金融机构获取采购人信息、供应商信息、项目中标信息提供便利。招标机构应当在中标（成交）通知书上注明“供应商可以凭借中标（成交）通知书向相关金融机构申请政府采购订单融资，具体指引请登录深圳市政府采购监管网（www.zfcg.sz.gov.cn）或深圳</w:t>
      </w:r>
      <w:r>
        <w:rPr>
          <w:rFonts w:hint="eastAsia" w:ascii="仿宋_GB2312" w:hAnsi="宋体" w:eastAsia="仿宋_GB2312" w:cs="宋体"/>
          <w:kern w:val="0"/>
          <w:sz w:val="32"/>
          <w:szCs w:val="32"/>
          <w:shd w:val="clear" w:color="auto" w:fill="FFFFFF"/>
        </w:rPr>
        <w:t>市政府采购中心官网（http://cgzx.sz.gov.cn/）查询</w:t>
      </w:r>
      <w:r>
        <w:rPr>
          <w:rFonts w:hint="eastAsia" w:ascii="仿宋_GB2312" w:hAnsi="仿宋" w:eastAsia="仿宋_GB2312"/>
          <w:sz w:val="32"/>
          <w:szCs w:val="32"/>
        </w:rPr>
        <w:t>”。</w:t>
      </w:r>
    </w:p>
    <w:p>
      <w:pPr>
        <w:spacing w:line="620" w:lineRule="exact"/>
        <w:ind w:firstLine="643" w:firstLineChars="200"/>
        <w:rPr>
          <w:rFonts w:ascii="仿宋_GB2312" w:hAnsi="仿宋" w:eastAsia="仿宋_GB2312"/>
          <w:sz w:val="32"/>
          <w:szCs w:val="32"/>
        </w:rPr>
      </w:pPr>
      <w:r>
        <w:rPr>
          <w:rFonts w:hint="eastAsia" w:ascii="楷体_GB2312" w:hAnsi="仿宋" w:eastAsia="楷体_GB2312"/>
          <w:b/>
          <w:sz w:val="32"/>
          <w:szCs w:val="32"/>
        </w:rPr>
        <w:t>（四）供应商。</w:t>
      </w:r>
      <w:r>
        <w:rPr>
          <w:rFonts w:hint="eastAsia" w:ascii="仿宋_GB2312" w:hAnsi="仿宋" w:eastAsia="仿宋_GB2312"/>
          <w:sz w:val="32"/>
          <w:szCs w:val="32"/>
        </w:rPr>
        <w:t>供应商参与政府采购活动时应当遵循诚实信用原则，按照订单融资贷款合同约定按时履行还款义务。供应商应当按照放款金融机构的要求，在政府采购合同中明确项目收款账户信息，获取订单融资贷款后，未经放贷金融机构书面同意，不得以任何方式变更政府采购合同（含补充协议等）中的收款账号信息。</w:t>
      </w:r>
    </w:p>
    <w:p>
      <w:pPr>
        <w:spacing w:line="620" w:lineRule="exact"/>
        <w:ind w:firstLine="643" w:firstLineChars="200"/>
        <w:rPr>
          <w:rFonts w:ascii="仿宋_GB2312" w:hAnsi="仿宋" w:eastAsia="仿宋_GB2312"/>
          <w:sz w:val="32"/>
          <w:szCs w:val="32"/>
        </w:rPr>
      </w:pPr>
      <w:r>
        <w:rPr>
          <w:rFonts w:hint="eastAsia" w:ascii="楷体_GB2312" w:hAnsi="仿宋" w:eastAsia="楷体_GB2312"/>
          <w:b/>
          <w:sz w:val="32"/>
          <w:szCs w:val="32"/>
        </w:rPr>
        <w:t>（五）金融机构。</w:t>
      </w:r>
      <w:r>
        <w:rPr>
          <w:rFonts w:hint="eastAsia" w:ascii="仿宋_GB2312" w:eastAsia="仿宋_GB2312"/>
          <w:sz w:val="31"/>
          <w:szCs w:val="31"/>
        </w:rPr>
        <w:t>金融机构应当</w:t>
      </w:r>
      <w:r>
        <w:rPr>
          <w:rFonts w:hint="eastAsia" w:ascii="仿宋_GB2312" w:hAnsi="仿宋" w:eastAsia="仿宋_GB2312"/>
          <w:sz w:val="32"/>
          <w:szCs w:val="32"/>
        </w:rPr>
        <w:t>制定业务管理规范，简化贷款审批程序，配备专业服务人员，为有融资需求的供应商提供快捷、方便、专业的订单融资服务。金融机构应当积极帮助供应商申请贷款贴息等其他政策支持。鼓励金融机构开展线上订单融资业务。鼓励金融机构将审贷工作前置，结合供应商历史中标、企业信用等综合信息，实行预授信管理，提高放贷效率。</w:t>
      </w:r>
    </w:p>
    <w:p>
      <w:pPr>
        <w:spacing w:line="620" w:lineRule="exact"/>
        <w:ind w:firstLine="640" w:firstLineChars="200"/>
        <w:rPr>
          <w:rFonts w:ascii="仿宋_GB2312" w:hAnsi="仿宋" w:eastAsia="仿宋_GB2312"/>
          <w:sz w:val="32"/>
          <w:szCs w:val="32"/>
        </w:rPr>
      </w:pPr>
      <w:r>
        <w:rPr>
          <w:rFonts w:hint="eastAsia" w:ascii="黑体" w:hAnsi="黑体" w:eastAsia="黑体"/>
          <w:sz w:val="32"/>
          <w:szCs w:val="32"/>
        </w:rPr>
        <w:t>四、其他事项</w:t>
      </w:r>
    </w:p>
    <w:p>
      <w:pPr>
        <w:spacing w:line="620" w:lineRule="exact"/>
        <w:ind w:firstLine="640" w:firstLineChars="200"/>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1.《深圳市财政委员会关于开展政府采购订单融资改革试点工作的通知》（深财购〔2016〕44号）、《深圳市财政委员会关于更新政府采购订单融资试点金融机构名单等事项的通知》（深财购〔2018〕36号）及《深圳市财政局关于支持中小企业发展进一步推进政府采购订单融资改革工作的通知》（深财购函〔2019〕1625号）不再执行。</w:t>
      </w:r>
    </w:p>
    <w:p>
      <w:pPr>
        <w:spacing w:line="62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2.与《深圳市财政局 深圳市政府采购中心关于进一步加强市本级政府采购合同备案管理工作的通知》（深财购〔2019〕43号）中关于合同账户变更内容不一致的地方，以本通知为准。</w:t>
      </w:r>
    </w:p>
    <w:p>
      <w:pPr>
        <w:spacing w:line="620" w:lineRule="exact"/>
        <w:ind w:firstLine="640" w:firstLineChars="200"/>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特此通知。</w:t>
      </w:r>
    </w:p>
    <w:p>
      <w:pPr>
        <w:spacing w:line="620" w:lineRule="exact"/>
        <w:ind w:firstLine="640" w:firstLineChars="200"/>
        <w:rPr>
          <w:rFonts w:hint="eastAsia" w:ascii="仿宋_GB2312" w:hAnsi="宋体" w:eastAsia="仿宋_GB2312" w:cs="宋体"/>
          <w:kern w:val="0"/>
          <w:sz w:val="32"/>
          <w:szCs w:val="32"/>
          <w:shd w:val="clear" w:color="auto" w:fill="FFFFFF"/>
        </w:rPr>
      </w:pPr>
    </w:p>
    <w:p>
      <w:pPr>
        <w:spacing w:line="620" w:lineRule="exact"/>
        <w:ind w:firstLine="640" w:firstLineChars="200"/>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附件：</w:t>
      </w:r>
    </w:p>
    <w:p>
      <w:pPr>
        <w:spacing w:line="620" w:lineRule="exact"/>
        <w:ind w:firstLine="640" w:firstLineChars="200"/>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2.1 金融机构开展政府采购订单融资业务指引</w:t>
      </w:r>
    </w:p>
    <w:p>
      <w:pPr>
        <w:spacing w:line="620" w:lineRule="exact"/>
        <w:ind w:firstLine="640" w:firstLineChars="200"/>
        <w:rPr>
          <w:rFonts w:ascii="仿宋_GB2312" w:hAnsi="宋体" w:eastAsia="仿宋_GB2312" w:cs="宋体"/>
          <w:kern w:val="0"/>
          <w:sz w:val="32"/>
          <w:szCs w:val="32"/>
          <w:shd w:val="clear" w:color="auto" w:fill="FFFFFF"/>
        </w:rPr>
        <w:sectPr>
          <w:pgSz w:w="11906" w:h="16838"/>
          <w:pgMar w:top="1440" w:right="1800" w:bottom="1440" w:left="1800" w:header="851" w:footer="992" w:gutter="0"/>
          <w:cols w:space="720" w:num="1"/>
          <w:docGrid w:type="lines" w:linePitch="312" w:charSpace="0"/>
        </w:sectPr>
      </w:pPr>
      <w:bookmarkStart w:id="0" w:name="_GoBack"/>
      <w:bookmarkEnd w:id="0"/>
      <w:r>
        <w:rPr>
          <w:rFonts w:hint="eastAsia" w:ascii="仿宋_GB2312" w:hAnsi="宋体" w:eastAsia="仿宋_GB2312" w:cs="宋体"/>
          <w:kern w:val="0"/>
          <w:sz w:val="32"/>
          <w:szCs w:val="32"/>
          <w:shd w:val="clear" w:color="auto" w:fill="FFFFFF"/>
        </w:rPr>
        <w:t>2.2 合同账户变更公示操作指引</w:t>
      </w:r>
    </w:p>
    <w:p>
      <w:pPr>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附件2.1</w:t>
      </w:r>
    </w:p>
    <w:p>
      <w:pPr>
        <w:jc w:val="center"/>
        <w:rPr>
          <w:rFonts w:hint="eastAsia" w:ascii="方正小标宋简体" w:hAnsi="宋体" w:eastAsia="方正小标宋简体"/>
          <w:bCs/>
          <w:kern w:val="0"/>
          <w:sz w:val="44"/>
          <w:szCs w:val="44"/>
          <w:shd w:val="clear" w:color="auto" w:fill="FFFFFF"/>
        </w:rPr>
      </w:pPr>
    </w:p>
    <w:p>
      <w:pPr>
        <w:jc w:val="center"/>
        <w:rPr>
          <w:rFonts w:hint="eastAsia" w:ascii="方正小标宋简体" w:hAnsi="宋体" w:eastAsia="方正小标宋简体"/>
          <w:bCs/>
          <w:kern w:val="0"/>
          <w:sz w:val="44"/>
          <w:szCs w:val="44"/>
          <w:shd w:val="clear" w:color="auto" w:fill="FFFFFF"/>
        </w:rPr>
      </w:pPr>
      <w:r>
        <w:rPr>
          <w:rFonts w:hint="eastAsia" w:ascii="方正小标宋简体" w:hAnsi="宋体" w:eastAsia="方正小标宋简体"/>
          <w:bCs/>
          <w:kern w:val="0"/>
          <w:sz w:val="44"/>
          <w:szCs w:val="44"/>
          <w:shd w:val="clear" w:color="auto" w:fill="FFFFFF"/>
        </w:rPr>
        <w:t>金融机构开展政府采购订单融资业务指引</w:t>
      </w:r>
    </w:p>
    <w:p>
      <w:pPr>
        <w:ind w:firstLine="640" w:firstLineChars="200"/>
        <w:jc w:val="left"/>
        <w:rPr>
          <w:rFonts w:hint="eastAsia" w:ascii="黑体" w:hAnsi="黑体" w:eastAsia="黑体"/>
          <w:kern w:val="0"/>
          <w:sz w:val="32"/>
          <w:szCs w:val="32"/>
          <w:shd w:val="clear" w:color="auto" w:fill="FFFFFF"/>
        </w:rPr>
      </w:pPr>
    </w:p>
    <w:p>
      <w:pPr>
        <w:ind w:firstLine="640" w:firstLineChars="200"/>
        <w:jc w:val="left"/>
        <w:rPr>
          <w:rFonts w:ascii="黑体" w:hAnsi="黑体" w:eastAsia="黑体"/>
          <w:kern w:val="0"/>
          <w:sz w:val="32"/>
          <w:szCs w:val="32"/>
          <w:shd w:val="clear" w:color="auto" w:fill="FFFFFF"/>
        </w:rPr>
      </w:pPr>
      <w:r>
        <w:rPr>
          <w:rFonts w:hint="eastAsia" w:ascii="黑体" w:hAnsi="黑体" w:eastAsia="黑体"/>
          <w:bCs/>
          <w:kern w:val="0"/>
          <w:sz w:val="32"/>
          <w:szCs w:val="32"/>
          <w:shd w:val="clear" w:color="auto" w:fill="FFFFFF"/>
        </w:rPr>
        <w:t>一、</w:t>
      </w:r>
      <w:r>
        <w:rPr>
          <w:rFonts w:hint="eastAsia" w:ascii="黑体" w:hAnsi="黑体" w:eastAsia="黑体"/>
          <w:kern w:val="0"/>
          <w:sz w:val="32"/>
          <w:szCs w:val="32"/>
          <w:shd w:val="clear" w:color="auto" w:fill="FFFFFF"/>
        </w:rPr>
        <w:t>金融机构范围</w:t>
      </w:r>
    </w:p>
    <w:p>
      <w:pPr>
        <w:autoSpaceDE w:val="0"/>
        <w:ind w:firstLine="640" w:firstLineChars="200"/>
        <w:jc w:val="left"/>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纳入深圳银保监局商业银行风险评级，且自愿成为订单融资金融机构的国内商业银行；注册资本和实缴资本均达到5亿元及以上，且自愿成为订单融资金融机构的国内商业保理公司。</w:t>
      </w:r>
    </w:p>
    <w:p>
      <w:pPr>
        <w:autoSpaceDE w:val="0"/>
        <w:ind w:firstLine="640" w:firstLineChars="200"/>
        <w:jc w:val="left"/>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二、金融机构申报程序</w:t>
      </w:r>
    </w:p>
    <w:p>
      <w:pPr>
        <w:autoSpaceDE w:val="0"/>
        <w:ind w:firstLine="640"/>
        <w:jc w:val="left"/>
        <w:rPr>
          <w:rFonts w:ascii="仿宋_GB2312" w:hAnsi="Calibri" w:eastAsia="仿宋_GB2312"/>
          <w:kern w:val="0"/>
          <w:sz w:val="32"/>
          <w:szCs w:val="32"/>
          <w:shd w:val="clear" w:color="auto" w:fill="FFFFFF"/>
        </w:rPr>
      </w:pPr>
      <w:r>
        <w:rPr>
          <w:rFonts w:hint="eastAsia" w:ascii="仿宋_GB2312" w:eastAsia="仿宋_GB2312"/>
          <w:kern w:val="0"/>
          <w:sz w:val="32"/>
          <w:szCs w:val="32"/>
          <w:shd w:val="clear" w:color="auto" w:fill="FFFFFF"/>
        </w:rPr>
        <w:t>有意开展订单融资的金融机构，需向深圳市财政局提交书面申请。申请材料包括：</w:t>
      </w:r>
    </w:p>
    <w:p>
      <w:pPr>
        <w:numPr>
          <w:ilvl w:val="0"/>
          <w:numId w:val="1"/>
        </w:numPr>
        <w:autoSpaceDE w:val="0"/>
        <w:ind w:firstLine="640"/>
        <w:jc w:val="left"/>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资质证明：符合试点范围的证明材料。</w:t>
      </w:r>
    </w:p>
    <w:p>
      <w:pPr>
        <w:numPr>
          <w:ilvl w:val="0"/>
          <w:numId w:val="1"/>
        </w:numPr>
        <w:autoSpaceDE w:val="0"/>
        <w:ind w:firstLine="640"/>
        <w:jc w:val="left"/>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相关产品介绍（格式参考《订单融资方案》）。</w:t>
      </w:r>
    </w:p>
    <w:p>
      <w:pPr>
        <w:numPr>
          <w:ilvl w:val="0"/>
          <w:numId w:val="1"/>
        </w:numPr>
        <w:autoSpaceDE w:val="0"/>
        <w:ind w:firstLine="640"/>
        <w:jc w:val="left"/>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联系专员信息：包括本单位分管领导、专责部门负责人以及具体对口联系人（各1名）的姓名、职务、联系方式、邮箱等信息。</w:t>
      </w:r>
    </w:p>
    <w:p>
      <w:pPr>
        <w:widowControl/>
        <w:shd w:val="clear" w:color="auto" w:fill="FFFFFF"/>
        <w:ind w:firstLine="615"/>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市财政局将已备案的金融机构及其融资产品信息在深圳市政府采购监管网和深圳市政府采购中心网站“订单融资”栏目展示。</w:t>
      </w:r>
    </w:p>
    <w:p>
      <w:pPr>
        <w:autoSpaceDE w:val="0"/>
        <w:ind w:firstLine="640" w:firstLineChars="200"/>
        <w:jc w:val="left"/>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三、订单融资方案</w:t>
      </w:r>
    </w:p>
    <w:p>
      <w:pPr>
        <w:widowControl/>
        <w:shd w:val="clear" w:color="auto" w:fill="FFFFFF"/>
        <w:ind w:firstLine="883"/>
        <w:jc w:val="center"/>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政府采购订单融资业务方案（参考模板）</w:t>
      </w:r>
    </w:p>
    <w:tbl>
      <w:tblPr>
        <w:tblStyle w:val="2"/>
        <w:tblW w:w="0" w:type="auto"/>
        <w:tblInd w:w="93" w:type="dxa"/>
        <w:tblLayout w:type="fixed"/>
        <w:tblCellMar>
          <w:top w:w="0" w:type="dxa"/>
          <w:left w:w="108" w:type="dxa"/>
          <w:bottom w:w="0" w:type="dxa"/>
          <w:right w:w="108" w:type="dxa"/>
        </w:tblCellMar>
      </w:tblPr>
      <w:tblGrid>
        <w:gridCol w:w="441"/>
        <w:gridCol w:w="1559"/>
        <w:gridCol w:w="6287"/>
      </w:tblGrid>
      <w:tr>
        <w:tblPrEx>
          <w:tblCellMar>
            <w:top w:w="0" w:type="dxa"/>
            <w:left w:w="108" w:type="dxa"/>
            <w:bottom w:w="0" w:type="dxa"/>
            <w:right w:w="108" w:type="dxa"/>
          </w:tblCellMar>
        </w:tblPrEx>
        <w:trPr>
          <w:trHeight w:val="567" w:hRule="atLeast"/>
        </w:trPr>
        <w:tc>
          <w:tcPr>
            <w:tcW w:w="8287"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黑体" w:hAnsi="黑体" w:eastAsia="黑体"/>
                <w:b/>
                <w:bCs/>
                <w:kern w:val="0"/>
                <w:sz w:val="22"/>
                <w:szCs w:val="22"/>
              </w:rPr>
            </w:pPr>
            <w:r>
              <w:rPr>
                <w:rFonts w:hint="eastAsia" w:ascii="黑体" w:hAnsi="黑体" w:eastAsia="黑体"/>
                <w:b/>
                <w:bCs/>
                <w:kern w:val="0"/>
                <w:sz w:val="22"/>
                <w:szCs w:val="22"/>
              </w:rPr>
              <w:t>一、金融机构基本情况（必填项）</w:t>
            </w:r>
          </w:p>
        </w:tc>
      </w:tr>
      <w:tr>
        <w:tblPrEx>
          <w:tblCellMar>
            <w:top w:w="0" w:type="dxa"/>
            <w:left w:w="108" w:type="dxa"/>
            <w:bottom w:w="0" w:type="dxa"/>
            <w:right w:w="108" w:type="dxa"/>
          </w:tblCellMar>
        </w:tblPrEx>
        <w:trPr>
          <w:trHeight w:val="56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kern w:val="0"/>
                <w:sz w:val="22"/>
                <w:szCs w:val="22"/>
              </w:rPr>
            </w:pPr>
            <w:r>
              <w:rPr>
                <w:rFonts w:hint="eastAsia" w:ascii="黑体" w:hAnsi="黑体" w:eastAsia="黑体"/>
                <w:kern w:val="0"/>
                <w:sz w:val="22"/>
                <w:szCs w:val="22"/>
              </w:rPr>
              <w:t>1</w:t>
            </w:r>
          </w:p>
        </w:tc>
        <w:tc>
          <w:tcPr>
            <w:tcW w:w="1559" w:type="dxa"/>
            <w:tcBorders>
              <w:top w:val="nil"/>
              <w:left w:val="nil"/>
              <w:bottom w:val="single" w:color="auto" w:sz="4" w:space="0"/>
              <w:right w:val="single" w:color="auto" w:sz="4" w:space="0"/>
            </w:tcBorders>
            <w:noWrap/>
            <w:vAlign w:val="center"/>
          </w:tcPr>
          <w:p>
            <w:pPr>
              <w:widowControl/>
              <w:jc w:val="center"/>
              <w:rPr>
                <w:rFonts w:ascii="黑体" w:hAnsi="黑体" w:eastAsia="黑体"/>
                <w:kern w:val="0"/>
                <w:sz w:val="22"/>
                <w:szCs w:val="22"/>
              </w:rPr>
            </w:pPr>
            <w:r>
              <w:rPr>
                <w:rFonts w:hint="eastAsia" w:ascii="黑体" w:hAnsi="黑体" w:eastAsia="黑体"/>
                <w:kern w:val="0"/>
                <w:sz w:val="22"/>
                <w:szCs w:val="22"/>
              </w:rPr>
              <w:t>机构名称</w:t>
            </w:r>
          </w:p>
        </w:tc>
        <w:tc>
          <w:tcPr>
            <w:tcW w:w="6287" w:type="dxa"/>
            <w:tcBorders>
              <w:top w:val="nil"/>
              <w:left w:val="nil"/>
              <w:bottom w:val="single" w:color="auto" w:sz="4" w:space="0"/>
              <w:right w:val="single" w:color="auto" w:sz="4" w:space="0"/>
            </w:tcBorders>
            <w:noWrap/>
            <w:vAlign w:val="center"/>
          </w:tcPr>
          <w:p>
            <w:pPr>
              <w:widowControl/>
              <w:jc w:val="left"/>
              <w:rPr>
                <w:rFonts w:ascii="黑体" w:hAnsi="黑体" w:eastAsia="黑体"/>
                <w:kern w:val="0"/>
                <w:sz w:val="22"/>
                <w:szCs w:val="22"/>
              </w:rPr>
            </w:pPr>
            <w:r>
              <w:rPr>
                <w:rFonts w:hint="eastAsia" w:ascii="黑体" w:hAnsi="黑体" w:eastAsia="黑体"/>
                <w:kern w:val="0"/>
                <w:sz w:val="22"/>
                <w:szCs w:val="22"/>
              </w:rPr>
              <w:t xml:space="preserve">                             </w:t>
            </w:r>
          </w:p>
        </w:tc>
      </w:tr>
      <w:tr>
        <w:tblPrEx>
          <w:tblCellMar>
            <w:top w:w="0" w:type="dxa"/>
            <w:left w:w="108" w:type="dxa"/>
            <w:bottom w:w="0" w:type="dxa"/>
            <w:right w:w="108" w:type="dxa"/>
          </w:tblCellMar>
        </w:tblPrEx>
        <w:trPr>
          <w:trHeight w:val="567" w:hRule="atLeast"/>
        </w:trPr>
        <w:tc>
          <w:tcPr>
            <w:tcW w:w="441"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kern w:val="0"/>
                <w:sz w:val="22"/>
                <w:szCs w:val="22"/>
              </w:rPr>
            </w:pPr>
            <w:r>
              <w:rPr>
                <w:rFonts w:hint="eastAsia" w:ascii="黑体" w:hAnsi="黑体" w:eastAsia="黑体"/>
                <w:kern w:val="0"/>
                <w:sz w:val="22"/>
                <w:szCs w:val="22"/>
              </w:rPr>
              <w:t>2</w:t>
            </w:r>
          </w:p>
        </w:tc>
        <w:tc>
          <w:tcPr>
            <w:tcW w:w="1559" w:type="dxa"/>
            <w:tcBorders>
              <w:top w:val="nil"/>
              <w:left w:val="nil"/>
              <w:bottom w:val="single" w:color="auto" w:sz="4" w:space="0"/>
              <w:right w:val="single" w:color="auto" w:sz="4" w:space="0"/>
            </w:tcBorders>
            <w:noWrap/>
            <w:vAlign w:val="center"/>
          </w:tcPr>
          <w:p>
            <w:pPr>
              <w:widowControl/>
              <w:jc w:val="center"/>
              <w:rPr>
                <w:rFonts w:ascii="黑体" w:hAnsi="黑体" w:eastAsia="黑体"/>
                <w:kern w:val="0"/>
                <w:sz w:val="22"/>
                <w:szCs w:val="22"/>
              </w:rPr>
            </w:pPr>
            <w:r>
              <w:rPr>
                <w:rFonts w:hint="eastAsia" w:ascii="黑体" w:hAnsi="黑体" w:eastAsia="黑体"/>
                <w:kern w:val="0"/>
                <w:sz w:val="22"/>
                <w:szCs w:val="22"/>
              </w:rPr>
              <w:t>机构简介</w:t>
            </w:r>
          </w:p>
        </w:tc>
        <w:tc>
          <w:tcPr>
            <w:tcW w:w="6287" w:type="dxa"/>
            <w:tcBorders>
              <w:top w:val="nil"/>
              <w:left w:val="nil"/>
              <w:bottom w:val="single" w:color="auto" w:sz="4" w:space="0"/>
              <w:right w:val="single" w:color="auto" w:sz="4" w:space="0"/>
            </w:tcBorders>
            <w:noWrap/>
            <w:vAlign w:val="center"/>
          </w:tcPr>
          <w:p>
            <w:pPr>
              <w:widowControl/>
              <w:jc w:val="left"/>
              <w:rPr>
                <w:rFonts w:ascii="黑体" w:hAnsi="黑体" w:eastAsia="黑体"/>
                <w:kern w:val="0"/>
                <w:sz w:val="22"/>
                <w:szCs w:val="22"/>
              </w:rPr>
            </w:pPr>
            <w:r>
              <w:rPr>
                <w:rFonts w:hint="eastAsia" w:ascii="黑体" w:hAnsi="黑体" w:eastAsia="黑体"/>
                <w:kern w:val="0"/>
                <w:sz w:val="22"/>
                <w:szCs w:val="22"/>
              </w:rPr>
              <w:t>可另附页</w:t>
            </w:r>
          </w:p>
        </w:tc>
      </w:tr>
      <w:tr>
        <w:tblPrEx>
          <w:tblCellMar>
            <w:top w:w="0" w:type="dxa"/>
            <w:left w:w="108" w:type="dxa"/>
            <w:bottom w:w="0" w:type="dxa"/>
            <w:right w:w="108" w:type="dxa"/>
          </w:tblCellMar>
        </w:tblPrEx>
        <w:trPr>
          <w:trHeight w:val="567" w:hRule="atLeast"/>
        </w:trPr>
        <w:tc>
          <w:tcPr>
            <w:tcW w:w="8287"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黑体" w:hAnsi="黑体" w:eastAsia="黑体"/>
                <w:b/>
                <w:bCs/>
                <w:kern w:val="0"/>
                <w:sz w:val="22"/>
                <w:szCs w:val="22"/>
              </w:rPr>
            </w:pPr>
            <w:r>
              <w:rPr>
                <w:rFonts w:hint="eastAsia" w:ascii="黑体" w:hAnsi="黑体" w:eastAsia="黑体"/>
                <w:b/>
                <w:bCs/>
                <w:kern w:val="0"/>
                <w:sz w:val="22"/>
                <w:szCs w:val="22"/>
              </w:rPr>
              <w:t>二、订单融资产品情况（必填项）</w:t>
            </w:r>
          </w:p>
        </w:tc>
      </w:tr>
      <w:tr>
        <w:tblPrEx>
          <w:tblCellMar>
            <w:top w:w="0" w:type="dxa"/>
            <w:left w:w="108" w:type="dxa"/>
            <w:bottom w:w="0" w:type="dxa"/>
            <w:right w:w="108" w:type="dxa"/>
          </w:tblCellMar>
        </w:tblPrEx>
        <w:trPr>
          <w:trHeight w:val="567" w:hRule="atLeast"/>
        </w:trPr>
        <w:tc>
          <w:tcPr>
            <w:tcW w:w="4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kern w:val="0"/>
                <w:sz w:val="22"/>
                <w:szCs w:val="22"/>
              </w:rPr>
            </w:pPr>
            <w:r>
              <w:rPr>
                <w:rFonts w:hint="eastAsia" w:ascii="黑体" w:hAnsi="黑体" w:eastAsia="黑体"/>
                <w:kern w:val="0"/>
                <w:sz w:val="22"/>
                <w:szCs w:val="22"/>
              </w:rPr>
              <w:t>1</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kern w:val="0"/>
                <w:sz w:val="22"/>
                <w:szCs w:val="22"/>
              </w:rPr>
            </w:pPr>
            <w:r>
              <w:rPr>
                <w:rFonts w:hint="eastAsia" w:ascii="黑体" w:hAnsi="黑体" w:eastAsia="黑体"/>
                <w:kern w:val="0"/>
                <w:sz w:val="22"/>
                <w:szCs w:val="22"/>
              </w:rPr>
              <w:t>贷款条件</w:t>
            </w:r>
          </w:p>
        </w:tc>
        <w:tc>
          <w:tcPr>
            <w:tcW w:w="628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黑体" w:hAnsi="黑体" w:eastAsia="黑体"/>
                <w:kern w:val="0"/>
                <w:sz w:val="22"/>
                <w:szCs w:val="22"/>
              </w:rPr>
            </w:pPr>
          </w:p>
        </w:tc>
      </w:tr>
      <w:tr>
        <w:tblPrEx>
          <w:tblCellMar>
            <w:top w:w="0" w:type="dxa"/>
            <w:left w:w="108" w:type="dxa"/>
            <w:bottom w:w="0" w:type="dxa"/>
            <w:right w:w="108" w:type="dxa"/>
          </w:tblCellMar>
        </w:tblPrEx>
        <w:trPr>
          <w:trHeight w:val="567" w:hRule="atLeast"/>
        </w:trPr>
        <w:tc>
          <w:tcPr>
            <w:tcW w:w="4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kern w:val="0"/>
                <w:sz w:val="22"/>
                <w:szCs w:val="22"/>
              </w:rPr>
            </w:pPr>
            <w:r>
              <w:rPr>
                <w:rFonts w:hint="eastAsia" w:ascii="黑体" w:hAnsi="黑体" w:eastAsia="黑体"/>
                <w:kern w:val="0"/>
                <w:sz w:val="22"/>
                <w:szCs w:val="22"/>
              </w:rPr>
              <w:t>2</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ind w:firstLine="220" w:firstLineChars="100"/>
              <w:rPr>
                <w:rFonts w:hint="eastAsia" w:ascii="黑体" w:hAnsi="黑体" w:eastAsia="黑体"/>
                <w:kern w:val="0"/>
                <w:sz w:val="22"/>
                <w:szCs w:val="22"/>
              </w:rPr>
            </w:pPr>
            <w:r>
              <w:rPr>
                <w:rFonts w:hint="eastAsia" w:ascii="黑体" w:hAnsi="黑体" w:eastAsia="黑体"/>
                <w:kern w:val="0"/>
                <w:sz w:val="22"/>
                <w:szCs w:val="22"/>
              </w:rPr>
              <w:t>贷款额度</w:t>
            </w:r>
          </w:p>
        </w:tc>
        <w:tc>
          <w:tcPr>
            <w:tcW w:w="628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黑体" w:hAnsi="黑体" w:eastAsia="黑体"/>
                <w:kern w:val="0"/>
                <w:sz w:val="22"/>
                <w:szCs w:val="22"/>
              </w:rPr>
            </w:pPr>
            <w:r>
              <w:rPr>
                <w:rFonts w:hint="eastAsia" w:ascii="黑体" w:hAnsi="黑体" w:eastAsia="黑体"/>
                <w:kern w:val="0"/>
                <w:sz w:val="22"/>
                <w:szCs w:val="22"/>
              </w:rPr>
              <w:t>（总额度，贷款金额与合同金额的比例，可填写范围值）</w:t>
            </w:r>
          </w:p>
        </w:tc>
      </w:tr>
      <w:tr>
        <w:tblPrEx>
          <w:tblCellMar>
            <w:top w:w="0" w:type="dxa"/>
            <w:left w:w="108" w:type="dxa"/>
            <w:bottom w:w="0" w:type="dxa"/>
            <w:right w:w="108" w:type="dxa"/>
          </w:tblCellMar>
        </w:tblPrEx>
        <w:trPr>
          <w:trHeight w:val="567" w:hRule="atLeast"/>
        </w:trPr>
        <w:tc>
          <w:tcPr>
            <w:tcW w:w="4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kern w:val="0"/>
                <w:sz w:val="22"/>
                <w:szCs w:val="22"/>
              </w:rPr>
            </w:pPr>
            <w:r>
              <w:rPr>
                <w:rFonts w:hint="eastAsia" w:ascii="黑体" w:hAnsi="黑体" w:eastAsia="黑体"/>
                <w:kern w:val="0"/>
                <w:sz w:val="22"/>
                <w:szCs w:val="22"/>
              </w:rPr>
              <w:t>3</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ind w:firstLine="220" w:firstLineChars="100"/>
              <w:rPr>
                <w:rFonts w:hint="eastAsia" w:ascii="黑体" w:hAnsi="黑体" w:eastAsia="黑体"/>
                <w:kern w:val="0"/>
                <w:sz w:val="22"/>
                <w:szCs w:val="22"/>
              </w:rPr>
            </w:pPr>
            <w:r>
              <w:rPr>
                <w:rFonts w:hint="eastAsia" w:ascii="黑体" w:hAnsi="黑体" w:eastAsia="黑体"/>
                <w:kern w:val="0"/>
                <w:sz w:val="22"/>
                <w:szCs w:val="22"/>
              </w:rPr>
              <w:t>贷款期限</w:t>
            </w:r>
          </w:p>
        </w:tc>
        <w:tc>
          <w:tcPr>
            <w:tcW w:w="628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黑体" w:hAnsi="黑体" w:eastAsia="黑体"/>
                <w:kern w:val="0"/>
                <w:sz w:val="22"/>
                <w:szCs w:val="22"/>
              </w:rPr>
            </w:pPr>
          </w:p>
        </w:tc>
      </w:tr>
      <w:tr>
        <w:tblPrEx>
          <w:tblCellMar>
            <w:top w:w="0" w:type="dxa"/>
            <w:left w:w="108" w:type="dxa"/>
            <w:bottom w:w="0" w:type="dxa"/>
            <w:right w:w="108" w:type="dxa"/>
          </w:tblCellMar>
        </w:tblPrEx>
        <w:trPr>
          <w:trHeight w:val="567" w:hRule="atLeast"/>
        </w:trPr>
        <w:tc>
          <w:tcPr>
            <w:tcW w:w="4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kern w:val="0"/>
                <w:sz w:val="22"/>
                <w:szCs w:val="22"/>
              </w:rPr>
            </w:pPr>
            <w:r>
              <w:rPr>
                <w:rFonts w:hint="eastAsia" w:ascii="黑体" w:hAnsi="黑体" w:eastAsia="黑体"/>
                <w:kern w:val="0"/>
                <w:sz w:val="22"/>
                <w:szCs w:val="22"/>
              </w:rPr>
              <w:t>4</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黑体" w:hAnsi="黑体" w:eastAsia="黑体"/>
                <w:kern w:val="0"/>
                <w:sz w:val="22"/>
                <w:szCs w:val="22"/>
              </w:rPr>
            </w:pPr>
            <w:r>
              <w:rPr>
                <w:rFonts w:hint="eastAsia" w:ascii="黑体" w:hAnsi="黑体" w:eastAsia="黑体"/>
                <w:kern w:val="0"/>
                <w:sz w:val="22"/>
                <w:szCs w:val="22"/>
              </w:rPr>
              <w:t>贷款年化利率</w:t>
            </w:r>
          </w:p>
        </w:tc>
        <w:tc>
          <w:tcPr>
            <w:tcW w:w="628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黑体" w:hAnsi="黑体" w:eastAsia="黑体"/>
                <w:kern w:val="0"/>
                <w:sz w:val="22"/>
                <w:szCs w:val="22"/>
              </w:rPr>
            </w:pPr>
            <w:r>
              <w:rPr>
                <w:rFonts w:hint="eastAsia" w:ascii="黑体" w:hAnsi="黑体" w:eastAsia="黑体"/>
                <w:kern w:val="0"/>
                <w:sz w:val="22"/>
                <w:szCs w:val="22"/>
              </w:rPr>
              <w:t>（可填写范围值）</w:t>
            </w:r>
          </w:p>
        </w:tc>
      </w:tr>
      <w:tr>
        <w:tblPrEx>
          <w:tblCellMar>
            <w:top w:w="0" w:type="dxa"/>
            <w:left w:w="108" w:type="dxa"/>
            <w:bottom w:w="0" w:type="dxa"/>
            <w:right w:w="108" w:type="dxa"/>
          </w:tblCellMar>
        </w:tblPrEx>
        <w:trPr>
          <w:trHeight w:val="567" w:hRule="atLeast"/>
        </w:trPr>
        <w:tc>
          <w:tcPr>
            <w:tcW w:w="4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kern w:val="0"/>
                <w:sz w:val="22"/>
                <w:szCs w:val="22"/>
              </w:rPr>
            </w:pPr>
            <w:r>
              <w:rPr>
                <w:rFonts w:hint="eastAsia" w:ascii="黑体" w:hAnsi="黑体" w:eastAsia="黑体"/>
                <w:kern w:val="0"/>
                <w:sz w:val="22"/>
                <w:szCs w:val="22"/>
              </w:rPr>
              <w:t>5</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黑体" w:hAnsi="黑体" w:eastAsia="黑体"/>
                <w:kern w:val="0"/>
                <w:sz w:val="22"/>
                <w:szCs w:val="22"/>
              </w:rPr>
            </w:pPr>
            <w:r>
              <w:rPr>
                <w:rFonts w:hint="eastAsia" w:ascii="黑体" w:hAnsi="黑体" w:eastAsia="黑体"/>
                <w:kern w:val="0"/>
                <w:sz w:val="22"/>
                <w:szCs w:val="22"/>
              </w:rPr>
              <w:t>还本付息方式</w:t>
            </w:r>
          </w:p>
        </w:tc>
        <w:tc>
          <w:tcPr>
            <w:tcW w:w="628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黑体" w:hAnsi="黑体" w:eastAsia="黑体"/>
                <w:kern w:val="0"/>
                <w:sz w:val="22"/>
                <w:szCs w:val="22"/>
              </w:rPr>
            </w:pPr>
          </w:p>
        </w:tc>
      </w:tr>
      <w:tr>
        <w:tblPrEx>
          <w:tblCellMar>
            <w:top w:w="0" w:type="dxa"/>
            <w:left w:w="108" w:type="dxa"/>
            <w:bottom w:w="0" w:type="dxa"/>
            <w:right w:w="108" w:type="dxa"/>
          </w:tblCellMar>
        </w:tblPrEx>
        <w:trPr>
          <w:trHeight w:val="567" w:hRule="atLeast"/>
        </w:trPr>
        <w:tc>
          <w:tcPr>
            <w:tcW w:w="4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kern w:val="0"/>
                <w:sz w:val="22"/>
                <w:szCs w:val="22"/>
              </w:rPr>
            </w:pPr>
            <w:r>
              <w:rPr>
                <w:rFonts w:hint="eastAsia" w:ascii="黑体" w:hAnsi="黑体" w:eastAsia="黑体"/>
                <w:kern w:val="0"/>
                <w:sz w:val="22"/>
                <w:szCs w:val="22"/>
              </w:rPr>
              <w:t>6</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黑体" w:hAnsi="黑体" w:eastAsia="黑体"/>
                <w:kern w:val="0"/>
                <w:sz w:val="22"/>
                <w:szCs w:val="22"/>
              </w:rPr>
            </w:pPr>
            <w:r>
              <w:rPr>
                <w:rFonts w:hint="eastAsia" w:ascii="黑体" w:hAnsi="黑体" w:eastAsia="黑体"/>
                <w:kern w:val="0"/>
                <w:sz w:val="22"/>
                <w:szCs w:val="22"/>
              </w:rPr>
              <w:t>贷款所需资料</w:t>
            </w:r>
          </w:p>
        </w:tc>
        <w:tc>
          <w:tcPr>
            <w:tcW w:w="628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黑体" w:hAnsi="黑体" w:eastAsia="黑体"/>
                <w:kern w:val="0"/>
                <w:sz w:val="22"/>
                <w:szCs w:val="22"/>
              </w:rPr>
            </w:pPr>
          </w:p>
        </w:tc>
      </w:tr>
      <w:tr>
        <w:tblPrEx>
          <w:tblCellMar>
            <w:top w:w="0" w:type="dxa"/>
            <w:left w:w="108" w:type="dxa"/>
            <w:bottom w:w="0" w:type="dxa"/>
            <w:right w:w="108" w:type="dxa"/>
          </w:tblCellMar>
        </w:tblPrEx>
        <w:trPr>
          <w:trHeight w:val="567" w:hRule="atLeast"/>
        </w:trPr>
        <w:tc>
          <w:tcPr>
            <w:tcW w:w="4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kern w:val="0"/>
                <w:sz w:val="22"/>
                <w:szCs w:val="22"/>
              </w:rPr>
            </w:pPr>
            <w:r>
              <w:rPr>
                <w:rFonts w:hint="eastAsia" w:ascii="黑体" w:hAnsi="黑体" w:eastAsia="黑体"/>
                <w:kern w:val="0"/>
                <w:sz w:val="22"/>
                <w:szCs w:val="22"/>
              </w:rPr>
              <w:t>7</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ind w:firstLine="220" w:firstLineChars="100"/>
              <w:rPr>
                <w:rFonts w:hint="eastAsia" w:ascii="黑体" w:hAnsi="黑体" w:eastAsia="黑体"/>
                <w:kern w:val="0"/>
                <w:sz w:val="22"/>
                <w:szCs w:val="22"/>
              </w:rPr>
            </w:pPr>
            <w:r>
              <w:rPr>
                <w:rFonts w:hint="eastAsia" w:ascii="黑体" w:hAnsi="黑体" w:eastAsia="黑体"/>
                <w:kern w:val="0"/>
                <w:sz w:val="22"/>
                <w:szCs w:val="22"/>
              </w:rPr>
              <w:t>办理程序</w:t>
            </w:r>
          </w:p>
        </w:tc>
        <w:tc>
          <w:tcPr>
            <w:tcW w:w="628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黑体" w:hAnsi="黑体" w:eastAsia="黑体"/>
                <w:kern w:val="0"/>
                <w:sz w:val="22"/>
                <w:szCs w:val="22"/>
              </w:rPr>
            </w:pPr>
            <w:r>
              <w:rPr>
                <w:rFonts w:hint="eastAsia" w:ascii="黑体" w:hAnsi="黑体" w:eastAsia="黑体"/>
                <w:kern w:val="0"/>
                <w:sz w:val="22"/>
                <w:szCs w:val="22"/>
              </w:rPr>
              <w:t>（填写办理流程及各环节办结时间）</w:t>
            </w:r>
          </w:p>
        </w:tc>
      </w:tr>
      <w:tr>
        <w:tblPrEx>
          <w:tblCellMar>
            <w:top w:w="0" w:type="dxa"/>
            <w:left w:w="108" w:type="dxa"/>
            <w:bottom w:w="0" w:type="dxa"/>
            <w:right w:w="108" w:type="dxa"/>
          </w:tblCellMar>
        </w:tblPrEx>
        <w:trPr>
          <w:trHeight w:val="567" w:hRule="atLeast"/>
        </w:trPr>
        <w:tc>
          <w:tcPr>
            <w:tcW w:w="4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kern w:val="0"/>
                <w:sz w:val="22"/>
                <w:szCs w:val="22"/>
              </w:rPr>
            </w:pPr>
            <w:r>
              <w:rPr>
                <w:rFonts w:hint="eastAsia" w:ascii="黑体" w:hAnsi="黑体" w:eastAsia="黑体"/>
                <w:kern w:val="0"/>
                <w:sz w:val="22"/>
                <w:szCs w:val="22"/>
              </w:rPr>
              <w:t>8</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黑体" w:hAnsi="黑体" w:eastAsia="黑体"/>
                <w:kern w:val="0"/>
                <w:sz w:val="22"/>
                <w:szCs w:val="22"/>
              </w:rPr>
            </w:pPr>
            <w:r>
              <w:rPr>
                <w:rFonts w:hint="eastAsia" w:ascii="黑体" w:hAnsi="黑体" w:eastAsia="黑体"/>
                <w:kern w:val="0"/>
                <w:sz w:val="22"/>
                <w:szCs w:val="22"/>
              </w:rPr>
              <w:t>产品详细说明</w:t>
            </w:r>
          </w:p>
        </w:tc>
        <w:tc>
          <w:tcPr>
            <w:tcW w:w="628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黑体" w:hAnsi="黑体" w:eastAsia="黑体"/>
                <w:kern w:val="0"/>
                <w:sz w:val="22"/>
                <w:szCs w:val="22"/>
              </w:rPr>
            </w:pPr>
            <w:r>
              <w:rPr>
                <w:rFonts w:hint="eastAsia" w:ascii="黑体" w:hAnsi="黑体" w:eastAsia="黑体"/>
                <w:kern w:val="0"/>
                <w:sz w:val="22"/>
                <w:szCs w:val="22"/>
              </w:rPr>
              <w:t>可另附页</w:t>
            </w:r>
          </w:p>
        </w:tc>
      </w:tr>
      <w:tr>
        <w:tblPrEx>
          <w:tblCellMar>
            <w:top w:w="0" w:type="dxa"/>
            <w:left w:w="108" w:type="dxa"/>
            <w:bottom w:w="0" w:type="dxa"/>
            <w:right w:w="108" w:type="dxa"/>
          </w:tblCellMar>
        </w:tblPrEx>
        <w:trPr>
          <w:trHeight w:val="567" w:hRule="atLeast"/>
        </w:trPr>
        <w:tc>
          <w:tcPr>
            <w:tcW w:w="8287"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黑体" w:hAnsi="黑体" w:eastAsia="黑体"/>
                <w:kern w:val="0"/>
                <w:sz w:val="22"/>
                <w:szCs w:val="22"/>
              </w:rPr>
            </w:pPr>
            <w:r>
              <w:rPr>
                <w:rFonts w:hint="eastAsia" w:ascii="黑体" w:hAnsi="黑体" w:eastAsia="黑体"/>
                <w:b/>
                <w:bCs/>
                <w:kern w:val="0"/>
                <w:sz w:val="22"/>
                <w:szCs w:val="22"/>
              </w:rPr>
              <w:t>三、服务团队介绍（必填项）</w:t>
            </w:r>
          </w:p>
        </w:tc>
      </w:tr>
      <w:tr>
        <w:tblPrEx>
          <w:tblCellMar>
            <w:top w:w="0" w:type="dxa"/>
            <w:left w:w="108" w:type="dxa"/>
            <w:bottom w:w="0" w:type="dxa"/>
            <w:right w:w="108" w:type="dxa"/>
          </w:tblCellMar>
        </w:tblPrEx>
        <w:trPr>
          <w:trHeight w:val="1438" w:hRule="atLeast"/>
        </w:trPr>
        <w:tc>
          <w:tcPr>
            <w:tcW w:w="8287" w:type="dxa"/>
            <w:gridSpan w:val="3"/>
            <w:tcBorders>
              <w:top w:val="single" w:color="auto" w:sz="4" w:space="0"/>
              <w:left w:val="single" w:color="auto" w:sz="4" w:space="0"/>
              <w:bottom w:val="single" w:color="auto" w:sz="4" w:space="0"/>
              <w:right w:val="single" w:color="auto" w:sz="4" w:space="0"/>
            </w:tcBorders>
            <w:noWrap/>
            <w:vAlign w:val="center"/>
          </w:tcPr>
          <w:p/>
          <w:tbl>
            <w:tblPr>
              <w:tblStyle w:val="2"/>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2018"/>
              <w:gridCol w:w="2018"/>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sz w:val="22"/>
                      <w:szCs w:val="22"/>
                    </w:rPr>
                  </w:pPr>
                  <w:r>
                    <w:rPr>
                      <w:rFonts w:hint="eastAsia" w:ascii="黑体" w:hAnsi="黑体" w:eastAsia="黑体"/>
                      <w:kern w:val="0"/>
                      <w:sz w:val="22"/>
                      <w:szCs w:val="22"/>
                    </w:rPr>
                    <w:t>支行/分行名称</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22"/>
                      <w:szCs w:val="22"/>
                    </w:rPr>
                  </w:pPr>
                  <w:r>
                    <w:rPr>
                      <w:rFonts w:hint="eastAsia" w:ascii="黑体" w:hAnsi="黑体" w:eastAsia="黑体"/>
                      <w:kern w:val="0"/>
                      <w:sz w:val="22"/>
                      <w:szCs w:val="22"/>
                    </w:rPr>
                    <w:t>地址</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22"/>
                      <w:szCs w:val="22"/>
                    </w:rPr>
                  </w:pPr>
                  <w:r>
                    <w:rPr>
                      <w:rFonts w:hint="eastAsia" w:ascii="黑体" w:hAnsi="黑体" w:eastAsia="黑体"/>
                      <w:kern w:val="0"/>
                      <w:sz w:val="22"/>
                      <w:szCs w:val="22"/>
                    </w:rPr>
                    <w:t>联系人</w:t>
                  </w:r>
                </w:p>
              </w:tc>
              <w:tc>
                <w:tcPr>
                  <w:tcW w:w="1817"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22"/>
                      <w:szCs w:val="22"/>
                    </w:rPr>
                  </w:pPr>
                  <w:r>
                    <w:rPr>
                      <w:rFonts w:hint="eastAsia" w:ascii="黑体" w:hAnsi="黑体" w:eastAsia="黑体"/>
                      <w:kern w:val="0"/>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sz w:val="22"/>
                      <w:szCs w:val="22"/>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22"/>
                      <w:szCs w:val="22"/>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22"/>
                      <w:szCs w:val="22"/>
                    </w:rPr>
                  </w:pPr>
                </w:p>
              </w:tc>
              <w:tc>
                <w:tcPr>
                  <w:tcW w:w="1817"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sz w:val="22"/>
                      <w:szCs w:val="22"/>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22"/>
                      <w:szCs w:val="22"/>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22"/>
                      <w:szCs w:val="22"/>
                    </w:rPr>
                  </w:pPr>
                </w:p>
              </w:tc>
              <w:tc>
                <w:tcPr>
                  <w:tcW w:w="1817"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22"/>
                      <w:szCs w:val="22"/>
                    </w:rPr>
                  </w:pPr>
                </w:p>
              </w:tc>
            </w:tr>
          </w:tbl>
          <w:p>
            <w:pPr>
              <w:widowControl/>
              <w:jc w:val="left"/>
              <w:rPr>
                <w:rFonts w:ascii="黑体" w:hAnsi="黑体" w:eastAsia="黑体"/>
                <w:kern w:val="0"/>
                <w:sz w:val="22"/>
                <w:szCs w:val="22"/>
              </w:rPr>
            </w:pPr>
          </w:p>
        </w:tc>
      </w:tr>
      <w:tr>
        <w:tblPrEx>
          <w:tblCellMar>
            <w:top w:w="0" w:type="dxa"/>
            <w:left w:w="108" w:type="dxa"/>
            <w:bottom w:w="0" w:type="dxa"/>
            <w:right w:w="108" w:type="dxa"/>
          </w:tblCellMar>
        </w:tblPrEx>
        <w:trPr>
          <w:trHeight w:val="567" w:hRule="atLeast"/>
        </w:trPr>
        <w:tc>
          <w:tcPr>
            <w:tcW w:w="8287"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黑体" w:hAnsi="黑体" w:eastAsia="黑体"/>
                <w:b/>
                <w:bCs/>
                <w:kern w:val="0"/>
                <w:sz w:val="22"/>
                <w:szCs w:val="22"/>
              </w:rPr>
            </w:pPr>
            <w:r>
              <w:rPr>
                <w:rFonts w:hint="eastAsia" w:ascii="黑体" w:hAnsi="黑体" w:eastAsia="黑体"/>
                <w:b/>
                <w:bCs/>
                <w:kern w:val="0"/>
                <w:sz w:val="22"/>
                <w:szCs w:val="22"/>
              </w:rPr>
              <w:t>四、网贷渠道（非必填项）</w:t>
            </w:r>
          </w:p>
        </w:tc>
      </w:tr>
      <w:tr>
        <w:tblPrEx>
          <w:tblCellMar>
            <w:top w:w="0" w:type="dxa"/>
            <w:left w:w="108" w:type="dxa"/>
            <w:bottom w:w="0" w:type="dxa"/>
            <w:right w:w="108" w:type="dxa"/>
          </w:tblCellMar>
        </w:tblPrEx>
        <w:trPr>
          <w:trHeight w:val="690" w:hRule="atLeast"/>
        </w:trPr>
        <w:tc>
          <w:tcPr>
            <w:tcW w:w="8287" w:type="dxa"/>
            <w:gridSpan w:val="3"/>
            <w:tcBorders>
              <w:top w:val="single" w:color="auto" w:sz="4" w:space="0"/>
              <w:left w:val="single" w:color="auto" w:sz="4" w:space="0"/>
              <w:bottom w:val="single" w:color="auto" w:sz="4" w:space="0"/>
              <w:right w:val="single" w:color="000000" w:sz="4" w:space="0"/>
            </w:tcBorders>
            <w:noWrap/>
            <w:vAlign w:val="center"/>
          </w:tcPr>
          <w:p>
            <w:pPr>
              <w:widowControl/>
              <w:jc w:val="left"/>
              <w:rPr>
                <w:rFonts w:ascii="黑体" w:hAnsi="黑体" w:eastAsia="黑体"/>
                <w:kern w:val="0"/>
                <w:sz w:val="22"/>
                <w:szCs w:val="22"/>
              </w:rPr>
            </w:pPr>
            <w:r>
              <w:rPr>
                <w:rFonts w:hint="eastAsia" w:ascii="黑体" w:hAnsi="黑体" w:eastAsia="黑体"/>
                <w:kern w:val="0"/>
                <w:sz w:val="22"/>
                <w:szCs w:val="22"/>
              </w:rPr>
              <w:t>（填写相关链接，方便企业网上查询和办理相关业务。）</w:t>
            </w:r>
          </w:p>
        </w:tc>
      </w:tr>
      <w:tr>
        <w:tblPrEx>
          <w:tblCellMar>
            <w:top w:w="0" w:type="dxa"/>
            <w:left w:w="108" w:type="dxa"/>
            <w:bottom w:w="0" w:type="dxa"/>
            <w:right w:w="108" w:type="dxa"/>
          </w:tblCellMar>
        </w:tblPrEx>
        <w:trPr>
          <w:trHeight w:val="417" w:hRule="atLeast"/>
        </w:trPr>
        <w:tc>
          <w:tcPr>
            <w:tcW w:w="8287" w:type="dxa"/>
            <w:gridSpan w:val="3"/>
            <w:tcBorders>
              <w:top w:val="single" w:color="auto" w:sz="4" w:space="0"/>
              <w:left w:val="single" w:color="auto" w:sz="4" w:space="0"/>
              <w:bottom w:val="single" w:color="auto" w:sz="4" w:space="0"/>
              <w:right w:val="single" w:color="000000" w:sz="4" w:space="0"/>
            </w:tcBorders>
            <w:noWrap/>
            <w:vAlign w:val="center"/>
          </w:tcPr>
          <w:p>
            <w:pPr>
              <w:widowControl/>
              <w:jc w:val="left"/>
              <w:rPr>
                <w:rFonts w:ascii="黑体" w:hAnsi="黑体" w:eastAsia="黑体"/>
                <w:kern w:val="0"/>
                <w:szCs w:val="21"/>
              </w:rPr>
            </w:pPr>
            <w:r>
              <w:rPr>
                <w:rFonts w:hint="eastAsia" w:ascii="黑体" w:hAnsi="黑体" w:eastAsia="黑体"/>
                <w:b/>
                <w:bCs/>
                <w:kern w:val="0"/>
              </w:rPr>
              <w:t>五、成功案例（非必填项）</w:t>
            </w:r>
          </w:p>
        </w:tc>
      </w:tr>
      <w:tr>
        <w:tblPrEx>
          <w:tblCellMar>
            <w:top w:w="0" w:type="dxa"/>
            <w:left w:w="108" w:type="dxa"/>
            <w:bottom w:w="0" w:type="dxa"/>
            <w:right w:w="108" w:type="dxa"/>
          </w:tblCellMar>
        </w:tblPrEx>
        <w:trPr>
          <w:trHeight w:val="822" w:hRule="atLeast"/>
        </w:trPr>
        <w:tc>
          <w:tcPr>
            <w:tcW w:w="8287" w:type="dxa"/>
            <w:gridSpan w:val="3"/>
            <w:tcBorders>
              <w:top w:val="single" w:color="auto" w:sz="4" w:space="0"/>
              <w:left w:val="single" w:color="auto" w:sz="4" w:space="0"/>
              <w:bottom w:val="single" w:color="auto" w:sz="4" w:space="0"/>
              <w:right w:val="single" w:color="000000" w:sz="4" w:space="0"/>
            </w:tcBorders>
            <w:noWrap/>
            <w:vAlign w:val="center"/>
          </w:tcPr>
          <w:p>
            <w:pPr>
              <w:widowControl/>
              <w:jc w:val="left"/>
              <w:rPr>
                <w:rFonts w:ascii="黑体" w:hAnsi="黑体" w:eastAsia="黑体"/>
                <w:b/>
                <w:bCs/>
                <w:kern w:val="0"/>
                <w:szCs w:val="21"/>
              </w:rPr>
            </w:pPr>
            <w:r>
              <w:rPr>
                <w:rFonts w:hint="eastAsia" w:ascii="黑体" w:hAnsi="黑体" w:eastAsia="黑体"/>
                <w:kern w:val="0"/>
                <w:sz w:val="22"/>
                <w:szCs w:val="22"/>
              </w:rPr>
              <w:t>（金融机构可从审批时间、放贷比例、贷款年化利率等多方面介绍已完成的订单融资贷款业务，以便供应商在选择融资产品时参考。）</w:t>
            </w:r>
          </w:p>
        </w:tc>
      </w:tr>
    </w:tbl>
    <w:p>
      <w:pPr>
        <w:autoSpaceDE w:val="0"/>
        <w:ind w:firstLine="640" w:firstLineChars="200"/>
        <w:jc w:val="left"/>
        <w:rPr>
          <w:rFonts w:ascii="黑体" w:hAnsi="黑体" w:eastAsia="黑体"/>
          <w:kern w:val="0"/>
          <w:sz w:val="32"/>
          <w:szCs w:val="32"/>
          <w:shd w:val="clear" w:color="auto" w:fill="FFFFFF"/>
        </w:rPr>
      </w:pPr>
      <w:r>
        <w:rPr>
          <w:rFonts w:hint="eastAsia" w:ascii="仿宋_GB2312" w:eastAsia="仿宋_GB2312"/>
          <w:sz w:val="32"/>
          <w:szCs w:val="32"/>
        </w:rPr>
        <w:t>除上述内容外，金融机构可提供其他认为需要展示的内容，相关内容将一并在深圳市政府采购监管网和深圳市政府采购中心网站“订单融资”栏目展示。</w:t>
      </w:r>
    </w:p>
    <w:p>
      <w:pPr>
        <w:autoSpaceDE w:val="0"/>
        <w:ind w:firstLine="640" w:firstLineChars="200"/>
        <w:jc w:val="left"/>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四、订单融资数据统计</w:t>
      </w:r>
    </w:p>
    <w:p>
      <w:pPr>
        <w:widowControl/>
        <w:shd w:val="clear" w:color="auto" w:fill="FFFFFF"/>
        <w:ind w:firstLine="615"/>
        <w:rPr>
          <w:rFonts w:ascii="仿宋_GB2312" w:hAnsi="仿宋" w:eastAsia="仿宋_GB2312"/>
          <w:sz w:val="32"/>
          <w:szCs w:val="32"/>
        </w:rPr>
      </w:pPr>
      <w:r>
        <w:rPr>
          <w:rFonts w:hint="eastAsia" w:ascii="仿宋_GB2312" w:eastAsia="仿宋_GB2312"/>
          <w:sz w:val="32"/>
          <w:szCs w:val="32"/>
        </w:rPr>
        <w:t>为了解政府采购订单融资开展情况，请金融机构根据《深圳市财政局关于做好政府采购订单融资业务管理及数据统计等工作的通知》（深财购〔2020〕12号）要求，于每月10日前，将</w:t>
      </w:r>
      <w:r>
        <w:rPr>
          <w:rFonts w:hint="eastAsia" w:ascii="仿宋_GB2312" w:hAnsi="仿宋" w:eastAsia="仿宋_GB2312"/>
          <w:sz w:val="32"/>
          <w:szCs w:val="32"/>
        </w:rPr>
        <w:t>上一月的新增放贷款业务数据通过电子邮件方式报送至</w:t>
      </w:r>
      <w:r>
        <w:rPr>
          <w:rFonts w:ascii="仿宋_GB2312" w:hAnsi="仿宋" w:eastAsia="仿宋_GB2312"/>
          <w:sz w:val="32"/>
          <w:szCs w:val="32"/>
        </w:rPr>
        <w:t>cgb@szfb.sz.gov.cn</w:t>
      </w:r>
      <w:r>
        <w:rPr>
          <w:rFonts w:hint="eastAsia" w:ascii="仿宋_GB2312" w:hAnsi="仿宋" w:eastAsia="仿宋_GB2312"/>
          <w:sz w:val="32"/>
          <w:szCs w:val="32"/>
        </w:rPr>
        <w:t>（以下简称指定邮箱）。每年1月31日前，金融机构应将上一年度全年数据汇总并加盖公章以书面形式报送市财政局，同时将电子版（Excel格式）发送至指定邮箱。</w:t>
      </w:r>
    </w:p>
    <w:p>
      <w:pPr>
        <w:autoSpaceDE w:val="0"/>
        <w:ind w:left="420" w:leftChars="200" w:firstLine="320" w:firstLineChars="100"/>
        <w:jc w:val="left"/>
        <w:rPr>
          <w:rFonts w:ascii="仿宋_GB2312" w:hAnsi="Calibri" w:eastAsia="仿宋_GB2312"/>
          <w:kern w:val="0"/>
          <w:sz w:val="32"/>
          <w:szCs w:val="32"/>
          <w:shd w:val="clear" w:color="auto" w:fill="FFFFFF"/>
        </w:rPr>
      </w:pPr>
      <w:r>
        <w:rPr>
          <w:rFonts w:hint="eastAsia" w:ascii="黑体" w:hAnsi="黑体" w:eastAsia="黑体"/>
          <w:kern w:val="0"/>
          <w:sz w:val="32"/>
          <w:szCs w:val="32"/>
          <w:shd w:val="clear" w:color="auto" w:fill="FFFFFF"/>
        </w:rPr>
        <w:t>五、监督管理</w:t>
      </w:r>
    </w:p>
    <w:p>
      <w:pPr>
        <w:autoSpaceDE w:val="0"/>
        <w:ind w:firstLine="643" w:firstLineChars="200"/>
        <w:rPr>
          <w:rFonts w:hint="eastAsia" w:ascii="仿宋_GB2312" w:hAnsi="宋体" w:eastAsia="仿宋_GB2312" w:cs="宋体"/>
          <w:kern w:val="0"/>
          <w:sz w:val="32"/>
          <w:szCs w:val="32"/>
          <w:shd w:val="clear" w:color="auto" w:fill="FFFFFF"/>
        </w:rPr>
      </w:pPr>
      <w:r>
        <w:rPr>
          <w:rFonts w:hint="eastAsia" w:ascii="楷体_GB2312" w:hAnsi="宋体" w:eastAsia="楷体_GB2312" w:cs="宋体"/>
          <w:b/>
          <w:kern w:val="0"/>
          <w:sz w:val="32"/>
          <w:szCs w:val="32"/>
          <w:shd w:val="clear" w:color="auto" w:fill="FFFFFF"/>
        </w:rPr>
        <w:t>（一）</w:t>
      </w:r>
      <w:r>
        <w:rPr>
          <w:rFonts w:hint="eastAsia" w:ascii="仿宋_GB2312" w:hAnsi="宋体" w:eastAsia="仿宋_GB2312" w:cs="宋体"/>
          <w:kern w:val="0"/>
          <w:sz w:val="32"/>
          <w:szCs w:val="32"/>
          <w:shd w:val="clear" w:color="auto" w:fill="FFFFFF"/>
        </w:rPr>
        <w:t>加强监督管理。金融机构不按照其在深圳市政府采购监管网公示的产品服务承诺事项办理供应商订单融资业务的，不按照要求报送业务数据的，由市财政局进行约谈，责令限期整改；拒不整改或者变相拒不整改的，将其</w:t>
      </w:r>
      <w:r>
        <w:rPr>
          <w:rFonts w:hint="eastAsia" w:ascii="仿宋_GB2312" w:hAnsi="宋体" w:eastAsia="仿宋_GB2312"/>
          <w:sz w:val="32"/>
          <w:szCs w:val="32"/>
        </w:rPr>
        <w:t>作剔除名单处理，且在下一自然年度内拒绝接收其再次申请。</w:t>
      </w:r>
    </w:p>
    <w:p>
      <w:pPr>
        <w:autoSpaceDE w:val="0"/>
        <w:ind w:firstLine="643" w:firstLineChars="200"/>
        <w:rPr>
          <w:rFonts w:ascii="仿宋_GB2312" w:hAnsi="宋体" w:eastAsia="仿宋_GB2312" w:cs="宋体"/>
          <w:kern w:val="0"/>
          <w:sz w:val="32"/>
          <w:szCs w:val="32"/>
          <w:shd w:val="clear" w:color="auto" w:fill="FFFFFF"/>
        </w:rPr>
      </w:pPr>
      <w:r>
        <w:rPr>
          <w:rFonts w:hint="eastAsia" w:ascii="楷体_GB2312" w:hAnsi="宋体" w:eastAsia="楷体_GB2312"/>
          <w:b/>
          <w:sz w:val="32"/>
          <w:szCs w:val="32"/>
        </w:rPr>
        <w:t>（二）</w:t>
      </w:r>
      <w:r>
        <w:rPr>
          <w:rFonts w:hint="eastAsia" w:ascii="仿宋_GB2312" w:hAnsi="宋体" w:eastAsia="仿宋_GB2312"/>
          <w:sz w:val="32"/>
          <w:szCs w:val="32"/>
        </w:rPr>
        <w:t>动态调整名单。对在同一自然年度内未开展业务的金融机构作剔除名单处理，且在下一自然年度内拒绝接收其再次申请。</w:t>
      </w:r>
    </w:p>
    <w:p>
      <w:pPr>
        <w:autoSpaceDE w:val="0"/>
        <w:autoSpaceDN w:val="0"/>
        <w:adjustRightInd w:val="0"/>
        <w:ind w:firstLine="643" w:firstLineChars="200"/>
        <w:rPr>
          <w:rFonts w:ascii="仿宋_GB2312" w:hAnsi="仿宋" w:eastAsia="仿宋_GB2312"/>
          <w:sz w:val="32"/>
          <w:szCs w:val="32"/>
        </w:rPr>
      </w:pPr>
      <w:r>
        <w:rPr>
          <w:rFonts w:hint="eastAsia" w:ascii="楷体_GB2312" w:hAnsi="仿宋" w:eastAsia="楷体_GB2312"/>
          <w:b/>
          <w:sz w:val="32"/>
          <w:szCs w:val="32"/>
        </w:rPr>
        <w:t>（三）</w:t>
      </w:r>
      <w:r>
        <w:rPr>
          <w:rFonts w:hint="eastAsia" w:ascii="仿宋_GB2312" w:hAnsi="仿宋" w:eastAsia="仿宋_GB2312"/>
          <w:sz w:val="32"/>
          <w:szCs w:val="32"/>
        </w:rPr>
        <w:t>对外公开信息。市财政局按月统计各金融机构在我市开展订单融资业务的数据，按照实际放贷规模从大到小进行排序，将数据对外公开并抄送市区财政部门和相关职能部门。</w:t>
      </w:r>
    </w:p>
    <w:p>
      <w:pPr>
        <w:rPr>
          <w:rFonts w:ascii="仿宋_GB2312" w:hAnsi="宋体" w:eastAsia="仿宋_GB2312" w:cs="宋体"/>
          <w:kern w:val="0"/>
          <w:sz w:val="32"/>
          <w:szCs w:val="32"/>
          <w:shd w:val="clear" w:color="auto" w:fill="FFFFFF"/>
        </w:rPr>
        <w:sectPr>
          <w:pgSz w:w="11906" w:h="16838"/>
          <w:pgMar w:top="1440" w:right="1800" w:bottom="1440" w:left="1800" w:header="851" w:footer="992" w:gutter="0"/>
          <w:cols w:space="720" w:num="1"/>
          <w:docGrid w:type="lines" w:linePitch="312" w:charSpace="0"/>
        </w:sectPr>
      </w:pPr>
    </w:p>
    <w:p>
      <w:pPr>
        <w:jc w:val="left"/>
        <w:rPr>
          <w:rFonts w:ascii="仿宋_GB2312" w:hAnsi="Calibri" w:eastAsia="仿宋_GB2312"/>
          <w:color w:val="000000"/>
          <w:sz w:val="28"/>
          <w:szCs w:val="28"/>
        </w:rPr>
      </w:pPr>
      <w:r>
        <w:rPr>
          <w:rFonts w:hint="eastAsia" w:ascii="仿宋_GB2312" w:hAnsi="Calibri" w:eastAsia="仿宋_GB2312"/>
          <w:color w:val="000000"/>
          <w:sz w:val="28"/>
          <w:szCs w:val="28"/>
        </w:rPr>
        <w:t>附件2.2</w:t>
      </w:r>
    </w:p>
    <w:p>
      <w:pPr>
        <w:jc w:val="center"/>
        <w:rPr>
          <w:rFonts w:hint="eastAsia" w:ascii="方正小标宋简体" w:hAnsi="宋体" w:eastAsia="方正小标宋简体"/>
          <w:bCs/>
          <w:kern w:val="0"/>
          <w:sz w:val="44"/>
          <w:szCs w:val="44"/>
          <w:shd w:val="clear" w:color="auto" w:fill="FFFFFF"/>
        </w:rPr>
      </w:pPr>
      <w:r>
        <w:rPr>
          <w:rFonts w:hint="eastAsia" w:ascii="方正小标宋简体" w:hAnsi="宋体" w:eastAsia="方正小标宋简体"/>
          <w:bCs/>
          <w:kern w:val="0"/>
          <w:sz w:val="44"/>
          <w:szCs w:val="44"/>
          <w:shd w:val="clear" w:color="auto" w:fill="FFFFFF"/>
        </w:rPr>
        <w:t>合同账户变更公示操作指引</w:t>
      </w:r>
    </w:p>
    <w:p>
      <w:pPr>
        <w:jc w:val="center"/>
        <w:rPr>
          <w:rFonts w:ascii="宋体" w:hAnsi="宋体"/>
          <w:b/>
          <w:bCs/>
          <w:kern w:val="0"/>
          <w:sz w:val="22"/>
          <w:szCs w:val="22"/>
          <w:shd w:val="clear" w:color="auto" w:fill="FFFFFF"/>
        </w:rPr>
      </w:pPr>
      <w:r>
        <w:rPr>
          <w:rFonts w:hint="eastAsia" w:ascii="宋体" w:hAnsi="宋体"/>
          <w:b/>
          <w:bCs/>
          <w:kern w:val="0"/>
          <w:sz w:val="22"/>
          <w:szCs w:val="22"/>
          <w:shd w:val="clear" w:color="auto" w:fill="FFFFFF"/>
        </w:rPr>
        <w:t xml:space="preserve"> </w:t>
      </w:r>
    </w:p>
    <w:p>
      <w:pPr>
        <w:ind w:firstLine="640" w:firstLineChars="200"/>
        <w:jc w:val="left"/>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一、公示模板</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361"/>
        <w:gridCol w:w="2293"/>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项目名称</w:t>
            </w:r>
          </w:p>
        </w:tc>
        <w:tc>
          <w:tcPr>
            <w:tcW w:w="6538" w:type="dxa"/>
            <w:gridSpan w:val="3"/>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合同名称</w:t>
            </w:r>
          </w:p>
        </w:tc>
        <w:tc>
          <w:tcPr>
            <w:tcW w:w="6538" w:type="dxa"/>
            <w:gridSpan w:val="3"/>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采购单位</w:t>
            </w:r>
          </w:p>
        </w:tc>
        <w:tc>
          <w:tcPr>
            <w:tcW w:w="6538" w:type="dxa"/>
            <w:gridSpan w:val="3"/>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中标供应商</w:t>
            </w:r>
          </w:p>
        </w:tc>
        <w:tc>
          <w:tcPr>
            <w:tcW w:w="6538" w:type="dxa"/>
            <w:gridSpan w:val="3"/>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项目编号</w:t>
            </w:r>
          </w:p>
        </w:tc>
        <w:tc>
          <w:tcPr>
            <w:tcW w:w="2361"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sz w:val="28"/>
                <w:szCs w:val="28"/>
              </w:rPr>
            </w:pPr>
          </w:p>
        </w:tc>
        <w:tc>
          <w:tcPr>
            <w:tcW w:w="2293"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合同金额</w:t>
            </w:r>
          </w:p>
        </w:tc>
        <w:tc>
          <w:tcPr>
            <w:tcW w:w="1884"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订单融资经办行</w:t>
            </w:r>
          </w:p>
        </w:tc>
        <w:tc>
          <w:tcPr>
            <w:tcW w:w="2361"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sz w:val="28"/>
                <w:szCs w:val="28"/>
              </w:rPr>
            </w:pPr>
          </w:p>
        </w:tc>
        <w:tc>
          <w:tcPr>
            <w:tcW w:w="2293"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sz w:val="28"/>
                <w:szCs w:val="28"/>
              </w:rPr>
            </w:pPr>
            <w:r>
              <w:rPr>
                <w:rFonts w:hint="eastAsia" w:ascii="仿宋_GB2312" w:hAnsi="Calibri" w:eastAsia="仿宋_GB2312"/>
                <w:sz w:val="28"/>
                <w:szCs w:val="28"/>
              </w:rPr>
              <w:t>收款(融资)账户</w:t>
            </w:r>
          </w:p>
        </w:tc>
        <w:tc>
          <w:tcPr>
            <w:tcW w:w="1884"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sz w:val="28"/>
                <w:szCs w:val="28"/>
              </w:rPr>
            </w:pPr>
          </w:p>
        </w:tc>
      </w:tr>
    </w:tbl>
    <w:p>
      <w:pPr>
        <w:jc w:val="left"/>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 xml:space="preserve">    二、操作指引</w:t>
      </w:r>
    </w:p>
    <w:p>
      <w:pPr>
        <w:ind w:firstLine="640" w:firstLineChars="200"/>
        <w:jc w:val="left"/>
        <w:rPr>
          <w:rFonts w:ascii="仿宋_GB2312" w:hAnsi="Calibri" w:eastAsia="仿宋_GB2312"/>
          <w:kern w:val="0"/>
          <w:sz w:val="32"/>
          <w:szCs w:val="32"/>
          <w:shd w:val="clear" w:color="auto" w:fill="FFFFFF"/>
        </w:rPr>
      </w:pPr>
      <w:r>
        <w:rPr>
          <w:rFonts w:hint="eastAsia" w:ascii="仿宋_GB2312" w:eastAsia="仿宋_GB2312"/>
          <w:kern w:val="0"/>
          <w:sz w:val="32"/>
          <w:szCs w:val="32"/>
          <w:shd w:val="clear" w:color="auto" w:fill="FFFFFF"/>
        </w:rPr>
        <w:t>具体操作可参照《深圳市财政局 深圳市政府采购中心关于进一步加强市本级政府采购合同备案管理工作的通知》</w:t>
      </w:r>
      <w:r>
        <w:rPr>
          <w:rFonts w:hint="eastAsia" w:ascii="仿宋_GB2312" w:hAnsi="宋体" w:eastAsia="仿宋_GB2312" w:cs="宋体"/>
          <w:color w:val="000000"/>
          <w:kern w:val="0"/>
          <w:sz w:val="32"/>
          <w:szCs w:val="32"/>
          <w:shd w:val="clear" w:color="auto" w:fill="FFFFFF"/>
        </w:rPr>
        <w:t>（深财购〔2019〕43号）</w:t>
      </w:r>
      <w:r>
        <w:rPr>
          <w:rFonts w:hint="eastAsia" w:ascii="仿宋_GB2312" w:eastAsia="仿宋_GB2312"/>
          <w:color w:val="000000"/>
          <w:kern w:val="0"/>
          <w:sz w:val="32"/>
          <w:szCs w:val="32"/>
          <w:shd w:val="clear" w:color="auto" w:fill="FFFFFF"/>
        </w:rPr>
        <w:t>中《</w:t>
      </w:r>
      <w:r>
        <w:rPr>
          <w:rFonts w:hint="eastAsia" w:ascii="仿宋_GB2312" w:eastAsia="仿宋_GB2312"/>
          <w:kern w:val="0"/>
          <w:sz w:val="32"/>
          <w:szCs w:val="32"/>
          <w:shd w:val="clear" w:color="auto" w:fill="FFFFFF"/>
        </w:rPr>
        <w:t>合同变更公示操作手册》。</w:t>
      </w:r>
    </w:p>
    <w:p>
      <w:pPr>
        <w:ind w:firstLine="960" w:firstLineChars="300"/>
        <w:jc w:val="left"/>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政策查询网址：           操作手册下载：</w:t>
      </w:r>
    </w:p>
    <w:p>
      <w:pPr>
        <w:ind w:firstLine="420" w:firstLineChars="200"/>
        <w:jc w:val="left"/>
        <w:rPr>
          <w:rFonts w:ascii="Calibri" w:hAnsi="Calibri"/>
          <w:szCs w:val="21"/>
        </w:rPr>
      </w:pPr>
      <w:r>
        <w:drawing>
          <wp:inline distT="0" distB="0" distL="114300" distR="114300">
            <wp:extent cx="2257425" cy="2257425"/>
            <wp:effectExtent l="0" t="0" r="9525" b="9525"/>
            <wp:docPr id="2" name="图片 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t_temp"/>
                    <pic:cNvPicPr>
                      <a:picLocks noChangeAspect="1"/>
                    </pic:cNvPicPr>
                  </pic:nvPicPr>
                  <pic:blipFill>
                    <a:blip r:embed="rId4"/>
                    <a:stretch>
                      <a:fillRect/>
                    </a:stretch>
                  </pic:blipFill>
                  <pic:spPr>
                    <a:xfrm>
                      <a:off x="0" y="0"/>
                      <a:ext cx="2257425" cy="2257425"/>
                    </a:xfrm>
                    <a:prstGeom prst="rect">
                      <a:avLst/>
                    </a:prstGeom>
                    <a:noFill/>
                    <a:ln>
                      <a:noFill/>
                    </a:ln>
                  </pic:spPr>
                </pic:pic>
              </a:graphicData>
            </a:graphic>
          </wp:inline>
        </w:drawing>
      </w:r>
      <w:r>
        <w:rPr>
          <w:rFonts w:hint="eastAsia"/>
        </w:rPr>
        <w:t xml:space="preserve">    </w:t>
      </w:r>
      <w:r>
        <w:rPr>
          <w:rFonts w:ascii="Calibri" w:hAnsi="Calibri"/>
          <w:szCs w:val="21"/>
        </w:rPr>
        <w:drawing>
          <wp:inline distT="0" distB="0" distL="114300" distR="114300">
            <wp:extent cx="2247900" cy="2247900"/>
            <wp:effectExtent l="0" t="0" r="0" b="0"/>
            <wp:docPr id="1" name="图片 2"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t_temp"/>
                    <pic:cNvPicPr>
                      <a:picLocks noChangeAspect="1"/>
                    </pic:cNvPicPr>
                  </pic:nvPicPr>
                  <pic:blipFill>
                    <a:blip r:embed="rId5"/>
                    <a:stretch>
                      <a:fillRect/>
                    </a:stretch>
                  </pic:blipFill>
                  <pic:spPr>
                    <a:xfrm>
                      <a:off x="0" y="0"/>
                      <a:ext cx="2247900" cy="2247900"/>
                    </a:xfrm>
                    <a:prstGeom prst="rect">
                      <a:avLst/>
                    </a:prstGeom>
                    <a:noFill/>
                    <a:ln>
                      <a:noFill/>
                    </a:ln>
                  </pic:spPr>
                </pic:pic>
              </a:graphicData>
            </a:graphic>
          </wp:inline>
        </w:drawing>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70D16"/>
    <w:multiLevelType w:val="multilevel"/>
    <w:tmpl w:val="45370D16"/>
    <w:lvl w:ilvl="0" w:tentative="0">
      <w:start w:val="1"/>
      <w:numFmt w:val="chineseCounting"/>
      <w:suff w:val="nothing"/>
      <w:lvlText w:val="（%1）"/>
      <w:lvlJc w:val="left"/>
      <w:pPr>
        <w:ind w:left="0" w:firstLine="0"/>
      </w:pPr>
      <w:rPr>
        <w:rFonts w:hint="eastAsia" w:ascii="楷体_GB2312" w:hAnsi="宋体" w:eastAsia="楷体_GB2312"/>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915FA"/>
    <w:rsid w:val="3489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2020-05-11T09:01:00Z</dcterms:created>
  <dc:creator>好饭友</dc:creator>
  <cp:lastModifiedBy>好饭友</cp:lastModifiedBy>
  <dcterms:modified xsi:type="dcterms:W3CDTF">2020-05-11T09:03:17Z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