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jc w:val="center"/>
        <w:rPr>
          <w:rFonts w:hint="eastAsia" w:ascii="宋体" w:hAnsi="宋体" w:eastAsia="宋体" w:cs="宋体"/>
          <w:b/>
          <w:bCs/>
          <w:color w:val="000000"/>
          <w:kern w:val="0"/>
          <w:sz w:val="32"/>
          <w:szCs w:val="32"/>
        </w:rPr>
      </w:pPr>
      <w:bookmarkStart w:id="0" w:name="_GoBack"/>
      <w:r>
        <w:rPr>
          <w:rFonts w:hint="eastAsia" w:ascii="宋体" w:hAnsi="宋体" w:eastAsia="宋体" w:cs="宋体"/>
          <w:b/>
          <w:bCs/>
          <w:color w:val="000000"/>
          <w:kern w:val="0"/>
          <w:sz w:val="32"/>
          <w:szCs w:val="32"/>
        </w:rPr>
        <w:t>《深圳市菜篮子基地认定与监测管理办法（征求意见稿）》社会公众意见收集及采纳情况表</w:t>
      </w:r>
    </w:p>
    <w:bookmarkEnd w:id="0"/>
    <w:p/>
    <w:tbl>
      <w:tblPr>
        <w:tblStyle w:val="3"/>
        <w:tblpPr w:leftFromText="180" w:rightFromText="180" w:vertAnchor="text" w:horzAnchor="margin" w:tblpY="114"/>
        <w:tblW w:w="14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70"/>
        <w:gridCol w:w="7860"/>
        <w:gridCol w:w="99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2" w:type="dxa"/>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b/>
                <w:color w:val="000000"/>
                <w:kern w:val="0"/>
                <w:sz w:val="22"/>
                <w:szCs w:val="22"/>
              </w:rPr>
              <w:t>序号</w:t>
            </w:r>
          </w:p>
        </w:tc>
        <w:tc>
          <w:tcPr>
            <w:tcW w:w="147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反馈人</w:t>
            </w:r>
          </w:p>
          <w:p>
            <w:pPr>
              <w:widowControl/>
              <w:jc w:val="center"/>
              <w:rPr>
                <w:rFonts w:hint="eastAsia" w:ascii="宋体" w:hAnsi="宋体" w:eastAsia="宋体" w:cs="宋体"/>
                <w:color w:val="000000"/>
                <w:kern w:val="0"/>
                <w:sz w:val="20"/>
                <w:szCs w:val="20"/>
              </w:rPr>
            </w:pPr>
            <w:r>
              <w:rPr>
                <w:rFonts w:hint="eastAsia" w:ascii="宋体" w:hAnsi="宋体" w:eastAsia="宋体" w:cs="宋体"/>
                <w:b/>
                <w:color w:val="000000"/>
                <w:kern w:val="0"/>
                <w:sz w:val="22"/>
                <w:szCs w:val="22"/>
              </w:rPr>
              <w:t>（单位）</w:t>
            </w:r>
          </w:p>
        </w:tc>
        <w:tc>
          <w:tcPr>
            <w:tcW w:w="7860" w:type="dxa"/>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color w:val="000000"/>
                <w:kern w:val="0"/>
                <w:sz w:val="22"/>
                <w:szCs w:val="22"/>
              </w:rPr>
              <w:t>反馈意见</w:t>
            </w:r>
          </w:p>
        </w:tc>
        <w:tc>
          <w:tcPr>
            <w:tcW w:w="990" w:type="dxa"/>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采纳</w:t>
            </w:r>
          </w:p>
          <w:p>
            <w:pPr>
              <w:widowControl/>
              <w:jc w:val="center"/>
              <w:rPr>
                <w:rFonts w:hint="eastAsia" w:ascii="宋体" w:hAnsi="宋体" w:eastAsia="宋体" w:cs="宋体"/>
                <w:color w:val="000000"/>
                <w:kern w:val="0"/>
                <w:sz w:val="20"/>
                <w:szCs w:val="20"/>
              </w:rPr>
            </w:pPr>
            <w:r>
              <w:rPr>
                <w:rFonts w:hint="eastAsia" w:ascii="宋体" w:hAnsi="宋体" w:eastAsia="宋体" w:cs="宋体"/>
                <w:b/>
                <w:color w:val="000000"/>
                <w:kern w:val="0"/>
                <w:sz w:val="22"/>
                <w:szCs w:val="22"/>
              </w:rPr>
              <w:t>情况</w:t>
            </w:r>
          </w:p>
        </w:tc>
        <w:tc>
          <w:tcPr>
            <w:tcW w:w="3120" w:type="dxa"/>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b/>
                <w:color w:val="000000"/>
                <w:kern w:val="0"/>
                <w:sz w:val="22"/>
                <w:szCs w:val="22"/>
              </w:rPr>
              <w:t>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2" w:type="dxa"/>
            <w:vMerge w:val="restart"/>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470" w:type="dxa"/>
            <w:vMerge w:val="restart"/>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深圳市农业产业化龙头企业协会</w:t>
            </w:r>
          </w:p>
        </w:tc>
        <w:tc>
          <w:tcPr>
            <w:tcW w:w="7860" w:type="dxa"/>
            <w:vAlign w:val="center"/>
          </w:tcPr>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w:t>
            </w:r>
            <w:r>
              <w:rPr>
                <w:rFonts w:hint="eastAsia" w:ascii="宋体" w:hAnsi="宋体" w:eastAsia="宋体" w:cs="宋体"/>
                <w:b/>
                <w:bCs/>
                <w:color w:val="000000"/>
                <w:kern w:val="0"/>
                <w:sz w:val="20"/>
                <w:szCs w:val="20"/>
              </w:rPr>
              <w:t>建议在第八条后面增加“建设产地流通基地”。</w:t>
            </w:r>
          </w:p>
          <w:p>
            <w:pP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理由：</w:t>
            </w:r>
            <w:r>
              <w:rPr>
                <w:rFonts w:hint="eastAsia" w:ascii="宋体" w:hAnsi="宋体" w:eastAsia="宋体" w:cs="宋体"/>
                <w:color w:val="000000"/>
                <w:kern w:val="0"/>
                <w:sz w:val="20"/>
                <w:szCs w:val="20"/>
              </w:rPr>
              <w:t>第十条第五款【农产品流通基地】中已将产地批发市场纳入认定范围。</w:t>
            </w:r>
          </w:p>
        </w:tc>
        <w:tc>
          <w:tcPr>
            <w:tcW w:w="990" w:type="dxa"/>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采纳</w:t>
            </w:r>
          </w:p>
        </w:tc>
        <w:tc>
          <w:tcPr>
            <w:tcW w:w="3120" w:type="dxa"/>
            <w:vAlign w:val="top"/>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修改为：</w:t>
            </w:r>
            <w:r>
              <w:rPr>
                <w:rFonts w:hint="eastAsia" w:ascii="宋体" w:hAnsi="宋体" w:eastAsia="宋体" w:cs="宋体"/>
                <w:color w:val="000000"/>
                <w:kern w:val="0"/>
                <w:sz w:val="20"/>
                <w:szCs w:val="20"/>
              </w:rPr>
              <w:t>鼓励本市企业到市外适宜地区以及扶贫协作地区举办具有一定规模的稳定优质的菜篮子产品生产、加工、产地流通基地。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2" w:type="dxa"/>
            <w:vMerge w:val="continue"/>
            <w:vAlign w:val="center"/>
          </w:tcPr>
          <w:p>
            <w:pPr>
              <w:jc w:val="center"/>
              <w:rPr>
                <w:rFonts w:hint="eastAsia" w:ascii="宋体" w:hAnsi="宋体" w:eastAsia="宋体" w:cs="宋体"/>
                <w:color w:val="000000"/>
                <w:kern w:val="0"/>
                <w:sz w:val="20"/>
                <w:szCs w:val="20"/>
              </w:rPr>
            </w:pPr>
          </w:p>
        </w:tc>
        <w:tc>
          <w:tcPr>
            <w:tcW w:w="1470" w:type="dxa"/>
            <w:vMerge w:val="continue"/>
            <w:vAlign w:val="center"/>
          </w:tcPr>
          <w:p>
            <w:pPr>
              <w:rPr>
                <w:rFonts w:ascii="宋体" w:hAnsi="宋体" w:eastAsia="宋体" w:cs="宋体"/>
                <w:color w:val="000000"/>
                <w:kern w:val="0"/>
                <w:sz w:val="20"/>
                <w:szCs w:val="20"/>
              </w:rPr>
            </w:pPr>
          </w:p>
        </w:tc>
        <w:tc>
          <w:tcPr>
            <w:tcW w:w="7860" w:type="dxa"/>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w:t>
            </w:r>
            <w:r>
              <w:rPr>
                <w:rFonts w:hint="eastAsia" w:ascii="宋体" w:hAnsi="宋体" w:eastAsia="宋体" w:cs="宋体"/>
                <w:b/>
                <w:bCs/>
                <w:color w:val="000000"/>
                <w:kern w:val="0"/>
                <w:sz w:val="20"/>
                <w:szCs w:val="20"/>
              </w:rPr>
              <w:t>建议对监测合格的“菜篮子基地”企业给予奖励。</w:t>
            </w:r>
          </w:p>
          <w:p>
            <w:pP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理由：</w:t>
            </w:r>
            <w:r>
              <w:rPr>
                <w:rFonts w:hint="eastAsia" w:ascii="宋体" w:hAnsi="宋体" w:eastAsia="宋体" w:cs="宋体"/>
                <w:color w:val="000000"/>
                <w:kern w:val="0"/>
                <w:sz w:val="20"/>
                <w:szCs w:val="20"/>
              </w:rPr>
              <w:t>“菜篮子基地”企业是民生保障企业，应该给予政策扶持；“菜篮子基地”企业对基地持续投入，应该给予补贴；“菜篮子工程”既是一项长期的民生工程，也是一项民心工程，政府应当鼓励和支持企业持续做好“菜篮子基地”建设管理。</w:t>
            </w:r>
          </w:p>
        </w:tc>
        <w:tc>
          <w:tcPr>
            <w:tcW w:w="990" w:type="dxa"/>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采纳</w:t>
            </w:r>
          </w:p>
        </w:tc>
        <w:tc>
          <w:tcPr>
            <w:tcW w:w="3120" w:type="dxa"/>
            <w:vAlign w:val="top"/>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修改为：监测结果合格的,继续保有市菜篮子基地资格，按有关规定予以奖励。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2" w:type="dxa"/>
            <w:vMerge w:val="continue"/>
            <w:vAlign w:val="center"/>
          </w:tcPr>
          <w:p>
            <w:pPr>
              <w:jc w:val="center"/>
              <w:rPr>
                <w:rFonts w:hint="eastAsia" w:ascii="宋体" w:hAnsi="宋体" w:eastAsia="宋体" w:cs="宋体"/>
                <w:color w:val="000000"/>
                <w:kern w:val="0"/>
                <w:sz w:val="20"/>
                <w:szCs w:val="20"/>
              </w:rPr>
            </w:pPr>
          </w:p>
        </w:tc>
        <w:tc>
          <w:tcPr>
            <w:tcW w:w="1470" w:type="dxa"/>
            <w:vMerge w:val="continue"/>
            <w:vAlign w:val="center"/>
          </w:tcPr>
          <w:p>
            <w:pPr>
              <w:rPr>
                <w:rFonts w:ascii="宋体" w:hAnsi="宋体" w:eastAsia="宋体" w:cs="宋体"/>
                <w:color w:val="000000"/>
                <w:kern w:val="0"/>
                <w:sz w:val="20"/>
                <w:szCs w:val="20"/>
              </w:rPr>
            </w:pPr>
          </w:p>
        </w:tc>
        <w:tc>
          <w:tcPr>
            <w:tcW w:w="7860" w:type="dxa"/>
            <w:vAlign w:val="center"/>
          </w:tcPr>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w:t>
            </w:r>
            <w:r>
              <w:rPr>
                <w:rFonts w:hint="eastAsia" w:ascii="宋体" w:hAnsi="宋体" w:eastAsia="宋体" w:cs="宋体"/>
                <w:b/>
                <w:bCs/>
                <w:color w:val="000000"/>
                <w:kern w:val="0"/>
                <w:sz w:val="20"/>
                <w:szCs w:val="20"/>
              </w:rPr>
              <w:t>第三十四条建议增加一项：（三）不履行深圳市菜篮子基地义务的。</w:t>
            </w:r>
          </w:p>
          <w:p>
            <w:pP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理由:</w:t>
            </w:r>
            <w:r>
              <w:rPr>
                <w:rFonts w:hint="eastAsia" w:ascii="宋体" w:hAnsi="宋体" w:eastAsia="宋体" w:cs="宋体"/>
                <w:color w:val="000000"/>
                <w:kern w:val="0"/>
                <w:sz w:val="20"/>
                <w:szCs w:val="20"/>
              </w:rPr>
              <w:t>主要考虑遇到重大突发事情时，菜篮子基地要服从政府的应急调控以及市农业主管部门要加强对菜篮子基地的信息管理。</w:t>
            </w:r>
          </w:p>
        </w:tc>
        <w:tc>
          <w:tcPr>
            <w:tcW w:w="990" w:type="dxa"/>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采纳</w:t>
            </w:r>
          </w:p>
        </w:tc>
        <w:tc>
          <w:tcPr>
            <w:tcW w:w="3120" w:type="dxa"/>
            <w:vAlign w:val="top"/>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增加：（三）不履行本办法第七条规定义务的。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2" w:type="dxa"/>
            <w:vMerge w:val="continue"/>
            <w:vAlign w:val="center"/>
          </w:tcPr>
          <w:p>
            <w:pPr>
              <w:jc w:val="center"/>
              <w:rPr>
                <w:rFonts w:hint="eastAsia" w:ascii="宋体" w:hAnsi="宋体" w:eastAsia="宋体" w:cs="宋体"/>
                <w:color w:val="000000"/>
                <w:kern w:val="0"/>
                <w:sz w:val="20"/>
                <w:szCs w:val="20"/>
              </w:rPr>
            </w:pPr>
          </w:p>
        </w:tc>
        <w:tc>
          <w:tcPr>
            <w:tcW w:w="1470" w:type="dxa"/>
            <w:vMerge w:val="continue"/>
            <w:vAlign w:val="center"/>
          </w:tcPr>
          <w:p>
            <w:pPr>
              <w:rPr>
                <w:rFonts w:ascii="宋体" w:hAnsi="宋体" w:eastAsia="宋体" w:cs="宋体"/>
                <w:color w:val="000000"/>
                <w:kern w:val="0"/>
                <w:sz w:val="20"/>
                <w:szCs w:val="20"/>
              </w:rPr>
            </w:pPr>
          </w:p>
        </w:tc>
        <w:tc>
          <w:tcPr>
            <w:tcW w:w="7860" w:type="dxa"/>
            <w:vAlign w:val="center"/>
          </w:tcPr>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w:t>
            </w:r>
            <w:r>
              <w:rPr>
                <w:rFonts w:hint="eastAsia" w:ascii="宋体" w:hAnsi="宋体" w:eastAsia="宋体" w:cs="宋体"/>
                <w:b/>
                <w:bCs/>
                <w:color w:val="000000"/>
                <w:kern w:val="0"/>
                <w:sz w:val="20"/>
                <w:szCs w:val="20"/>
              </w:rPr>
              <w:t>附录一附件2、附录二附件1、附录三附件2及附件3：建议在【质量安全】评分项中的“基地长期委托有资质的第三方检验机构对基地产品进行质量安全检测”，修改为“基地长期委托有资质的第三方检验机构对基地产品进行准出质量安全检测”。</w:t>
            </w:r>
          </w:p>
          <w:p>
            <w:pP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理由:</w:t>
            </w:r>
            <w:r>
              <w:rPr>
                <w:rFonts w:hint="eastAsia" w:ascii="宋体" w:hAnsi="宋体" w:eastAsia="宋体" w:cs="宋体"/>
                <w:color w:val="000000"/>
                <w:kern w:val="0"/>
                <w:sz w:val="20"/>
                <w:szCs w:val="20"/>
              </w:rPr>
              <w:t>要与第九条第五项的内容一致，主要是考虑加强对基地农产品的产出要求。</w:t>
            </w:r>
          </w:p>
        </w:tc>
        <w:tc>
          <w:tcPr>
            <w:tcW w:w="990" w:type="dxa"/>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采纳</w:t>
            </w:r>
          </w:p>
        </w:tc>
        <w:tc>
          <w:tcPr>
            <w:tcW w:w="3120" w:type="dxa"/>
            <w:vAlign w:val="top"/>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均</w:t>
            </w:r>
            <w:r>
              <w:rPr>
                <w:rFonts w:hint="eastAsia" w:ascii="宋体" w:hAnsi="宋体" w:eastAsia="宋体" w:cs="宋体"/>
                <w:color w:val="000000"/>
                <w:kern w:val="0"/>
                <w:sz w:val="20"/>
                <w:szCs w:val="20"/>
              </w:rPr>
              <w:t>修改为：基地长期委托有资质的第三方检验机构对基地产品进行准出质量安全检测。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2" w:type="dxa"/>
            <w:vMerge w:val="restart"/>
            <w:vAlign w:val="center"/>
          </w:tcPr>
          <w:p>
            <w:p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p>
        </w:tc>
        <w:tc>
          <w:tcPr>
            <w:tcW w:w="1470" w:type="dxa"/>
            <w:vMerge w:val="restart"/>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好生活农产品集团有限公司</w:t>
            </w:r>
          </w:p>
          <w:p>
            <w:pPr>
              <w:rPr>
                <w:rFonts w:ascii="宋体" w:hAnsi="宋体" w:eastAsia="宋体" w:cs="宋体"/>
                <w:color w:val="000000"/>
                <w:kern w:val="0"/>
                <w:sz w:val="20"/>
                <w:szCs w:val="20"/>
              </w:rPr>
            </w:pPr>
          </w:p>
        </w:tc>
        <w:tc>
          <w:tcPr>
            <w:tcW w:w="7860" w:type="dxa"/>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1.第十二条（二）基地获得危害分析与关键控制点（HACCP）、良好农业规范（GAP）、质量管理体系（ISO9000）、环境管理体系（ISO 14000）、食品安全管理体系（ISO22000）认证；</w:t>
            </w:r>
            <w:r>
              <w:rPr>
                <w:rFonts w:hint="eastAsia" w:ascii="宋体" w:hAnsi="宋体" w:eastAsia="宋体" w:cs="宋体"/>
                <w:b/>
                <w:bCs/>
                <w:color w:val="000000"/>
                <w:kern w:val="0"/>
                <w:sz w:val="20"/>
                <w:szCs w:val="20"/>
              </w:rPr>
              <w:t>建议适当放宽个别认证。</w:t>
            </w:r>
          </w:p>
          <w:p>
            <w:pP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理由：</w:t>
            </w:r>
            <w:r>
              <w:rPr>
                <w:rFonts w:hint="eastAsia" w:ascii="宋体" w:hAnsi="宋体" w:eastAsia="宋体" w:cs="宋体"/>
                <w:color w:val="000000"/>
                <w:kern w:val="0"/>
                <w:sz w:val="20"/>
                <w:szCs w:val="20"/>
              </w:rPr>
              <w:t>良好农业规范（GAP）认证，这项认证企业需要增加不少的运营成本。</w:t>
            </w:r>
          </w:p>
        </w:tc>
        <w:tc>
          <w:tcPr>
            <w:tcW w:w="990" w:type="dxa"/>
            <w:vAlign w:val="center"/>
          </w:tcPr>
          <w:p>
            <w:pPr>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采纳</w:t>
            </w:r>
          </w:p>
        </w:tc>
        <w:tc>
          <w:tcPr>
            <w:tcW w:w="3120" w:type="dxa"/>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本条款为鼓励条款，修改为：第十二条 鼓励申报单位采取下列措施提高质量管理水平和品牌影响力。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2" w:type="dxa"/>
            <w:vMerge w:val="continue"/>
            <w:vAlign w:val="center"/>
          </w:tcPr>
          <w:p>
            <w:pPr>
              <w:jc w:val="center"/>
              <w:rPr>
                <w:rFonts w:ascii="宋体" w:hAnsi="宋体" w:eastAsia="宋体" w:cs="宋体"/>
                <w:color w:val="000000"/>
                <w:kern w:val="0"/>
                <w:sz w:val="20"/>
                <w:szCs w:val="20"/>
              </w:rPr>
            </w:pPr>
          </w:p>
        </w:tc>
        <w:tc>
          <w:tcPr>
            <w:tcW w:w="1470" w:type="dxa"/>
            <w:vMerge w:val="continue"/>
            <w:vAlign w:val="center"/>
          </w:tcPr>
          <w:p>
            <w:pPr>
              <w:rPr>
                <w:rFonts w:ascii="宋体" w:hAnsi="宋体" w:eastAsia="宋体" w:cs="宋体"/>
                <w:color w:val="000000"/>
                <w:kern w:val="0"/>
                <w:sz w:val="20"/>
                <w:szCs w:val="20"/>
              </w:rPr>
            </w:pPr>
          </w:p>
        </w:tc>
        <w:tc>
          <w:tcPr>
            <w:tcW w:w="7860" w:type="dxa"/>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2.第十二条（四）基地主营产品通过供深食品标准体系评价；</w:t>
            </w:r>
            <w:r>
              <w:rPr>
                <w:rFonts w:hint="eastAsia" w:ascii="宋体" w:hAnsi="宋体" w:eastAsia="宋体" w:cs="宋体"/>
                <w:b/>
                <w:bCs/>
                <w:color w:val="000000"/>
                <w:kern w:val="0"/>
                <w:sz w:val="20"/>
                <w:szCs w:val="20"/>
              </w:rPr>
              <w:t>建议适当放宽体系评价。</w:t>
            </w:r>
          </w:p>
          <w:p>
            <w:pP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理由：</w:t>
            </w:r>
            <w:r>
              <w:rPr>
                <w:rFonts w:hint="eastAsia" w:ascii="宋体" w:hAnsi="宋体" w:eastAsia="宋体" w:cs="宋体"/>
                <w:color w:val="000000"/>
                <w:kern w:val="0"/>
                <w:sz w:val="20"/>
                <w:szCs w:val="20"/>
              </w:rPr>
              <w:t>通过供深标准体系评价，企业需要增加运营费用。</w:t>
            </w:r>
          </w:p>
        </w:tc>
        <w:tc>
          <w:tcPr>
            <w:tcW w:w="990" w:type="dxa"/>
            <w:vAlign w:val="center"/>
          </w:tcPr>
          <w:p>
            <w:pPr>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采纳</w:t>
            </w:r>
          </w:p>
        </w:tc>
        <w:tc>
          <w:tcPr>
            <w:tcW w:w="3120" w:type="dxa"/>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本条款为鼓励条款，修改为：第十二条 鼓励申报单位采取下列措施提高质量管理水平和品牌影响力。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2" w:type="dxa"/>
            <w:vMerge w:val="continue"/>
            <w:vAlign w:val="center"/>
          </w:tcPr>
          <w:p>
            <w:pPr>
              <w:jc w:val="center"/>
              <w:rPr>
                <w:rFonts w:ascii="宋体" w:hAnsi="宋体" w:eastAsia="宋体" w:cs="宋体"/>
                <w:color w:val="000000"/>
                <w:kern w:val="0"/>
                <w:sz w:val="20"/>
                <w:szCs w:val="20"/>
              </w:rPr>
            </w:pPr>
          </w:p>
        </w:tc>
        <w:tc>
          <w:tcPr>
            <w:tcW w:w="1470" w:type="dxa"/>
            <w:vMerge w:val="continue"/>
            <w:vAlign w:val="center"/>
          </w:tcPr>
          <w:p>
            <w:pPr>
              <w:rPr>
                <w:rFonts w:ascii="宋体" w:hAnsi="宋体" w:eastAsia="宋体" w:cs="宋体"/>
                <w:color w:val="000000"/>
                <w:kern w:val="0"/>
                <w:sz w:val="20"/>
                <w:szCs w:val="20"/>
              </w:rPr>
            </w:pPr>
          </w:p>
        </w:tc>
        <w:tc>
          <w:tcPr>
            <w:tcW w:w="7860" w:type="dxa"/>
            <w:vAlign w:val="center"/>
          </w:tcPr>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3.市菜篮子基地监测督导工作实施方案：一、开展时间：监测督导工作开展周期为当年度六月至次年五月底。二、监测督导对象：监测督导对象为已认定的全部市菜篮子基地（不含当年新认定的）。例：2020年监测对象为2020年之前（不含2020年）认定的菜篮子基地，2020年认定的菜篮子基地纳入2021年监测范围。深圳市菜篮子基地开展监测的频率太高。</w:t>
            </w:r>
            <w:r>
              <w:rPr>
                <w:rFonts w:hint="eastAsia" w:ascii="宋体" w:hAnsi="宋体" w:eastAsia="宋体" w:cs="宋体"/>
                <w:b/>
                <w:bCs/>
                <w:color w:val="000000"/>
                <w:kern w:val="0"/>
                <w:sz w:val="20"/>
                <w:szCs w:val="20"/>
              </w:rPr>
              <w:t>建议二年进行监测一次且监测合格给予企业一定资金奖励。</w:t>
            </w:r>
          </w:p>
        </w:tc>
        <w:tc>
          <w:tcPr>
            <w:tcW w:w="990" w:type="dxa"/>
            <w:vAlign w:val="center"/>
          </w:tcPr>
          <w:p>
            <w:pPr>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部分采纳</w:t>
            </w:r>
          </w:p>
        </w:tc>
        <w:tc>
          <w:tcPr>
            <w:tcW w:w="3120" w:type="dxa"/>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本《征求意见稿》强化了日常监管方面的要求，增加监测频次为主要方式之一。修改为：监测结果合格的,继续保有市菜篮子基地资格，按有关规定予以奖励。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2" w:type="dxa"/>
            <w:vAlign w:val="center"/>
          </w:tcPr>
          <w:p>
            <w:p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w:t>
            </w:r>
          </w:p>
        </w:tc>
        <w:tc>
          <w:tcPr>
            <w:tcW w:w="1470" w:type="dxa"/>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深圳市双晖农业科技有限公司</w:t>
            </w:r>
          </w:p>
          <w:p>
            <w:pPr>
              <w:rPr>
                <w:rFonts w:ascii="宋体" w:hAnsi="宋体" w:eastAsia="宋体" w:cs="宋体"/>
                <w:color w:val="000000"/>
                <w:kern w:val="0"/>
                <w:sz w:val="20"/>
                <w:szCs w:val="20"/>
              </w:rPr>
            </w:pPr>
          </w:p>
        </w:tc>
        <w:tc>
          <w:tcPr>
            <w:tcW w:w="7860" w:type="dxa"/>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菜篮子基地在增加成本加强规范管理和履行社会责任的同时，也希望政府部门多体谅生产企业的难处，特别是对于开展蔬菜种植基地的企业而言，投资风险大，投资回报率低，非常需要政府政策扶持，因此</w:t>
            </w:r>
            <w:r>
              <w:rPr>
                <w:rFonts w:hint="eastAsia" w:ascii="宋体" w:hAnsi="宋体" w:eastAsia="宋体" w:cs="宋体"/>
                <w:b/>
                <w:bCs/>
                <w:color w:val="000000"/>
                <w:kern w:val="0"/>
                <w:sz w:val="20"/>
                <w:szCs w:val="20"/>
              </w:rPr>
              <w:t>建议政策扶持可以从菜篮子基地的建设和生产多个方面支持，加大扶持力度，以提高菜篮子基地的积极性，强化市菜篮子基地建设管理，保障深圳市菜篮子产品市场供应</w:t>
            </w:r>
            <w:r>
              <w:rPr>
                <w:rFonts w:hint="eastAsia" w:ascii="宋体" w:hAnsi="宋体" w:eastAsia="宋体" w:cs="宋体"/>
                <w:color w:val="000000"/>
                <w:kern w:val="0"/>
                <w:sz w:val="20"/>
                <w:szCs w:val="20"/>
              </w:rPr>
              <w:t>。</w:t>
            </w:r>
          </w:p>
        </w:tc>
        <w:tc>
          <w:tcPr>
            <w:tcW w:w="990" w:type="dxa"/>
            <w:vAlign w:val="center"/>
          </w:tcPr>
          <w:p>
            <w:pPr>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采纳</w:t>
            </w:r>
          </w:p>
        </w:tc>
        <w:tc>
          <w:tcPr>
            <w:tcW w:w="3120" w:type="dxa"/>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对菜篮子基地的资金资助已纳入其他农业专项资金政策。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2" w:type="dxa"/>
            <w:vAlign w:val="center"/>
          </w:tcPr>
          <w:p>
            <w:p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4</w:t>
            </w:r>
          </w:p>
        </w:tc>
        <w:tc>
          <w:tcPr>
            <w:tcW w:w="1470" w:type="dxa"/>
            <w:vAlign w:val="center"/>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深圳市润泰实业发展有限公司</w:t>
            </w:r>
          </w:p>
        </w:tc>
        <w:tc>
          <w:tcPr>
            <w:tcW w:w="7860" w:type="dxa"/>
            <w:vAlign w:val="center"/>
          </w:tcPr>
          <w:p>
            <w:pP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建议进一步加大对我市菜篮子基地的政策及资金扶持力度。</w:t>
            </w:r>
          </w:p>
          <w:p>
            <w:pPr>
              <w:rPr>
                <w:rFonts w:ascii="宋体" w:hAnsi="宋体" w:eastAsia="宋体" w:cs="宋体"/>
                <w:color w:val="000000"/>
                <w:kern w:val="0"/>
                <w:sz w:val="20"/>
                <w:szCs w:val="20"/>
              </w:rPr>
            </w:pPr>
            <w:r>
              <w:rPr>
                <w:rFonts w:hint="eastAsia" w:ascii="宋体" w:hAnsi="宋体" w:eastAsia="宋体" w:cs="宋体"/>
                <w:b/>
                <w:bCs/>
                <w:color w:val="000000"/>
                <w:kern w:val="0"/>
                <w:sz w:val="20"/>
                <w:szCs w:val="20"/>
              </w:rPr>
              <w:t>理由：</w:t>
            </w:r>
            <w:r>
              <w:rPr>
                <w:rFonts w:hint="eastAsia" w:ascii="宋体" w:hAnsi="宋体" w:eastAsia="宋体" w:cs="宋体"/>
                <w:color w:val="000000"/>
                <w:kern w:val="0"/>
                <w:sz w:val="20"/>
                <w:szCs w:val="20"/>
              </w:rPr>
              <w:t>菜篮子基地基地建设投入大，企业投资回收期长，经营好几年未必能收回成本，且农产品市场行情不稳定，据了解许多菜篮子基地常年出现亏本经营的情况，基地发展入不敷出。菜篮子基地的进一步建设和发展以及农产品的持续生产供应市场，受到资金因素的制约。</w:t>
            </w:r>
          </w:p>
        </w:tc>
        <w:tc>
          <w:tcPr>
            <w:tcW w:w="990" w:type="dxa"/>
            <w:vAlign w:val="center"/>
          </w:tcPr>
          <w:p>
            <w:pPr>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采纳</w:t>
            </w:r>
          </w:p>
        </w:tc>
        <w:tc>
          <w:tcPr>
            <w:tcW w:w="3120" w:type="dxa"/>
          </w:tcPr>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对菜篮子基地的资金资助已纳入其他农业专项资金政策。</w:t>
            </w:r>
          </w:p>
        </w:tc>
      </w:tr>
    </w:tbl>
    <w:p/>
    <w:p>
      <w:pPr>
        <w:rPr>
          <w:rFonts w:hint="eastAsia" w:eastAsiaTheme="minorEastAsia"/>
          <w:lang w:eastAsia="zh-CN"/>
        </w:rPr>
      </w:pPr>
    </w:p>
    <w:p>
      <w:pPr>
        <w:rPr>
          <w:rFonts w:hint="eastAsia" w:eastAsiaTheme="minorEastAsia"/>
          <w:lang w:eastAsia="zh-CN"/>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573C2"/>
    <w:rsid w:val="0715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2020-06-05T09:20:00Z</dcterms:created>
  <dc:creator>好饭友</dc:creator>
  <cp:lastModifiedBy>好饭友</cp:lastModifiedBy>
  <dcterms:modified xsi:type="dcterms:W3CDTF">2020-06-05T09:21:11Z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