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val="0"/>
        <w:snapToGrid w:val="0"/>
        <w:spacing w:line="520" w:lineRule="exact"/>
        <w:rPr>
          <w:rFonts w:hint="eastAsia" w:ascii="黑体" w:hAnsi="黑体" w:eastAsia="黑体" w:cs="黑体"/>
          <w:kern w:val="0"/>
          <w:sz w:val="32"/>
          <w:szCs w:val="32"/>
        </w:rPr>
      </w:pPr>
      <w:r>
        <w:rPr>
          <w:rFonts w:hint="eastAsia" w:ascii="黑体" w:hAnsi="黑体" w:eastAsia="黑体" w:cs="黑体"/>
          <w:kern w:val="0"/>
          <w:sz w:val="32"/>
          <w:szCs w:val="32"/>
        </w:rPr>
        <w:t>附件1</w:t>
      </w:r>
    </w:p>
    <w:p>
      <w:pPr>
        <w:widowControl w:val="0"/>
        <w:adjustRightInd w:val="0"/>
        <w:snapToGrid w:val="0"/>
        <w:spacing w:line="520" w:lineRule="exact"/>
        <w:rPr>
          <w:rFonts w:hint="eastAsia" w:eastAsia="方正小标宋简体"/>
          <w:kern w:val="0"/>
          <w:sz w:val="40"/>
          <w:szCs w:val="40"/>
        </w:rPr>
      </w:pPr>
    </w:p>
    <w:p>
      <w:pPr>
        <w:widowControl w:val="0"/>
        <w:adjustRightInd w:val="0"/>
        <w:snapToGrid w:val="0"/>
        <w:spacing w:line="520" w:lineRule="exact"/>
        <w:jc w:val="center"/>
        <w:rPr>
          <w:rFonts w:eastAsia="方正小标宋简体"/>
          <w:kern w:val="0"/>
          <w:sz w:val="40"/>
          <w:szCs w:val="40"/>
        </w:rPr>
      </w:pPr>
      <w:r>
        <w:rPr>
          <w:rFonts w:hint="eastAsia" w:eastAsia="方正小标宋简体"/>
          <w:kern w:val="0"/>
          <w:sz w:val="40"/>
          <w:szCs w:val="40"/>
        </w:rPr>
        <w:t>深圳市民政服务机构</w:t>
      </w:r>
      <w:r>
        <w:rPr>
          <w:rFonts w:eastAsia="方正小标宋简体"/>
          <w:kern w:val="0"/>
          <w:sz w:val="40"/>
          <w:szCs w:val="40"/>
        </w:rPr>
        <w:t>安全风险管控</w:t>
      </w:r>
      <w:r>
        <w:rPr>
          <w:rFonts w:hint="eastAsia" w:eastAsia="方正小标宋简体"/>
          <w:kern w:val="0"/>
          <w:sz w:val="40"/>
          <w:szCs w:val="40"/>
        </w:rPr>
        <w:t>办法</w:t>
      </w:r>
    </w:p>
    <w:p>
      <w:pPr>
        <w:widowControl w:val="0"/>
        <w:adjustRightInd w:val="0"/>
        <w:snapToGrid w:val="0"/>
        <w:spacing w:line="520" w:lineRule="exact"/>
        <w:jc w:val="center"/>
        <w:rPr>
          <w:rFonts w:ascii="楷体_GB2312" w:eastAsia="楷体_GB2312"/>
          <w:kern w:val="0"/>
          <w:sz w:val="32"/>
          <w:szCs w:val="32"/>
        </w:rPr>
      </w:pPr>
      <w:r>
        <w:rPr>
          <w:rFonts w:hint="eastAsia" w:ascii="楷体_GB2312" w:eastAsia="楷体_GB2312"/>
          <w:kern w:val="0"/>
          <w:sz w:val="32"/>
          <w:szCs w:val="32"/>
        </w:rPr>
        <w:t>（征求意见稿）</w:t>
      </w:r>
    </w:p>
    <w:p>
      <w:pPr>
        <w:widowControl w:val="0"/>
        <w:adjustRightInd w:val="0"/>
        <w:snapToGrid w:val="0"/>
        <w:spacing w:line="520" w:lineRule="exact"/>
        <w:jc w:val="center"/>
        <w:rPr>
          <w:rFonts w:ascii="楷体_GB2312" w:eastAsia="楷体_GB2312"/>
          <w:kern w:val="0"/>
          <w:szCs w:val="32"/>
        </w:rPr>
      </w:pPr>
    </w:p>
    <w:p>
      <w:pPr>
        <w:pStyle w:val="5"/>
        <w:widowControl w:val="0"/>
        <w:autoSpaceDN w:val="0"/>
        <w:adjustRightInd w:val="0"/>
        <w:snapToGrid w:val="0"/>
        <w:spacing w:line="520" w:lineRule="exact"/>
        <w:jc w:val="center"/>
        <w:rPr>
          <w:rFonts w:eastAsia="黑体"/>
          <w:sz w:val="32"/>
          <w:szCs w:val="32"/>
        </w:rPr>
      </w:pPr>
      <w:r>
        <w:rPr>
          <w:rFonts w:eastAsia="黑体"/>
          <w:sz w:val="32"/>
          <w:szCs w:val="32"/>
        </w:rPr>
        <w:t xml:space="preserve">第一章 </w:t>
      </w:r>
      <w:r>
        <w:rPr>
          <w:rFonts w:hint="eastAsia" w:eastAsia="黑体"/>
          <w:sz w:val="32"/>
          <w:szCs w:val="32"/>
        </w:rPr>
        <w:t xml:space="preserve"> </w:t>
      </w:r>
      <w:r>
        <w:rPr>
          <w:rFonts w:eastAsia="黑体"/>
          <w:sz w:val="32"/>
          <w:szCs w:val="32"/>
        </w:rPr>
        <w:t>总则</w:t>
      </w:r>
    </w:p>
    <w:p>
      <w:pPr>
        <w:pStyle w:val="5"/>
        <w:widowControl w:val="0"/>
        <w:autoSpaceDN w:val="0"/>
        <w:adjustRightInd w:val="0"/>
        <w:snapToGrid w:val="0"/>
        <w:spacing w:line="520" w:lineRule="exact"/>
        <w:jc w:val="center"/>
        <w:rPr>
          <w:rFonts w:eastAsia="黑体"/>
          <w:sz w:val="32"/>
          <w:szCs w:val="32"/>
        </w:rPr>
      </w:pPr>
    </w:p>
    <w:p>
      <w:pPr>
        <w:pStyle w:val="2"/>
        <w:widowControl w:val="0"/>
        <w:adjustRightInd w:val="0"/>
        <w:snapToGrid w:val="0"/>
        <w:spacing w:beforeAutospacing="0" w:afterAutospacing="0" w:line="520" w:lineRule="exact"/>
        <w:ind w:firstLine="640" w:firstLineChars="200"/>
        <w:jc w:val="both"/>
        <w:rPr>
          <w:rFonts w:hint="eastAsia" w:eastAsia="仿宋_GB2312"/>
          <w:b/>
          <w:bCs/>
          <w:sz w:val="32"/>
          <w:szCs w:val="32"/>
        </w:rPr>
      </w:pPr>
      <w:r>
        <w:rPr>
          <w:rFonts w:ascii="黑体" w:hAnsi="黑体" w:eastAsia="黑体"/>
          <w:bCs/>
          <w:sz w:val="32"/>
          <w:szCs w:val="32"/>
        </w:rPr>
        <w:t>第一条</w:t>
      </w:r>
      <w:r>
        <w:rPr>
          <w:rFonts w:eastAsia="仿宋_GB2312"/>
          <w:sz w:val="32"/>
          <w:szCs w:val="32"/>
        </w:rPr>
        <w:t xml:space="preserve"> </w:t>
      </w:r>
      <w:r>
        <w:rPr>
          <w:rFonts w:hint="eastAsia" w:eastAsia="仿宋_GB2312"/>
          <w:sz w:val="32"/>
          <w:szCs w:val="32"/>
        </w:rPr>
        <w:t xml:space="preserve"> </w:t>
      </w:r>
      <w:r>
        <w:rPr>
          <w:rFonts w:eastAsia="仿宋_GB2312"/>
          <w:sz w:val="32"/>
          <w:szCs w:val="32"/>
        </w:rPr>
        <w:t>为规范</w:t>
      </w:r>
      <w:r>
        <w:rPr>
          <w:rFonts w:hint="eastAsia" w:eastAsia="仿宋_GB2312"/>
          <w:sz w:val="32"/>
          <w:szCs w:val="32"/>
        </w:rPr>
        <w:t>我</w:t>
      </w:r>
      <w:r>
        <w:rPr>
          <w:rFonts w:eastAsia="仿宋_GB2312"/>
          <w:sz w:val="32"/>
          <w:szCs w:val="32"/>
        </w:rPr>
        <w:t>市民政服务机构安全风险管控工作，全面提</w:t>
      </w:r>
      <w:r>
        <w:rPr>
          <w:rFonts w:hint="eastAsia" w:eastAsia="仿宋_GB2312"/>
          <w:sz w:val="32"/>
          <w:szCs w:val="32"/>
        </w:rPr>
        <w:t>高</w:t>
      </w:r>
      <w:r>
        <w:rPr>
          <w:rFonts w:eastAsia="仿宋_GB2312"/>
          <w:sz w:val="32"/>
          <w:szCs w:val="32"/>
        </w:rPr>
        <w:t>行业风险管控能力，根据《中华人民共和国安全生产法》、《地方党政领导干部安全生产责任制规定》、《中共</w:t>
      </w:r>
      <w:r>
        <w:rPr>
          <w:rFonts w:hint="eastAsia" w:eastAsia="仿宋_GB2312"/>
          <w:sz w:val="32"/>
          <w:szCs w:val="32"/>
        </w:rPr>
        <w:t>深圳市委深圳市</w:t>
      </w:r>
      <w:r>
        <w:rPr>
          <w:rFonts w:eastAsia="仿宋_GB2312"/>
          <w:sz w:val="32"/>
          <w:szCs w:val="32"/>
        </w:rPr>
        <w:t>人民政府关于推进安全生产领域改革发展的实施意见》和《深圳市安全风险分级管控暂行办法》等有关规定，结合我市民政服务机构实际情况，制定本办法。</w:t>
      </w:r>
    </w:p>
    <w:p>
      <w:pPr>
        <w:pStyle w:val="2"/>
        <w:widowControl w:val="0"/>
        <w:adjustRightInd w:val="0"/>
        <w:snapToGrid w:val="0"/>
        <w:spacing w:beforeAutospacing="0" w:afterAutospacing="0" w:line="520" w:lineRule="exact"/>
        <w:ind w:firstLine="640" w:firstLineChars="200"/>
        <w:jc w:val="both"/>
        <w:rPr>
          <w:rFonts w:hint="eastAsia" w:ascii="仿宋_GB2312" w:eastAsia="仿宋_GB2312"/>
          <w:sz w:val="32"/>
          <w:szCs w:val="32"/>
        </w:rPr>
      </w:pPr>
      <w:r>
        <w:rPr>
          <w:rFonts w:ascii="黑体" w:hAnsi="黑体" w:eastAsia="黑体"/>
          <w:bCs/>
          <w:sz w:val="32"/>
          <w:szCs w:val="32"/>
        </w:rPr>
        <w:t>第二条</w:t>
      </w:r>
      <w:r>
        <w:rPr>
          <w:rFonts w:hint="eastAsia" w:ascii="仿宋_GB2312" w:eastAsia="仿宋_GB2312"/>
          <w:sz w:val="32"/>
          <w:szCs w:val="32"/>
        </w:rPr>
        <w:t xml:space="preserve">  本办法所称民政服务机构，包括我市的</w:t>
      </w:r>
      <w:r>
        <w:rPr>
          <w:rFonts w:hint="eastAsia" w:eastAsia="仿宋_GB2312"/>
          <w:sz w:val="32"/>
          <w:szCs w:val="32"/>
        </w:rPr>
        <w:t>养老机构、儿童福利机构、未成年人救助保护机构、流浪乞讨人员救助管理机构和殡葬服务机构</w:t>
      </w:r>
      <w:r>
        <w:rPr>
          <w:rFonts w:eastAsia="仿宋_GB2312"/>
          <w:sz w:val="32"/>
          <w:szCs w:val="32"/>
        </w:rPr>
        <w:t>等</w:t>
      </w:r>
      <w:r>
        <w:rPr>
          <w:rFonts w:hint="eastAsia" w:ascii="仿宋_GB2312" w:eastAsia="仿宋_GB2312"/>
          <w:sz w:val="32"/>
          <w:szCs w:val="32"/>
        </w:rPr>
        <w:t>。我市民政服务机构的安全风险管控及其监督管理工作，适用本办法。</w:t>
      </w:r>
    </w:p>
    <w:p>
      <w:pPr>
        <w:pStyle w:val="2"/>
        <w:widowControl w:val="0"/>
        <w:adjustRightInd w:val="0"/>
        <w:snapToGrid w:val="0"/>
        <w:spacing w:beforeAutospacing="0" w:afterAutospacing="0" w:line="520" w:lineRule="exact"/>
        <w:ind w:firstLine="640" w:firstLineChars="200"/>
        <w:jc w:val="both"/>
        <w:rPr>
          <w:rFonts w:hint="eastAsia" w:eastAsia="仿宋_GB2312"/>
          <w:sz w:val="32"/>
          <w:szCs w:val="32"/>
        </w:rPr>
      </w:pPr>
      <w:r>
        <w:rPr>
          <w:rFonts w:ascii="黑体" w:hAnsi="黑体" w:eastAsia="黑体"/>
          <w:bCs/>
          <w:sz w:val="32"/>
          <w:szCs w:val="32"/>
        </w:rPr>
        <w:t>第</w:t>
      </w:r>
      <w:r>
        <w:rPr>
          <w:rFonts w:hint="eastAsia" w:ascii="黑体" w:hAnsi="黑体" w:eastAsia="黑体"/>
          <w:bCs/>
          <w:sz w:val="32"/>
          <w:szCs w:val="32"/>
        </w:rPr>
        <w:t>三</w:t>
      </w:r>
      <w:r>
        <w:rPr>
          <w:rFonts w:ascii="黑体" w:hAnsi="黑体" w:eastAsia="黑体"/>
          <w:bCs/>
          <w:sz w:val="32"/>
          <w:szCs w:val="32"/>
        </w:rPr>
        <w:t xml:space="preserve">条 </w:t>
      </w:r>
      <w:r>
        <w:rPr>
          <w:rFonts w:hint="eastAsia" w:ascii="黑体" w:hAnsi="黑体" w:eastAsia="黑体"/>
          <w:bCs/>
          <w:sz w:val="32"/>
          <w:szCs w:val="32"/>
        </w:rPr>
        <w:t xml:space="preserve"> </w:t>
      </w:r>
      <w:r>
        <w:rPr>
          <w:rFonts w:hint="eastAsia" w:eastAsia="仿宋_GB2312"/>
          <w:sz w:val="32"/>
          <w:szCs w:val="32"/>
        </w:rPr>
        <w:t>本办法所称安全风险特指</w:t>
      </w:r>
      <w:r>
        <w:rPr>
          <w:rFonts w:eastAsia="仿宋_GB2312"/>
          <w:sz w:val="32"/>
          <w:szCs w:val="32"/>
        </w:rPr>
        <w:t>民政服务机构</w:t>
      </w:r>
      <w:r>
        <w:rPr>
          <w:rFonts w:hint="eastAsia" w:eastAsia="仿宋_GB2312"/>
          <w:sz w:val="32"/>
          <w:szCs w:val="32"/>
        </w:rPr>
        <w:t>因</w:t>
      </w:r>
      <w:r>
        <w:rPr>
          <w:rFonts w:eastAsia="仿宋_GB2312"/>
          <w:sz w:val="32"/>
          <w:szCs w:val="32"/>
        </w:rPr>
        <w:t>特定工作流程、特定</w:t>
      </w:r>
      <w:r>
        <w:rPr>
          <w:rFonts w:hint="eastAsia" w:eastAsia="仿宋_GB2312"/>
          <w:sz w:val="32"/>
          <w:szCs w:val="32"/>
        </w:rPr>
        <w:t>设施设备和物品、</w:t>
      </w:r>
      <w:r>
        <w:rPr>
          <w:rFonts w:eastAsia="仿宋_GB2312"/>
          <w:sz w:val="32"/>
          <w:szCs w:val="32"/>
        </w:rPr>
        <w:t>特定</w:t>
      </w:r>
      <w:r>
        <w:rPr>
          <w:rFonts w:hint="eastAsia" w:eastAsia="仿宋_GB2312"/>
          <w:sz w:val="32"/>
          <w:szCs w:val="32"/>
        </w:rPr>
        <w:t>场所</w:t>
      </w:r>
      <w:r>
        <w:rPr>
          <w:rFonts w:eastAsia="仿宋_GB2312"/>
          <w:sz w:val="32"/>
          <w:szCs w:val="32"/>
        </w:rPr>
        <w:t>及环境</w:t>
      </w:r>
      <w:r>
        <w:rPr>
          <w:rFonts w:hint="eastAsia" w:eastAsia="仿宋_GB2312"/>
          <w:sz w:val="32"/>
          <w:szCs w:val="32"/>
        </w:rPr>
        <w:t>、</w:t>
      </w:r>
      <w:r>
        <w:rPr>
          <w:rFonts w:eastAsia="仿宋_GB2312"/>
          <w:sz w:val="32"/>
          <w:szCs w:val="32"/>
        </w:rPr>
        <w:t>特定</w:t>
      </w:r>
      <w:r>
        <w:rPr>
          <w:rFonts w:hint="eastAsia" w:eastAsia="仿宋_GB2312"/>
          <w:sz w:val="32"/>
          <w:szCs w:val="32"/>
        </w:rPr>
        <w:t>承载人员等客观因素影响引发危险事件或有害暴露的可能性，与随之可能引发人身伤害、健康损害、财产损失或环境危害的严重性的组合</w:t>
      </w:r>
      <w:r>
        <w:rPr>
          <w:rFonts w:eastAsia="仿宋_GB2312"/>
          <w:sz w:val="32"/>
          <w:szCs w:val="32"/>
        </w:rPr>
        <w:t>。</w:t>
      </w:r>
    </w:p>
    <w:p>
      <w:pPr>
        <w:pStyle w:val="2"/>
        <w:widowControl w:val="0"/>
        <w:adjustRightInd w:val="0"/>
        <w:snapToGrid w:val="0"/>
        <w:spacing w:beforeAutospacing="0" w:afterAutospacing="0" w:line="520" w:lineRule="exact"/>
        <w:ind w:firstLine="640" w:firstLineChars="200"/>
        <w:jc w:val="both"/>
        <w:rPr>
          <w:rFonts w:hint="eastAsia" w:eastAsia="仿宋_GB2312"/>
          <w:sz w:val="32"/>
          <w:szCs w:val="32"/>
        </w:rPr>
      </w:pPr>
      <w:r>
        <w:rPr>
          <w:rFonts w:hint="eastAsia" w:eastAsia="仿宋_GB2312"/>
          <w:sz w:val="32"/>
          <w:szCs w:val="32"/>
        </w:rPr>
        <w:t>安全风险管控是指市、区（新区、合作区）</w:t>
      </w:r>
      <w:r>
        <w:rPr>
          <w:rFonts w:eastAsia="仿宋_GB2312"/>
          <w:sz w:val="32"/>
          <w:szCs w:val="32"/>
        </w:rPr>
        <w:t>民政部门</w:t>
      </w:r>
      <w:r>
        <w:rPr>
          <w:rFonts w:hint="eastAsia" w:eastAsia="仿宋_GB2312"/>
          <w:sz w:val="32"/>
          <w:szCs w:val="32"/>
        </w:rPr>
        <w:t>对</w:t>
      </w:r>
      <w:r>
        <w:rPr>
          <w:rFonts w:eastAsia="仿宋_GB2312"/>
          <w:sz w:val="32"/>
          <w:szCs w:val="32"/>
        </w:rPr>
        <w:t>本行政区域内民政服务机构</w:t>
      </w:r>
      <w:r>
        <w:rPr>
          <w:rFonts w:hint="eastAsia" w:eastAsia="仿宋_GB2312"/>
          <w:sz w:val="32"/>
          <w:szCs w:val="32"/>
        </w:rPr>
        <w:t>，以及</w:t>
      </w:r>
      <w:r>
        <w:rPr>
          <w:rFonts w:eastAsia="仿宋_GB2312"/>
          <w:sz w:val="32"/>
          <w:szCs w:val="32"/>
        </w:rPr>
        <w:t>各民政服务机构对</w:t>
      </w:r>
      <w:r>
        <w:rPr>
          <w:rFonts w:hint="eastAsia" w:eastAsia="仿宋_GB2312"/>
          <w:sz w:val="32"/>
          <w:szCs w:val="32"/>
        </w:rPr>
        <w:t>机构自身开展风险</w:t>
      </w:r>
      <w:r>
        <w:rPr>
          <w:rFonts w:eastAsia="仿宋_GB2312"/>
          <w:sz w:val="32"/>
          <w:szCs w:val="32"/>
        </w:rPr>
        <w:t>辨识与评估</w:t>
      </w:r>
      <w:r>
        <w:rPr>
          <w:rFonts w:hint="eastAsia" w:eastAsia="仿宋_GB2312"/>
          <w:sz w:val="32"/>
          <w:szCs w:val="32"/>
        </w:rPr>
        <w:t>、风险分级管控、风险沟通并持续改进的动态过程</w:t>
      </w:r>
      <w:r>
        <w:rPr>
          <w:rFonts w:eastAsia="仿宋_GB2312"/>
          <w:sz w:val="32"/>
          <w:szCs w:val="32"/>
        </w:rPr>
        <w:t>。</w:t>
      </w:r>
    </w:p>
    <w:p>
      <w:pPr>
        <w:pStyle w:val="2"/>
        <w:widowControl w:val="0"/>
        <w:adjustRightInd w:val="0"/>
        <w:snapToGrid w:val="0"/>
        <w:spacing w:beforeAutospacing="0" w:afterAutospacing="0" w:line="520" w:lineRule="exact"/>
        <w:ind w:firstLine="640" w:firstLineChars="200"/>
        <w:jc w:val="both"/>
        <w:rPr>
          <w:rFonts w:hint="eastAsia" w:eastAsia="仿宋_GB2312"/>
          <w:sz w:val="32"/>
          <w:szCs w:val="32"/>
        </w:rPr>
      </w:pPr>
      <w:r>
        <w:rPr>
          <w:rFonts w:ascii="黑体" w:hAnsi="黑体" w:eastAsia="黑体"/>
          <w:bCs/>
          <w:sz w:val="32"/>
          <w:szCs w:val="32"/>
        </w:rPr>
        <w:t>第</w:t>
      </w:r>
      <w:r>
        <w:rPr>
          <w:rFonts w:hint="eastAsia" w:ascii="黑体" w:hAnsi="黑体" w:eastAsia="黑体"/>
          <w:bCs/>
          <w:sz w:val="32"/>
          <w:szCs w:val="32"/>
        </w:rPr>
        <w:t>四</w:t>
      </w:r>
      <w:r>
        <w:rPr>
          <w:rFonts w:ascii="黑体" w:hAnsi="黑体" w:eastAsia="黑体"/>
          <w:bCs/>
          <w:sz w:val="32"/>
          <w:szCs w:val="32"/>
        </w:rPr>
        <w:t>条</w:t>
      </w:r>
      <w:r>
        <w:rPr>
          <w:rFonts w:ascii="Helvetica Neue" w:hAnsi="Helvetica Neue" w:eastAsia="Helvetica Neue" w:cs="Helvetica Neue"/>
          <w:sz w:val="28"/>
          <w:szCs w:val="28"/>
        </w:rPr>
        <w:t xml:space="preserve"> </w:t>
      </w:r>
      <w:r>
        <w:rPr>
          <w:rFonts w:hint="eastAsia" w:ascii="Helvetica Neue" w:hAnsi="Helvetica Neue" w:cs="Helvetica Neue"/>
          <w:sz w:val="28"/>
          <w:szCs w:val="28"/>
        </w:rPr>
        <w:t xml:space="preserve"> </w:t>
      </w:r>
      <w:r>
        <w:rPr>
          <w:rFonts w:hint="eastAsia" w:eastAsia="仿宋_GB2312"/>
          <w:sz w:val="32"/>
          <w:szCs w:val="32"/>
        </w:rPr>
        <w:t>我</w:t>
      </w:r>
      <w:r>
        <w:rPr>
          <w:rFonts w:eastAsia="仿宋_GB2312"/>
          <w:sz w:val="32"/>
          <w:szCs w:val="32"/>
        </w:rPr>
        <w:t>市民政服务机构</w:t>
      </w:r>
      <w:r>
        <w:rPr>
          <w:rFonts w:hint="eastAsia" w:eastAsia="仿宋_GB2312"/>
          <w:sz w:val="32"/>
          <w:szCs w:val="32"/>
        </w:rPr>
        <w:t>安全</w:t>
      </w:r>
      <w:r>
        <w:rPr>
          <w:rFonts w:eastAsia="仿宋_GB2312"/>
          <w:sz w:val="32"/>
          <w:szCs w:val="32"/>
        </w:rPr>
        <w:t>风险管控工作</w:t>
      </w:r>
      <w:r>
        <w:rPr>
          <w:rFonts w:hint="eastAsia" w:eastAsia="仿宋_GB2312"/>
          <w:sz w:val="32"/>
          <w:szCs w:val="32"/>
        </w:rPr>
        <w:t>按照</w:t>
      </w:r>
      <w:r>
        <w:rPr>
          <w:rFonts w:hint="eastAsia" w:eastAsia="仿宋_GB2312"/>
          <w:bCs/>
          <w:sz w:val="32"/>
          <w:szCs w:val="32"/>
        </w:rPr>
        <w:t>管行业必须管安全、管业务必须管安全、管生产经营必须管安全的要求，</w:t>
      </w:r>
      <w:r>
        <w:rPr>
          <w:rFonts w:hint="eastAsia" w:eastAsia="仿宋_GB2312"/>
          <w:sz w:val="32"/>
          <w:szCs w:val="32"/>
        </w:rPr>
        <w:t>实行</w:t>
      </w:r>
      <w:r>
        <w:rPr>
          <w:rFonts w:hint="eastAsia" w:eastAsia="仿宋_GB2312"/>
          <w:bCs/>
          <w:sz w:val="32"/>
          <w:szCs w:val="32"/>
        </w:rPr>
        <w:t>属地管理，</w:t>
      </w:r>
      <w:r>
        <w:rPr>
          <w:rFonts w:eastAsia="仿宋_GB2312"/>
          <w:sz w:val="32"/>
          <w:szCs w:val="32"/>
        </w:rPr>
        <w:t>坚持</w:t>
      </w:r>
      <w:r>
        <w:rPr>
          <w:rFonts w:hint="eastAsia" w:eastAsia="仿宋_GB2312"/>
          <w:sz w:val="32"/>
          <w:szCs w:val="32"/>
        </w:rPr>
        <w:t>源头防范、全员参与、分级管控、动态管理</w:t>
      </w:r>
      <w:r>
        <w:rPr>
          <w:rFonts w:eastAsia="仿宋_GB2312"/>
          <w:sz w:val="32"/>
          <w:szCs w:val="32"/>
        </w:rPr>
        <w:t>的原则。</w:t>
      </w:r>
    </w:p>
    <w:p>
      <w:pPr>
        <w:pStyle w:val="2"/>
        <w:widowControl w:val="0"/>
        <w:adjustRightInd w:val="0"/>
        <w:snapToGrid w:val="0"/>
        <w:spacing w:beforeAutospacing="0" w:afterAutospacing="0" w:line="520" w:lineRule="exact"/>
        <w:ind w:firstLine="640" w:firstLineChars="200"/>
        <w:jc w:val="both"/>
        <w:rPr>
          <w:rFonts w:hint="eastAsia" w:eastAsia="仿宋_GB2312"/>
          <w:sz w:val="32"/>
          <w:szCs w:val="32"/>
        </w:rPr>
      </w:pPr>
      <w:r>
        <w:rPr>
          <w:rFonts w:ascii="黑体" w:hAnsi="黑体" w:eastAsia="黑体"/>
          <w:bCs/>
          <w:sz w:val="32"/>
          <w:szCs w:val="32"/>
        </w:rPr>
        <w:t>第五条</w:t>
      </w:r>
      <w:r>
        <w:rPr>
          <w:rFonts w:hint="eastAsia" w:ascii="黑体" w:hAnsi="黑体" w:eastAsia="黑体"/>
          <w:bCs/>
          <w:sz w:val="32"/>
          <w:szCs w:val="32"/>
        </w:rPr>
        <w:t xml:space="preserve"> </w:t>
      </w:r>
      <w:r>
        <w:rPr>
          <w:rFonts w:hint="eastAsia" w:eastAsia="仿宋_GB2312"/>
          <w:bCs/>
          <w:sz w:val="32"/>
          <w:szCs w:val="32"/>
        </w:rPr>
        <w:t xml:space="preserve"> </w:t>
      </w:r>
      <w:r>
        <w:rPr>
          <w:rFonts w:hint="eastAsia" w:eastAsia="仿宋_GB2312"/>
          <w:sz w:val="32"/>
          <w:szCs w:val="32"/>
        </w:rPr>
        <w:t>市、区（新区、合作区）</w:t>
      </w:r>
      <w:r>
        <w:rPr>
          <w:rFonts w:eastAsia="仿宋_GB2312"/>
          <w:sz w:val="32"/>
          <w:szCs w:val="32"/>
        </w:rPr>
        <w:t>民政部门</w:t>
      </w:r>
      <w:r>
        <w:rPr>
          <w:rFonts w:hint="eastAsia" w:eastAsia="仿宋_GB2312"/>
          <w:bCs/>
          <w:sz w:val="32"/>
          <w:szCs w:val="32"/>
        </w:rPr>
        <w:t>负责构建本行政区域的安全风险管控机制，组织、推动和实施所辖民政服务机构的风险管控工作</w:t>
      </w:r>
      <w:r>
        <w:rPr>
          <w:rFonts w:hint="eastAsia" w:eastAsia="仿宋_GB2312"/>
          <w:sz w:val="32"/>
          <w:szCs w:val="32"/>
        </w:rPr>
        <w:t>并</w:t>
      </w:r>
      <w:r>
        <w:rPr>
          <w:rFonts w:hint="eastAsia" w:eastAsia="仿宋_GB2312"/>
          <w:bCs/>
          <w:sz w:val="32"/>
          <w:szCs w:val="32"/>
        </w:rPr>
        <w:t>实施监督管理。</w:t>
      </w:r>
      <w:r>
        <w:rPr>
          <w:rFonts w:eastAsia="仿宋_GB2312"/>
          <w:sz w:val="32"/>
          <w:szCs w:val="32"/>
        </w:rPr>
        <w:t>对跨行政区运营的连锁性民政服务机构，由</w:t>
      </w:r>
      <w:r>
        <w:rPr>
          <w:rFonts w:hint="eastAsia" w:eastAsia="仿宋_GB2312"/>
          <w:sz w:val="32"/>
          <w:szCs w:val="32"/>
        </w:rPr>
        <w:t>所在</w:t>
      </w:r>
      <w:r>
        <w:rPr>
          <w:rFonts w:eastAsia="仿宋_GB2312"/>
          <w:sz w:val="32"/>
          <w:szCs w:val="32"/>
        </w:rPr>
        <w:t>属地的民政部门开展各分支机构风险管控的监督管理工作。</w:t>
      </w:r>
    </w:p>
    <w:p>
      <w:pPr>
        <w:pStyle w:val="2"/>
        <w:widowControl w:val="0"/>
        <w:adjustRightInd w:val="0"/>
        <w:snapToGrid w:val="0"/>
        <w:spacing w:beforeAutospacing="0" w:afterAutospacing="0" w:line="520" w:lineRule="exact"/>
        <w:ind w:firstLine="640" w:firstLineChars="200"/>
        <w:jc w:val="both"/>
        <w:rPr>
          <w:rFonts w:eastAsia="仿宋_GB2312"/>
          <w:sz w:val="32"/>
          <w:szCs w:val="32"/>
        </w:rPr>
      </w:pPr>
      <w:r>
        <w:rPr>
          <w:rFonts w:eastAsia="仿宋_GB2312"/>
          <w:sz w:val="32"/>
          <w:szCs w:val="32"/>
        </w:rPr>
        <w:t>民政服务机构承担本单位风险管控工作主体责任，确保风险管控工作得到有效落实。</w:t>
      </w:r>
    </w:p>
    <w:p>
      <w:pPr>
        <w:pStyle w:val="2"/>
        <w:widowControl w:val="0"/>
        <w:adjustRightInd w:val="0"/>
        <w:snapToGrid w:val="0"/>
        <w:spacing w:beforeAutospacing="0" w:afterAutospacing="0" w:line="520" w:lineRule="exact"/>
        <w:ind w:firstLine="640" w:firstLineChars="200"/>
        <w:jc w:val="both"/>
        <w:rPr>
          <w:rFonts w:eastAsia="仿宋_GB2312"/>
          <w:sz w:val="32"/>
          <w:szCs w:val="32"/>
        </w:rPr>
      </w:pPr>
    </w:p>
    <w:p>
      <w:pPr>
        <w:pStyle w:val="5"/>
        <w:widowControl w:val="0"/>
        <w:autoSpaceDN w:val="0"/>
        <w:adjustRightInd w:val="0"/>
        <w:snapToGrid w:val="0"/>
        <w:spacing w:line="520" w:lineRule="exact"/>
        <w:jc w:val="center"/>
        <w:rPr>
          <w:rFonts w:eastAsia="黑体"/>
          <w:sz w:val="32"/>
          <w:szCs w:val="32"/>
        </w:rPr>
      </w:pPr>
      <w:r>
        <w:rPr>
          <w:rFonts w:eastAsia="黑体"/>
          <w:sz w:val="32"/>
          <w:szCs w:val="32"/>
        </w:rPr>
        <w:t>第二章 民政服务机构</w:t>
      </w:r>
      <w:r>
        <w:rPr>
          <w:rFonts w:hint="eastAsia" w:eastAsia="黑体"/>
          <w:sz w:val="32"/>
          <w:szCs w:val="32"/>
        </w:rPr>
        <w:t>安全</w:t>
      </w:r>
      <w:r>
        <w:rPr>
          <w:rFonts w:eastAsia="黑体"/>
          <w:sz w:val="32"/>
          <w:szCs w:val="32"/>
        </w:rPr>
        <w:t>风险管控</w:t>
      </w:r>
    </w:p>
    <w:p>
      <w:pPr>
        <w:pStyle w:val="5"/>
        <w:widowControl w:val="0"/>
        <w:autoSpaceDN w:val="0"/>
        <w:adjustRightInd w:val="0"/>
        <w:snapToGrid w:val="0"/>
        <w:spacing w:line="520" w:lineRule="exact"/>
        <w:rPr>
          <w:rFonts w:eastAsia="黑体"/>
          <w:sz w:val="32"/>
          <w:szCs w:val="32"/>
        </w:rPr>
      </w:pPr>
    </w:p>
    <w:p>
      <w:pPr>
        <w:pStyle w:val="2"/>
        <w:widowControl w:val="0"/>
        <w:adjustRightInd w:val="0"/>
        <w:snapToGrid w:val="0"/>
        <w:spacing w:beforeAutospacing="0" w:afterAutospacing="0" w:line="520" w:lineRule="exact"/>
        <w:ind w:firstLine="640" w:firstLineChars="200"/>
        <w:jc w:val="both"/>
        <w:rPr>
          <w:rFonts w:hint="eastAsia" w:ascii="仿宋_GB2312" w:eastAsia="仿宋_GB2312"/>
          <w:sz w:val="32"/>
          <w:szCs w:val="32"/>
        </w:rPr>
      </w:pPr>
      <w:r>
        <w:rPr>
          <w:rFonts w:hint="eastAsia" w:ascii="黑体" w:hAnsi="黑体" w:eastAsia="黑体"/>
          <w:bCs/>
          <w:sz w:val="32"/>
          <w:szCs w:val="32"/>
        </w:rPr>
        <w:t xml:space="preserve">第六条  </w:t>
      </w:r>
      <w:r>
        <w:rPr>
          <w:rFonts w:hint="eastAsia" w:ascii="仿宋_GB2312" w:eastAsia="仿宋_GB2312"/>
          <w:sz w:val="32"/>
          <w:szCs w:val="32"/>
        </w:rPr>
        <w:t>民政服务机构应保证经费投入，明确专（兼）职风险管理部门或专职风险管理人员，建立风险管控制度，将风险管控工作纳入年度安全工作计划并组织实施。</w:t>
      </w:r>
    </w:p>
    <w:p>
      <w:pPr>
        <w:pStyle w:val="2"/>
        <w:widowControl w:val="0"/>
        <w:adjustRightInd w:val="0"/>
        <w:snapToGrid w:val="0"/>
        <w:spacing w:beforeAutospacing="0" w:afterAutospacing="0" w:line="520" w:lineRule="exact"/>
        <w:ind w:firstLine="640" w:firstLineChars="200"/>
        <w:jc w:val="both"/>
        <w:rPr>
          <w:rFonts w:hint="eastAsia" w:ascii="仿宋_GB2312" w:eastAsia="仿宋_GB2312"/>
          <w:sz w:val="32"/>
          <w:szCs w:val="32"/>
        </w:rPr>
      </w:pPr>
      <w:r>
        <w:rPr>
          <w:rFonts w:hint="eastAsia" w:ascii="黑体" w:hAnsi="黑体" w:eastAsia="黑体"/>
          <w:bCs/>
          <w:sz w:val="32"/>
          <w:szCs w:val="32"/>
        </w:rPr>
        <w:t xml:space="preserve">第七条 </w:t>
      </w:r>
      <w:r>
        <w:rPr>
          <w:rFonts w:hint="eastAsia" w:ascii="仿宋_GB2312" w:eastAsia="仿宋_GB2312"/>
          <w:sz w:val="32"/>
          <w:szCs w:val="32"/>
        </w:rPr>
        <w:t xml:space="preserve"> 民政服务机构应认真落实本单位的风险管控制度，组织全体员工全面开展风险辨识工作，选取适当的方法开展风险分析和评估，确定风险等级，并制定有针对性的管控措施，确保将所有风险控制在合理水平。</w:t>
      </w:r>
    </w:p>
    <w:p>
      <w:pPr>
        <w:pStyle w:val="2"/>
        <w:widowControl w:val="0"/>
        <w:adjustRightInd w:val="0"/>
        <w:snapToGrid w:val="0"/>
        <w:spacing w:beforeAutospacing="0" w:afterAutospacing="0" w:line="520" w:lineRule="exact"/>
        <w:ind w:firstLine="640" w:firstLineChars="200"/>
        <w:jc w:val="both"/>
        <w:rPr>
          <w:rFonts w:hint="eastAsia" w:ascii="仿宋_GB2312" w:eastAsia="仿宋_GB2312"/>
          <w:sz w:val="32"/>
          <w:szCs w:val="32"/>
        </w:rPr>
      </w:pPr>
      <w:r>
        <w:rPr>
          <w:rFonts w:hint="eastAsia" w:ascii="仿宋_GB2312" w:eastAsia="仿宋_GB2312"/>
          <w:sz w:val="32"/>
          <w:szCs w:val="32"/>
        </w:rPr>
        <w:t>对无法有效管控的重大风险，应当依法及时采取停产、停业等措施，撤离现场作业人员及影响范围内的人员，划定禁区，防止重大风险失控引发事故。</w:t>
      </w:r>
    </w:p>
    <w:p>
      <w:pPr>
        <w:pStyle w:val="2"/>
        <w:widowControl w:val="0"/>
        <w:adjustRightInd w:val="0"/>
        <w:snapToGrid w:val="0"/>
        <w:spacing w:beforeAutospacing="0" w:afterAutospacing="0" w:line="520" w:lineRule="exact"/>
        <w:ind w:firstLine="640" w:firstLineChars="200"/>
        <w:jc w:val="both"/>
        <w:rPr>
          <w:rFonts w:hint="eastAsia" w:ascii="仿宋_GB2312" w:eastAsia="仿宋_GB2312"/>
          <w:sz w:val="32"/>
          <w:szCs w:val="32"/>
        </w:rPr>
      </w:pPr>
      <w:r>
        <w:rPr>
          <w:rFonts w:hint="eastAsia" w:ascii="黑体" w:hAnsi="黑体" w:eastAsia="黑体"/>
          <w:bCs/>
          <w:sz w:val="32"/>
          <w:szCs w:val="32"/>
        </w:rPr>
        <w:t xml:space="preserve">第八条  </w:t>
      </w:r>
      <w:r>
        <w:rPr>
          <w:rFonts w:hint="eastAsia" w:ascii="仿宋_GB2312" w:eastAsia="仿宋_GB2312"/>
          <w:sz w:val="32"/>
          <w:szCs w:val="32"/>
        </w:rPr>
        <w:t>民政服务机构应当高度关注风险变化情况。出现下列情形时，应及时调整风险等级和管控措施：</w:t>
      </w:r>
    </w:p>
    <w:p>
      <w:pPr>
        <w:pStyle w:val="2"/>
        <w:widowControl w:val="0"/>
        <w:adjustRightInd w:val="0"/>
        <w:snapToGrid w:val="0"/>
        <w:spacing w:beforeAutospacing="0" w:afterAutospacing="0" w:line="520" w:lineRule="exact"/>
        <w:ind w:firstLine="640" w:firstLineChars="200"/>
        <w:jc w:val="both"/>
        <w:rPr>
          <w:rFonts w:hint="eastAsia" w:ascii="仿宋_GB2312" w:eastAsia="仿宋_GB2312"/>
          <w:sz w:val="32"/>
          <w:szCs w:val="32"/>
        </w:rPr>
      </w:pPr>
      <w:r>
        <w:rPr>
          <w:rFonts w:hint="eastAsia" w:ascii="仿宋_GB2312" w:eastAsia="仿宋_GB2312"/>
          <w:sz w:val="32"/>
          <w:szCs w:val="32"/>
        </w:rPr>
        <w:t>（一）法律法规、标准规范发生变更，可能影响风险等级；</w:t>
      </w:r>
    </w:p>
    <w:p>
      <w:pPr>
        <w:pStyle w:val="2"/>
        <w:widowControl w:val="0"/>
        <w:adjustRightInd w:val="0"/>
        <w:snapToGrid w:val="0"/>
        <w:spacing w:beforeAutospacing="0" w:afterAutospacing="0" w:line="520" w:lineRule="exact"/>
        <w:ind w:firstLine="640" w:firstLineChars="200"/>
        <w:jc w:val="both"/>
        <w:rPr>
          <w:rFonts w:hint="eastAsia" w:ascii="仿宋_GB2312" w:eastAsia="仿宋_GB2312"/>
          <w:sz w:val="32"/>
          <w:szCs w:val="32"/>
        </w:rPr>
      </w:pPr>
      <w:r>
        <w:rPr>
          <w:rFonts w:hint="eastAsia" w:ascii="仿宋_GB2312" w:eastAsia="仿宋_GB2312"/>
          <w:sz w:val="32"/>
          <w:szCs w:val="32"/>
        </w:rPr>
        <w:t>（二）组织机构发生重大调整；</w:t>
      </w:r>
    </w:p>
    <w:p>
      <w:pPr>
        <w:pStyle w:val="2"/>
        <w:widowControl w:val="0"/>
        <w:adjustRightInd w:val="0"/>
        <w:snapToGrid w:val="0"/>
        <w:spacing w:beforeAutospacing="0" w:afterAutospacing="0" w:line="520" w:lineRule="exact"/>
        <w:ind w:firstLine="640" w:firstLineChars="200"/>
        <w:jc w:val="both"/>
        <w:rPr>
          <w:rFonts w:hint="eastAsia" w:ascii="仿宋_GB2312" w:eastAsia="仿宋_GB2312"/>
          <w:sz w:val="32"/>
          <w:szCs w:val="32"/>
        </w:rPr>
      </w:pPr>
      <w:r>
        <w:rPr>
          <w:rFonts w:hint="eastAsia" w:ascii="仿宋_GB2312" w:eastAsia="仿宋_GB2312"/>
          <w:sz w:val="32"/>
          <w:szCs w:val="32"/>
        </w:rPr>
        <w:t>（三）作业条件、重要管理流程或关键设备设施发生变化；</w:t>
      </w:r>
    </w:p>
    <w:p>
      <w:pPr>
        <w:pStyle w:val="2"/>
        <w:widowControl w:val="0"/>
        <w:adjustRightInd w:val="0"/>
        <w:snapToGrid w:val="0"/>
        <w:spacing w:beforeAutospacing="0" w:afterAutospacing="0" w:line="520" w:lineRule="exact"/>
        <w:ind w:firstLine="640" w:firstLineChars="200"/>
        <w:jc w:val="both"/>
        <w:rPr>
          <w:rFonts w:hint="eastAsia" w:ascii="仿宋_GB2312" w:eastAsia="仿宋_GB2312"/>
          <w:sz w:val="32"/>
          <w:szCs w:val="32"/>
        </w:rPr>
      </w:pPr>
      <w:r>
        <w:rPr>
          <w:rFonts w:hint="eastAsia" w:ascii="仿宋_GB2312" w:eastAsia="仿宋_GB2312"/>
          <w:sz w:val="32"/>
          <w:szCs w:val="32"/>
        </w:rPr>
        <w:t>（四）新建、改建、扩建项目建设；</w:t>
      </w:r>
    </w:p>
    <w:p>
      <w:pPr>
        <w:pStyle w:val="2"/>
        <w:widowControl w:val="0"/>
        <w:adjustRightInd w:val="0"/>
        <w:snapToGrid w:val="0"/>
        <w:spacing w:beforeAutospacing="0" w:afterAutospacing="0" w:line="520" w:lineRule="exact"/>
        <w:ind w:firstLine="640" w:firstLineChars="200"/>
        <w:jc w:val="both"/>
        <w:rPr>
          <w:rFonts w:hint="eastAsia" w:ascii="仿宋_GB2312" w:eastAsia="仿宋_GB2312"/>
          <w:sz w:val="32"/>
          <w:szCs w:val="32"/>
        </w:rPr>
      </w:pPr>
      <w:r>
        <w:rPr>
          <w:rFonts w:hint="eastAsia" w:ascii="仿宋_GB2312" w:eastAsia="仿宋_GB2312"/>
          <w:sz w:val="32"/>
          <w:szCs w:val="32"/>
        </w:rPr>
        <w:t>（五）试运营和重要设备检维修等非正常工况；</w:t>
      </w:r>
    </w:p>
    <w:p>
      <w:pPr>
        <w:pStyle w:val="2"/>
        <w:widowControl w:val="0"/>
        <w:adjustRightInd w:val="0"/>
        <w:snapToGrid w:val="0"/>
        <w:spacing w:beforeAutospacing="0" w:afterAutospacing="0" w:line="520" w:lineRule="exact"/>
        <w:ind w:firstLine="640" w:firstLineChars="200"/>
        <w:jc w:val="both"/>
        <w:rPr>
          <w:rFonts w:hint="eastAsia" w:ascii="仿宋_GB2312" w:eastAsia="仿宋_GB2312"/>
          <w:sz w:val="32"/>
          <w:szCs w:val="32"/>
        </w:rPr>
      </w:pPr>
      <w:r>
        <w:rPr>
          <w:rFonts w:hint="eastAsia" w:ascii="仿宋_GB2312" w:eastAsia="仿宋_GB2312"/>
          <w:sz w:val="32"/>
          <w:szCs w:val="32"/>
        </w:rPr>
        <w:t>（六）本单位发生生产安全事故或相关行业领域发生重特大生产安全事故；</w:t>
      </w:r>
    </w:p>
    <w:p>
      <w:pPr>
        <w:pStyle w:val="2"/>
        <w:widowControl w:val="0"/>
        <w:adjustRightInd w:val="0"/>
        <w:snapToGrid w:val="0"/>
        <w:spacing w:beforeAutospacing="0" w:afterAutospacing="0" w:line="520" w:lineRule="exact"/>
        <w:ind w:firstLine="640" w:firstLineChars="200"/>
        <w:jc w:val="both"/>
        <w:rPr>
          <w:rFonts w:hint="eastAsia" w:ascii="仿宋_GB2312" w:eastAsia="仿宋_GB2312"/>
          <w:sz w:val="32"/>
          <w:szCs w:val="32"/>
        </w:rPr>
      </w:pPr>
      <w:r>
        <w:rPr>
          <w:rFonts w:hint="eastAsia" w:ascii="仿宋_GB2312" w:eastAsia="仿宋_GB2312"/>
          <w:sz w:val="32"/>
          <w:szCs w:val="32"/>
        </w:rPr>
        <w:t>（七）极端天气、重大节假日等；</w:t>
      </w:r>
    </w:p>
    <w:p>
      <w:pPr>
        <w:pStyle w:val="2"/>
        <w:widowControl w:val="0"/>
        <w:adjustRightInd w:val="0"/>
        <w:snapToGrid w:val="0"/>
        <w:spacing w:beforeAutospacing="0" w:afterAutospacing="0" w:line="520" w:lineRule="exact"/>
        <w:ind w:firstLine="640" w:firstLineChars="200"/>
        <w:jc w:val="both"/>
        <w:rPr>
          <w:rFonts w:hint="eastAsia" w:ascii="仿宋_GB2312" w:eastAsia="仿宋_GB2312"/>
          <w:sz w:val="32"/>
          <w:szCs w:val="32"/>
        </w:rPr>
      </w:pPr>
      <w:r>
        <w:rPr>
          <w:rFonts w:hint="eastAsia" w:ascii="仿宋_GB2312" w:eastAsia="仿宋_GB2312"/>
          <w:sz w:val="32"/>
          <w:szCs w:val="32"/>
        </w:rPr>
        <w:t>（八）民政主管部门有专项工作部署。</w:t>
      </w:r>
    </w:p>
    <w:p>
      <w:pPr>
        <w:pStyle w:val="2"/>
        <w:widowControl w:val="0"/>
        <w:adjustRightInd w:val="0"/>
        <w:snapToGrid w:val="0"/>
        <w:spacing w:beforeAutospacing="0" w:afterAutospacing="0" w:line="520" w:lineRule="exact"/>
        <w:ind w:firstLine="640" w:firstLineChars="200"/>
        <w:jc w:val="both"/>
        <w:rPr>
          <w:rFonts w:hint="eastAsia" w:ascii="仿宋_GB2312" w:eastAsia="仿宋_GB2312"/>
          <w:sz w:val="32"/>
          <w:szCs w:val="32"/>
        </w:rPr>
      </w:pPr>
      <w:r>
        <w:rPr>
          <w:rFonts w:hint="eastAsia" w:ascii="黑体" w:hAnsi="黑体" w:eastAsia="黑体"/>
          <w:bCs/>
          <w:sz w:val="32"/>
          <w:szCs w:val="32"/>
        </w:rPr>
        <w:t xml:space="preserve">第九条 </w:t>
      </w:r>
      <w:r>
        <w:rPr>
          <w:rFonts w:hint="eastAsia" w:ascii="仿宋_GB2312" w:eastAsia="仿宋_GB2312"/>
          <w:b/>
          <w:bCs/>
          <w:sz w:val="32"/>
          <w:szCs w:val="32"/>
        </w:rPr>
        <w:t xml:space="preserve"> </w:t>
      </w:r>
      <w:r>
        <w:rPr>
          <w:rFonts w:hint="eastAsia" w:ascii="仿宋_GB2312" w:eastAsia="仿宋_GB2312"/>
          <w:bCs/>
          <w:sz w:val="32"/>
          <w:szCs w:val="32"/>
        </w:rPr>
        <w:t>民政服务机构中的</w:t>
      </w:r>
      <w:r>
        <w:rPr>
          <w:rFonts w:hint="eastAsia" w:ascii="仿宋_GB2312" w:eastAsia="仿宋_GB2312"/>
          <w:sz w:val="32"/>
          <w:szCs w:val="32"/>
        </w:rPr>
        <w:t>消防重点单位应每两年组织不少于1次全面风险评估，其他单位每三年组织不少于1次全面风险评估。</w:t>
      </w:r>
    </w:p>
    <w:p>
      <w:pPr>
        <w:pStyle w:val="2"/>
        <w:widowControl w:val="0"/>
        <w:adjustRightInd w:val="0"/>
        <w:snapToGrid w:val="0"/>
        <w:spacing w:beforeAutospacing="0" w:afterAutospacing="0" w:line="520" w:lineRule="exact"/>
        <w:ind w:firstLine="640" w:firstLineChars="200"/>
        <w:jc w:val="both"/>
        <w:rPr>
          <w:rFonts w:hint="eastAsia" w:ascii="仿宋_GB2312" w:eastAsia="仿宋_GB2312"/>
          <w:sz w:val="32"/>
          <w:szCs w:val="32"/>
        </w:rPr>
      </w:pPr>
      <w:r>
        <w:rPr>
          <w:rFonts w:hint="eastAsia" w:ascii="仿宋_GB2312" w:eastAsia="仿宋_GB2312"/>
          <w:sz w:val="32"/>
          <w:szCs w:val="32"/>
        </w:rPr>
        <w:t>民政服务机构应在机构发生较大变化时，进行专项风险评估。</w:t>
      </w:r>
    </w:p>
    <w:p>
      <w:pPr>
        <w:pStyle w:val="2"/>
        <w:widowControl w:val="0"/>
        <w:adjustRightInd w:val="0"/>
        <w:snapToGrid w:val="0"/>
        <w:spacing w:beforeAutospacing="0" w:afterAutospacing="0" w:line="520" w:lineRule="exact"/>
        <w:ind w:firstLine="640" w:firstLineChars="200"/>
        <w:jc w:val="both"/>
        <w:rPr>
          <w:rFonts w:hint="eastAsia" w:ascii="仿宋_GB2312" w:eastAsia="仿宋_GB2312"/>
          <w:b/>
          <w:bCs/>
          <w:sz w:val="32"/>
          <w:szCs w:val="32"/>
        </w:rPr>
      </w:pPr>
      <w:r>
        <w:rPr>
          <w:rFonts w:hint="eastAsia" w:ascii="仿宋_GB2312" w:eastAsia="仿宋_GB2312"/>
          <w:sz w:val="32"/>
          <w:szCs w:val="32"/>
        </w:rPr>
        <w:t>有条件的民政服务机构应邀请相关专家或专业技术力量参与风险评估工作。</w:t>
      </w:r>
    </w:p>
    <w:p>
      <w:pPr>
        <w:pStyle w:val="2"/>
        <w:widowControl w:val="0"/>
        <w:adjustRightInd w:val="0"/>
        <w:snapToGrid w:val="0"/>
        <w:spacing w:beforeAutospacing="0" w:afterAutospacing="0" w:line="520" w:lineRule="exact"/>
        <w:ind w:firstLine="640" w:firstLineChars="200"/>
        <w:jc w:val="both"/>
        <w:rPr>
          <w:rFonts w:hint="eastAsia" w:ascii="仿宋_GB2312" w:eastAsia="仿宋_GB2312"/>
          <w:sz w:val="32"/>
          <w:szCs w:val="32"/>
        </w:rPr>
      </w:pPr>
      <w:r>
        <w:rPr>
          <w:rFonts w:hint="eastAsia" w:ascii="黑体" w:hAnsi="黑体" w:eastAsia="黑体"/>
          <w:bCs/>
          <w:sz w:val="32"/>
          <w:szCs w:val="32"/>
        </w:rPr>
        <w:t>第十条</w:t>
      </w:r>
      <w:r>
        <w:rPr>
          <w:rFonts w:hint="eastAsia" w:ascii="仿宋_GB2312" w:eastAsia="仿宋_GB2312"/>
          <w:sz w:val="32"/>
          <w:szCs w:val="32"/>
        </w:rPr>
        <w:t xml:space="preserve">  新建、改建、扩建的民政服务机构初期运营或者试运营时，应同步组织开展风险全面辨识和评估。初期运营或者试运营期间，可视情增加辨识和评估频次。</w:t>
      </w:r>
    </w:p>
    <w:p>
      <w:pPr>
        <w:pStyle w:val="2"/>
        <w:widowControl w:val="0"/>
        <w:adjustRightInd w:val="0"/>
        <w:snapToGrid w:val="0"/>
        <w:spacing w:beforeAutospacing="0" w:afterAutospacing="0" w:line="520" w:lineRule="exact"/>
        <w:ind w:firstLine="640" w:firstLineChars="200"/>
        <w:jc w:val="both"/>
        <w:rPr>
          <w:rFonts w:hint="eastAsia" w:ascii="仿宋_GB2312" w:eastAsia="仿宋_GB2312"/>
          <w:sz w:val="32"/>
          <w:szCs w:val="32"/>
        </w:rPr>
      </w:pPr>
      <w:r>
        <w:rPr>
          <w:rFonts w:hint="eastAsia" w:ascii="黑体" w:hAnsi="黑体" w:eastAsia="黑体"/>
          <w:bCs/>
          <w:sz w:val="32"/>
          <w:szCs w:val="32"/>
        </w:rPr>
        <w:t xml:space="preserve">第十一条 </w:t>
      </w:r>
      <w:r>
        <w:rPr>
          <w:rFonts w:hint="eastAsia" w:ascii="仿宋_GB2312" w:eastAsia="仿宋_GB2312"/>
          <w:sz w:val="32"/>
          <w:szCs w:val="32"/>
        </w:rPr>
        <w:t xml:space="preserve"> 民政服务机构应按照“分级管控”原则建立健全风险管控工作机制。对于重大风险，应由机构负责人牵头组织制定管控措施；对于较大风险，应由机构业务部门负责人牵头组织制定管控措施；对于一般风险及低风险，应由机构班组负责人组织制定管控措施。</w:t>
      </w:r>
    </w:p>
    <w:p>
      <w:pPr>
        <w:pStyle w:val="2"/>
        <w:widowControl w:val="0"/>
        <w:adjustRightInd w:val="0"/>
        <w:snapToGrid w:val="0"/>
        <w:spacing w:beforeAutospacing="0" w:afterAutospacing="0" w:line="520" w:lineRule="exact"/>
        <w:ind w:firstLine="640" w:firstLineChars="200"/>
        <w:jc w:val="both"/>
        <w:rPr>
          <w:rFonts w:hint="eastAsia" w:ascii="仿宋_GB2312" w:eastAsia="仿宋_GB2312"/>
          <w:sz w:val="32"/>
          <w:szCs w:val="32"/>
        </w:rPr>
      </w:pPr>
      <w:r>
        <w:rPr>
          <w:rFonts w:hint="eastAsia" w:ascii="仿宋_GB2312" w:eastAsia="仿宋_GB2312"/>
          <w:sz w:val="32"/>
          <w:szCs w:val="32"/>
        </w:rPr>
        <w:t>民政服务机构应对重大风险编制管控方案和专项应急措施，并对重大风险影响区域的相关人员组织开展安全防范、应急逃生避险和应急处置等内容进行宣传、培训和演练；重大风险管控失效发生险性事件或生产安全事故的，民政服务机构在应急处置和调查处理完成后，应及时对相关工作进行评估总结，对管控措施进行完善改进。</w:t>
      </w:r>
    </w:p>
    <w:p>
      <w:pPr>
        <w:pStyle w:val="2"/>
        <w:widowControl w:val="0"/>
        <w:adjustRightInd w:val="0"/>
        <w:snapToGrid w:val="0"/>
        <w:spacing w:beforeAutospacing="0" w:afterAutospacing="0" w:line="520" w:lineRule="exact"/>
        <w:ind w:firstLine="640" w:firstLineChars="200"/>
        <w:jc w:val="both"/>
        <w:rPr>
          <w:rFonts w:hint="eastAsia" w:ascii="仿宋_GB2312" w:eastAsia="仿宋_GB2312"/>
          <w:sz w:val="32"/>
          <w:szCs w:val="32"/>
        </w:rPr>
      </w:pPr>
      <w:r>
        <w:rPr>
          <w:rFonts w:hint="eastAsia" w:ascii="黑体" w:hAnsi="黑体" w:eastAsia="黑体"/>
          <w:bCs/>
          <w:sz w:val="32"/>
          <w:szCs w:val="32"/>
        </w:rPr>
        <w:t xml:space="preserve">第十二条  </w:t>
      </w:r>
      <w:r>
        <w:rPr>
          <w:rFonts w:hint="eastAsia" w:ascii="仿宋_GB2312" w:eastAsia="仿宋_GB2312"/>
          <w:sz w:val="32"/>
          <w:szCs w:val="32"/>
        </w:rPr>
        <w:t>民政服务机构应建立单位风险清单，在醒目位置和重点区域设置风险公告栏，制作岗位风险告知卡。</w:t>
      </w:r>
    </w:p>
    <w:p>
      <w:pPr>
        <w:pStyle w:val="2"/>
        <w:widowControl w:val="0"/>
        <w:adjustRightInd w:val="0"/>
        <w:snapToGrid w:val="0"/>
        <w:spacing w:beforeAutospacing="0" w:afterAutospacing="0" w:line="520" w:lineRule="exact"/>
        <w:ind w:firstLine="640" w:firstLineChars="200"/>
        <w:jc w:val="both"/>
        <w:rPr>
          <w:rFonts w:hint="eastAsia" w:ascii="仿宋_GB2312" w:eastAsia="仿宋_GB2312"/>
          <w:sz w:val="32"/>
          <w:szCs w:val="32"/>
        </w:rPr>
      </w:pPr>
      <w:r>
        <w:rPr>
          <w:rFonts w:hint="eastAsia" w:ascii="仿宋_GB2312" w:eastAsia="仿宋_GB2312"/>
          <w:sz w:val="32"/>
          <w:szCs w:val="32"/>
        </w:rPr>
        <w:t>风险清单应当按照《广东省安全生产领域风险点危险源排查管控工作指南》的要求制定，至少标明风险类别、名称、特征、位置、责任主体、管控措施等情况。风险特征应当至少标明风险概况、参数及发生事故可能影响的范围等情况。</w:t>
      </w:r>
    </w:p>
    <w:p>
      <w:pPr>
        <w:pStyle w:val="2"/>
        <w:widowControl w:val="0"/>
        <w:adjustRightInd w:val="0"/>
        <w:snapToGrid w:val="0"/>
        <w:spacing w:beforeAutospacing="0" w:afterAutospacing="0" w:line="520" w:lineRule="exact"/>
        <w:ind w:firstLine="640" w:firstLineChars="200"/>
        <w:jc w:val="both"/>
        <w:rPr>
          <w:rFonts w:hint="eastAsia" w:ascii="仿宋_GB2312" w:eastAsia="仿宋_GB2312"/>
          <w:sz w:val="32"/>
          <w:szCs w:val="32"/>
        </w:rPr>
      </w:pPr>
      <w:r>
        <w:rPr>
          <w:rFonts w:hint="eastAsia" w:ascii="仿宋_GB2312" w:eastAsia="仿宋_GB2312"/>
          <w:sz w:val="32"/>
          <w:szCs w:val="32"/>
        </w:rPr>
        <w:t>民政服务机构应结合隐患排查、事故教训和风险评估结果等信息，补充新认知的风险，补强和完善管控措施，及时更新风险清单。风险清单中的管控措施应及时纳入本单位相关管理制度、作业标准或应急预案。</w:t>
      </w:r>
    </w:p>
    <w:p>
      <w:pPr>
        <w:pStyle w:val="2"/>
        <w:widowControl w:val="0"/>
        <w:adjustRightInd w:val="0"/>
        <w:snapToGrid w:val="0"/>
        <w:spacing w:beforeAutospacing="0" w:afterAutospacing="0" w:line="520" w:lineRule="exact"/>
        <w:ind w:firstLine="640" w:firstLineChars="200"/>
        <w:jc w:val="both"/>
        <w:rPr>
          <w:rFonts w:hint="eastAsia" w:ascii="仿宋_GB2312" w:eastAsia="仿宋_GB2312"/>
          <w:sz w:val="32"/>
          <w:szCs w:val="32"/>
        </w:rPr>
      </w:pPr>
      <w:r>
        <w:rPr>
          <w:rFonts w:hint="eastAsia" w:ascii="仿宋_GB2312" w:eastAsia="仿宋_GB2312"/>
          <w:sz w:val="32"/>
          <w:szCs w:val="32"/>
        </w:rPr>
        <w:t>风险公告栏、岗位风险告知卡可参照《安全标志及其使用导则》（GB 2894）等行业标准的有关内容制作。</w:t>
      </w:r>
    </w:p>
    <w:p>
      <w:pPr>
        <w:pStyle w:val="2"/>
        <w:widowControl w:val="0"/>
        <w:adjustRightInd w:val="0"/>
        <w:snapToGrid w:val="0"/>
        <w:spacing w:beforeAutospacing="0" w:afterAutospacing="0" w:line="520" w:lineRule="exact"/>
        <w:ind w:firstLine="640" w:firstLineChars="200"/>
        <w:jc w:val="both"/>
        <w:rPr>
          <w:rFonts w:hint="eastAsia" w:ascii="仿宋_GB2312" w:eastAsia="仿宋_GB2312"/>
          <w:sz w:val="32"/>
          <w:szCs w:val="32"/>
        </w:rPr>
      </w:pPr>
      <w:r>
        <w:rPr>
          <w:rFonts w:hint="eastAsia" w:ascii="黑体" w:hAnsi="黑体" w:eastAsia="黑体"/>
          <w:bCs/>
          <w:sz w:val="32"/>
          <w:szCs w:val="32"/>
        </w:rPr>
        <w:t xml:space="preserve">第十三条  </w:t>
      </w:r>
      <w:r>
        <w:rPr>
          <w:rFonts w:hint="eastAsia" w:ascii="仿宋_GB2312" w:eastAsia="仿宋_GB2312"/>
          <w:sz w:val="32"/>
          <w:szCs w:val="32"/>
        </w:rPr>
        <w:t>民政服务机构应当每季度向所在属地应急管理部门和所在属地民政部门报送风险清单，报送内容应至少包括风险名称、风险描述、风险等级、管控措施、责任单位及责任人等。风险清单更新的，机构应当自风险清单更新之日起3日内及时报告所在属地应急管理部门和所在属地民政部门。</w:t>
      </w:r>
    </w:p>
    <w:p>
      <w:pPr>
        <w:pStyle w:val="2"/>
        <w:widowControl w:val="0"/>
        <w:adjustRightInd w:val="0"/>
        <w:snapToGrid w:val="0"/>
        <w:spacing w:beforeAutospacing="0" w:afterAutospacing="0" w:line="520" w:lineRule="exact"/>
        <w:ind w:firstLine="640" w:firstLineChars="200"/>
        <w:jc w:val="both"/>
        <w:rPr>
          <w:rFonts w:hint="eastAsia" w:ascii="仿宋_GB2312" w:eastAsia="仿宋_GB2312"/>
          <w:sz w:val="32"/>
          <w:szCs w:val="32"/>
        </w:rPr>
      </w:pPr>
      <w:r>
        <w:rPr>
          <w:rFonts w:hint="eastAsia" w:ascii="仿宋_GB2312" w:eastAsia="仿宋_GB2312"/>
          <w:sz w:val="32"/>
          <w:szCs w:val="32"/>
        </w:rPr>
        <w:t>存在重大风险的，应当每月向报告一次风险管控情况，详细报告管控措施及效果。</w:t>
      </w:r>
    </w:p>
    <w:p>
      <w:pPr>
        <w:pStyle w:val="2"/>
        <w:widowControl w:val="0"/>
        <w:adjustRightInd w:val="0"/>
        <w:snapToGrid w:val="0"/>
        <w:spacing w:beforeAutospacing="0" w:afterAutospacing="0" w:line="520" w:lineRule="exact"/>
        <w:ind w:firstLine="640" w:firstLineChars="200"/>
        <w:jc w:val="both"/>
        <w:rPr>
          <w:rFonts w:hint="eastAsia" w:ascii="仿宋_GB2312" w:eastAsia="仿宋_GB2312"/>
          <w:sz w:val="32"/>
          <w:szCs w:val="32"/>
        </w:rPr>
      </w:pPr>
      <w:r>
        <w:rPr>
          <w:rFonts w:hint="eastAsia" w:ascii="黑体" w:hAnsi="黑体" w:eastAsia="黑体"/>
          <w:bCs/>
          <w:sz w:val="32"/>
          <w:szCs w:val="32"/>
        </w:rPr>
        <w:t>第十四条</w:t>
      </w:r>
      <w:r>
        <w:rPr>
          <w:rFonts w:hint="eastAsia" w:ascii="仿宋_GB2312" w:eastAsia="仿宋_GB2312"/>
          <w:b/>
          <w:bCs/>
          <w:sz w:val="32"/>
          <w:szCs w:val="32"/>
        </w:rPr>
        <w:t xml:space="preserve">  </w:t>
      </w:r>
      <w:r>
        <w:rPr>
          <w:rFonts w:hint="eastAsia" w:ascii="仿宋_GB2312" w:eastAsia="仿宋_GB2312"/>
          <w:sz w:val="32"/>
          <w:szCs w:val="32"/>
        </w:rPr>
        <w:t>民政服务机构应对照风险清单，逐项分析所列风险管控措施弱化、失效、缺失可能产生的隐患，确定隐患等级，并按照“一岗一册”的原则分解到各岗位，形成各岗位的隐患排查手册，明确排查内容、排查方法、排查周期等内容。</w:t>
      </w:r>
    </w:p>
    <w:p>
      <w:pPr>
        <w:pStyle w:val="2"/>
        <w:widowControl w:val="0"/>
        <w:adjustRightInd w:val="0"/>
        <w:snapToGrid w:val="0"/>
        <w:spacing w:beforeAutospacing="0" w:afterAutospacing="0" w:line="520" w:lineRule="exact"/>
        <w:ind w:firstLine="640" w:firstLineChars="200"/>
        <w:jc w:val="both"/>
        <w:rPr>
          <w:rFonts w:hint="eastAsia" w:ascii="仿宋_GB2312" w:eastAsia="仿宋_GB2312"/>
          <w:sz w:val="32"/>
          <w:szCs w:val="32"/>
        </w:rPr>
      </w:pPr>
      <w:r>
        <w:rPr>
          <w:rFonts w:hint="eastAsia" w:ascii="黑体" w:hAnsi="黑体" w:eastAsia="黑体"/>
          <w:bCs/>
          <w:sz w:val="32"/>
          <w:szCs w:val="32"/>
        </w:rPr>
        <w:t xml:space="preserve">第十五条  </w:t>
      </w:r>
      <w:r>
        <w:rPr>
          <w:rFonts w:hint="eastAsia" w:ascii="仿宋_GB2312" w:eastAsia="仿宋_GB2312"/>
          <w:sz w:val="32"/>
          <w:szCs w:val="32"/>
        </w:rPr>
        <w:t>民政服务机构应按年度对风险管控情况进行分析，总结工作开展情况，研判风险演变趋势和隐患升级苗头等问题，并及时采取有效的管控措施。</w:t>
      </w:r>
    </w:p>
    <w:p>
      <w:pPr>
        <w:pStyle w:val="2"/>
        <w:widowControl w:val="0"/>
        <w:adjustRightInd w:val="0"/>
        <w:snapToGrid w:val="0"/>
        <w:spacing w:beforeAutospacing="0" w:afterAutospacing="0" w:line="520" w:lineRule="exact"/>
        <w:ind w:firstLine="643" w:firstLineChars="200"/>
        <w:jc w:val="both"/>
        <w:rPr>
          <w:rFonts w:ascii="仿宋_GB2312" w:eastAsia="仿宋_GB2312"/>
          <w:b/>
          <w:bCs/>
          <w:sz w:val="32"/>
          <w:szCs w:val="32"/>
        </w:rPr>
      </w:pPr>
    </w:p>
    <w:p>
      <w:pPr>
        <w:pStyle w:val="5"/>
        <w:widowControl w:val="0"/>
        <w:autoSpaceDN w:val="0"/>
        <w:adjustRightInd w:val="0"/>
        <w:snapToGrid w:val="0"/>
        <w:spacing w:line="520" w:lineRule="exact"/>
        <w:jc w:val="center"/>
        <w:rPr>
          <w:rFonts w:ascii="黑体" w:hAnsi="黑体" w:eastAsia="黑体"/>
          <w:sz w:val="32"/>
          <w:szCs w:val="32"/>
        </w:rPr>
      </w:pPr>
      <w:r>
        <w:rPr>
          <w:rFonts w:hint="eastAsia" w:ascii="黑体" w:hAnsi="黑体" w:eastAsia="黑体"/>
          <w:b/>
          <w:bCs/>
          <w:sz w:val="32"/>
          <w:szCs w:val="32"/>
        </w:rPr>
        <w:t>第</w:t>
      </w:r>
      <w:r>
        <w:rPr>
          <w:rFonts w:hint="eastAsia" w:ascii="黑体" w:hAnsi="黑体" w:eastAsia="黑体"/>
          <w:sz w:val="32"/>
          <w:szCs w:val="32"/>
        </w:rPr>
        <w:t>三</w:t>
      </w:r>
      <w:r>
        <w:rPr>
          <w:rFonts w:ascii="黑体" w:hAnsi="黑体" w:eastAsia="黑体"/>
          <w:sz w:val="32"/>
          <w:szCs w:val="32"/>
        </w:rPr>
        <w:t>章 行业</w:t>
      </w:r>
      <w:r>
        <w:rPr>
          <w:rFonts w:hint="eastAsia" w:ascii="黑体" w:hAnsi="黑体" w:eastAsia="黑体"/>
          <w:sz w:val="32"/>
          <w:szCs w:val="32"/>
        </w:rPr>
        <w:t>风险</w:t>
      </w:r>
      <w:r>
        <w:rPr>
          <w:rFonts w:ascii="黑体" w:hAnsi="黑体" w:eastAsia="黑体"/>
          <w:sz w:val="32"/>
          <w:szCs w:val="32"/>
        </w:rPr>
        <w:t>管控</w:t>
      </w:r>
    </w:p>
    <w:p>
      <w:pPr>
        <w:pStyle w:val="5"/>
        <w:widowControl w:val="0"/>
        <w:autoSpaceDN w:val="0"/>
        <w:adjustRightInd w:val="0"/>
        <w:snapToGrid w:val="0"/>
        <w:spacing w:line="520" w:lineRule="exact"/>
        <w:rPr>
          <w:rFonts w:eastAsia="黑体"/>
          <w:sz w:val="32"/>
          <w:szCs w:val="32"/>
        </w:rPr>
      </w:pPr>
    </w:p>
    <w:p>
      <w:pPr>
        <w:pStyle w:val="2"/>
        <w:widowControl w:val="0"/>
        <w:adjustRightInd w:val="0"/>
        <w:snapToGrid w:val="0"/>
        <w:spacing w:beforeAutospacing="0" w:afterAutospacing="0" w:line="520" w:lineRule="exact"/>
        <w:ind w:firstLine="640" w:firstLineChars="200"/>
        <w:jc w:val="both"/>
        <w:rPr>
          <w:rFonts w:hint="eastAsia" w:ascii="仿宋_GB2312" w:eastAsia="仿宋_GB2312"/>
          <w:sz w:val="32"/>
          <w:szCs w:val="32"/>
        </w:rPr>
      </w:pPr>
      <w:r>
        <w:rPr>
          <w:rFonts w:hint="eastAsia" w:ascii="黑体" w:hAnsi="黑体" w:eastAsia="黑体"/>
          <w:bCs/>
          <w:sz w:val="32"/>
          <w:szCs w:val="32"/>
        </w:rPr>
        <w:t xml:space="preserve">第十六条  </w:t>
      </w:r>
      <w:r>
        <w:rPr>
          <w:rFonts w:hint="eastAsia" w:eastAsia="仿宋_GB2312"/>
          <w:sz w:val="32"/>
          <w:szCs w:val="32"/>
        </w:rPr>
        <w:t>市、区（新区、合作区）</w:t>
      </w:r>
      <w:r>
        <w:rPr>
          <w:rFonts w:eastAsia="仿宋_GB2312"/>
          <w:sz w:val="32"/>
          <w:szCs w:val="32"/>
        </w:rPr>
        <w:t>民政部门</w:t>
      </w:r>
      <w:r>
        <w:rPr>
          <w:rFonts w:hint="eastAsia" w:ascii="仿宋_GB2312" w:eastAsia="仿宋_GB2312"/>
          <w:sz w:val="32"/>
          <w:szCs w:val="32"/>
        </w:rPr>
        <w:t>应当按照“管行业必须管安全”和“谁主管、谁负责”的原则，负责本行业领域、本辖区领域的风险管控工作。</w:t>
      </w:r>
    </w:p>
    <w:p>
      <w:pPr>
        <w:pStyle w:val="2"/>
        <w:widowControl w:val="0"/>
        <w:adjustRightInd w:val="0"/>
        <w:snapToGrid w:val="0"/>
        <w:spacing w:beforeAutospacing="0" w:afterAutospacing="0" w:line="520" w:lineRule="exact"/>
        <w:ind w:firstLine="640" w:firstLineChars="200"/>
        <w:jc w:val="both"/>
        <w:rPr>
          <w:rFonts w:hint="eastAsia" w:ascii="仿宋_GB2312" w:eastAsia="仿宋_GB2312"/>
          <w:sz w:val="32"/>
          <w:szCs w:val="32"/>
        </w:rPr>
      </w:pPr>
      <w:r>
        <w:rPr>
          <w:rFonts w:hint="eastAsia" w:ascii="仿宋_GB2312" w:eastAsia="仿宋_GB2312"/>
          <w:sz w:val="32"/>
          <w:szCs w:val="32"/>
        </w:rPr>
        <w:t>市民政局负责制定风险辨识、分析以及评估工作指引，根据定期风险评估的结果，及时更新。</w:t>
      </w:r>
    </w:p>
    <w:p>
      <w:pPr>
        <w:pStyle w:val="2"/>
        <w:widowControl w:val="0"/>
        <w:adjustRightInd w:val="0"/>
        <w:snapToGrid w:val="0"/>
        <w:spacing w:beforeAutospacing="0" w:afterAutospacing="0" w:line="520" w:lineRule="exact"/>
        <w:ind w:firstLine="640" w:firstLineChars="200"/>
        <w:jc w:val="both"/>
        <w:rPr>
          <w:rFonts w:hint="eastAsia" w:ascii="仿宋_GB2312" w:eastAsia="仿宋_GB2312"/>
          <w:sz w:val="32"/>
          <w:szCs w:val="32"/>
        </w:rPr>
      </w:pPr>
      <w:r>
        <w:rPr>
          <w:rFonts w:hint="eastAsia" w:ascii="黑体" w:hAnsi="黑体" w:eastAsia="黑体"/>
          <w:bCs/>
          <w:sz w:val="32"/>
          <w:szCs w:val="32"/>
        </w:rPr>
        <w:t>第十七条</w:t>
      </w:r>
      <w:r>
        <w:rPr>
          <w:rFonts w:hint="eastAsia" w:ascii="仿宋_GB2312" w:eastAsia="仿宋_GB2312"/>
          <w:sz w:val="32"/>
          <w:szCs w:val="32"/>
        </w:rPr>
        <w:t xml:space="preserve">  </w:t>
      </w:r>
      <w:r>
        <w:rPr>
          <w:rFonts w:hint="eastAsia" w:eastAsia="仿宋_GB2312"/>
          <w:sz w:val="32"/>
          <w:szCs w:val="32"/>
        </w:rPr>
        <w:t>市、区（新区、合作区）</w:t>
      </w:r>
      <w:r>
        <w:rPr>
          <w:rFonts w:eastAsia="仿宋_GB2312"/>
          <w:sz w:val="32"/>
          <w:szCs w:val="32"/>
        </w:rPr>
        <w:t>民政部门</w:t>
      </w:r>
      <w:r>
        <w:rPr>
          <w:rFonts w:hint="eastAsia" w:ascii="仿宋_GB2312" w:eastAsia="仿宋_GB2312"/>
          <w:sz w:val="32"/>
          <w:szCs w:val="32"/>
        </w:rPr>
        <w:t>应将民政服务机构风险管控工作情况纳入年度监督检查计划，重点检查以下内容：</w:t>
      </w:r>
    </w:p>
    <w:p>
      <w:pPr>
        <w:pStyle w:val="2"/>
        <w:widowControl w:val="0"/>
        <w:adjustRightInd w:val="0"/>
        <w:snapToGrid w:val="0"/>
        <w:spacing w:beforeAutospacing="0" w:afterAutospacing="0" w:line="520" w:lineRule="exact"/>
        <w:ind w:firstLine="640" w:firstLineChars="200"/>
        <w:jc w:val="both"/>
        <w:rPr>
          <w:rFonts w:hint="eastAsia" w:ascii="仿宋_GB2312" w:eastAsia="仿宋_GB2312"/>
          <w:sz w:val="32"/>
          <w:szCs w:val="32"/>
        </w:rPr>
      </w:pPr>
      <w:r>
        <w:rPr>
          <w:rFonts w:hint="eastAsia" w:ascii="仿宋_GB2312" w:eastAsia="仿宋_GB2312"/>
          <w:sz w:val="32"/>
          <w:szCs w:val="32"/>
        </w:rPr>
        <w:t>（一）风险管控工作制度建设情况；</w:t>
      </w:r>
    </w:p>
    <w:p>
      <w:pPr>
        <w:pStyle w:val="2"/>
        <w:widowControl w:val="0"/>
        <w:adjustRightInd w:val="0"/>
        <w:snapToGrid w:val="0"/>
        <w:spacing w:beforeAutospacing="0" w:afterAutospacing="0" w:line="520" w:lineRule="exact"/>
        <w:ind w:firstLine="640" w:firstLineChars="200"/>
        <w:jc w:val="both"/>
        <w:rPr>
          <w:rFonts w:hint="eastAsia" w:ascii="仿宋_GB2312" w:eastAsia="仿宋_GB2312"/>
          <w:sz w:val="32"/>
          <w:szCs w:val="32"/>
        </w:rPr>
      </w:pPr>
      <w:r>
        <w:rPr>
          <w:rFonts w:hint="eastAsia" w:ascii="仿宋_GB2312" w:eastAsia="仿宋_GB2312"/>
          <w:sz w:val="32"/>
          <w:szCs w:val="32"/>
        </w:rPr>
        <w:t>（二）风险清单建立情况；</w:t>
      </w:r>
    </w:p>
    <w:p>
      <w:pPr>
        <w:pStyle w:val="2"/>
        <w:widowControl w:val="0"/>
        <w:adjustRightInd w:val="0"/>
        <w:snapToGrid w:val="0"/>
        <w:spacing w:beforeAutospacing="0" w:afterAutospacing="0" w:line="520" w:lineRule="exact"/>
        <w:ind w:firstLine="640" w:firstLineChars="200"/>
        <w:jc w:val="both"/>
        <w:rPr>
          <w:rFonts w:hint="eastAsia" w:ascii="仿宋_GB2312" w:eastAsia="仿宋_GB2312"/>
          <w:sz w:val="32"/>
          <w:szCs w:val="32"/>
        </w:rPr>
      </w:pPr>
      <w:r>
        <w:rPr>
          <w:rFonts w:hint="eastAsia" w:ascii="仿宋_GB2312" w:eastAsia="仿宋_GB2312"/>
          <w:sz w:val="32"/>
          <w:szCs w:val="32"/>
        </w:rPr>
        <w:t>（三）重大风险管控措施落实情况；</w:t>
      </w:r>
    </w:p>
    <w:p>
      <w:pPr>
        <w:pStyle w:val="2"/>
        <w:widowControl w:val="0"/>
        <w:adjustRightInd w:val="0"/>
        <w:snapToGrid w:val="0"/>
        <w:spacing w:beforeAutospacing="0" w:afterAutospacing="0" w:line="520" w:lineRule="exact"/>
        <w:ind w:firstLine="640" w:firstLineChars="200"/>
        <w:jc w:val="both"/>
        <w:rPr>
          <w:rFonts w:hint="eastAsia" w:ascii="仿宋_GB2312" w:eastAsia="仿宋_GB2312"/>
          <w:sz w:val="32"/>
          <w:szCs w:val="32"/>
        </w:rPr>
      </w:pPr>
      <w:r>
        <w:rPr>
          <w:rFonts w:hint="eastAsia" w:ascii="仿宋_GB2312" w:eastAsia="仿宋_GB2312"/>
          <w:sz w:val="32"/>
          <w:szCs w:val="32"/>
        </w:rPr>
        <w:t>（四）重大隐患治理情况。</w:t>
      </w:r>
    </w:p>
    <w:p>
      <w:pPr>
        <w:pStyle w:val="2"/>
        <w:widowControl w:val="0"/>
        <w:adjustRightInd w:val="0"/>
        <w:snapToGrid w:val="0"/>
        <w:spacing w:beforeAutospacing="0" w:afterAutospacing="0" w:line="520" w:lineRule="exact"/>
        <w:ind w:firstLine="640" w:firstLineChars="200"/>
        <w:jc w:val="both"/>
        <w:rPr>
          <w:rFonts w:hint="eastAsia" w:ascii="仿宋_GB2312" w:eastAsia="仿宋_GB2312"/>
          <w:sz w:val="32"/>
          <w:szCs w:val="32"/>
        </w:rPr>
      </w:pPr>
      <w:r>
        <w:rPr>
          <w:rFonts w:hint="eastAsia" w:ascii="黑体" w:hAnsi="黑体" w:eastAsia="黑体"/>
          <w:bCs/>
          <w:sz w:val="32"/>
          <w:szCs w:val="32"/>
        </w:rPr>
        <w:t>第十八条</w:t>
      </w:r>
      <w:r>
        <w:rPr>
          <w:rFonts w:hint="eastAsia" w:ascii="仿宋_GB2312" w:eastAsia="仿宋_GB2312"/>
          <w:sz w:val="32"/>
          <w:szCs w:val="32"/>
        </w:rPr>
        <w:t xml:space="preserve">  </w:t>
      </w:r>
      <w:r>
        <w:rPr>
          <w:rFonts w:hint="eastAsia" w:eastAsia="仿宋_GB2312"/>
          <w:sz w:val="32"/>
          <w:szCs w:val="32"/>
        </w:rPr>
        <w:t>市、区（新区、合作区）</w:t>
      </w:r>
      <w:r>
        <w:rPr>
          <w:rFonts w:eastAsia="仿宋_GB2312"/>
          <w:sz w:val="32"/>
          <w:szCs w:val="32"/>
        </w:rPr>
        <w:t>民政部门</w:t>
      </w:r>
      <w:r>
        <w:rPr>
          <w:rFonts w:hint="eastAsia" w:ascii="仿宋_GB2312" w:eastAsia="仿宋_GB2312"/>
          <w:sz w:val="32"/>
          <w:szCs w:val="32"/>
        </w:rPr>
        <w:t>应每三年组织不少于1次的风险评估，并及时更新风险清单。有条件的应邀请相关专家或专业技术力量参与。</w:t>
      </w:r>
    </w:p>
    <w:p>
      <w:pPr>
        <w:pStyle w:val="2"/>
        <w:widowControl w:val="0"/>
        <w:adjustRightInd w:val="0"/>
        <w:snapToGrid w:val="0"/>
        <w:spacing w:beforeAutospacing="0" w:afterAutospacing="0" w:line="520" w:lineRule="exact"/>
        <w:ind w:firstLine="640" w:firstLineChars="200"/>
        <w:jc w:val="both"/>
        <w:rPr>
          <w:rFonts w:hint="eastAsia" w:ascii="仿宋_GB2312" w:eastAsia="仿宋_GB2312"/>
          <w:sz w:val="32"/>
          <w:szCs w:val="32"/>
        </w:rPr>
      </w:pPr>
      <w:r>
        <w:rPr>
          <w:rFonts w:hint="eastAsia" w:eastAsia="仿宋_GB2312"/>
          <w:sz w:val="32"/>
          <w:szCs w:val="32"/>
        </w:rPr>
        <w:t>市、区（新区、合作区）</w:t>
      </w:r>
      <w:r>
        <w:rPr>
          <w:rFonts w:eastAsia="仿宋_GB2312"/>
          <w:sz w:val="32"/>
          <w:szCs w:val="32"/>
        </w:rPr>
        <w:t>民政部门</w:t>
      </w:r>
      <w:r>
        <w:rPr>
          <w:rFonts w:hint="eastAsia" w:ascii="仿宋_GB2312" w:eastAsia="仿宋_GB2312"/>
          <w:sz w:val="32"/>
          <w:szCs w:val="32"/>
        </w:rPr>
        <w:t>应当在风险评估报告编制完成后一个月内通报同级应急管理部门和上级民政部门。</w:t>
      </w:r>
    </w:p>
    <w:p>
      <w:pPr>
        <w:pStyle w:val="2"/>
        <w:widowControl w:val="0"/>
        <w:adjustRightInd w:val="0"/>
        <w:snapToGrid w:val="0"/>
        <w:spacing w:beforeAutospacing="0" w:afterAutospacing="0" w:line="520" w:lineRule="exact"/>
        <w:ind w:firstLine="640" w:firstLineChars="200"/>
        <w:jc w:val="both"/>
        <w:rPr>
          <w:rFonts w:hint="eastAsia" w:ascii="仿宋_GB2312" w:eastAsia="仿宋_GB2312"/>
          <w:sz w:val="32"/>
          <w:szCs w:val="32"/>
        </w:rPr>
      </w:pPr>
      <w:r>
        <w:rPr>
          <w:rFonts w:hint="eastAsia" w:ascii="黑体" w:hAnsi="黑体" w:eastAsia="黑体"/>
          <w:bCs/>
          <w:sz w:val="32"/>
          <w:szCs w:val="32"/>
        </w:rPr>
        <w:t>第十九条</w:t>
      </w:r>
      <w:r>
        <w:rPr>
          <w:rFonts w:hint="eastAsia" w:ascii="仿宋_GB2312" w:eastAsia="仿宋_GB2312"/>
          <w:sz w:val="32"/>
          <w:szCs w:val="32"/>
        </w:rPr>
        <w:t xml:space="preserve">  </w:t>
      </w:r>
      <w:r>
        <w:rPr>
          <w:rFonts w:hint="eastAsia" w:eastAsia="仿宋_GB2312"/>
          <w:sz w:val="32"/>
          <w:szCs w:val="32"/>
        </w:rPr>
        <w:t>市、区（新区、合作区）</w:t>
      </w:r>
      <w:r>
        <w:rPr>
          <w:rFonts w:eastAsia="仿宋_GB2312"/>
          <w:sz w:val="32"/>
          <w:szCs w:val="32"/>
        </w:rPr>
        <w:t>民政部门</w:t>
      </w:r>
      <w:r>
        <w:rPr>
          <w:rFonts w:hint="eastAsia" w:ascii="仿宋_GB2312" w:eastAsia="仿宋_GB2312"/>
          <w:sz w:val="32"/>
          <w:szCs w:val="32"/>
        </w:rPr>
        <w:t>应当针对风险评估结果，结合监管实际，制定科学合理的监督检查计划，对不同等级风险确定不同的监督检查频次和内容，其中有重大风险的，每半年至少检查一次，有较大风险的，每年至少检查一次。</w:t>
      </w:r>
    </w:p>
    <w:p>
      <w:pPr>
        <w:pStyle w:val="2"/>
        <w:widowControl w:val="0"/>
        <w:adjustRightInd w:val="0"/>
        <w:snapToGrid w:val="0"/>
        <w:spacing w:beforeAutospacing="0" w:afterAutospacing="0" w:line="520" w:lineRule="exact"/>
        <w:ind w:firstLine="640" w:firstLineChars="200"/>
        <w:jc w:val="both"/>
        <w:rPr>
          <w:rFonts w:hint="eastAsia" w:ascii="仿宋_GB2312" w:eastAsia="仿宋_GB2312"/>
          <w:sz w:val="32"/>
          <w:szCs w:val="32"/>
        </w:rPr>
      </w:pPr>
      <w:r>
        <w:rPr>
          <w:rFonts w:hint="eastAsia" w:ascii="黑体" w:hAnsi="黑体" w:eastAsia="黑体"/>
          <w:bCs/>
          <w:sz w:val="32"/>
          <w:szCs w:val="32"/>
        </w:rPr>
        <w:t>第二十条</w:t>
      </w:r>
      <w:r>
        <w:rPr>
          <w:rFonts w:hint="eastAsia" w:ascii="仿宋_GB2312" w:eastAsia="仿宋_GB2312"/>
          <w:b/>
          <w:bCs/>
          <w:sz w:val="32"/>
          <w:szCs w:val="32"/>
        </w:rPr>
        <w:t xml:space="preserve">  </w:t>
      </w:r>
      <w:r>
        <w:rPr>
          <w:rFonts w:hint="eastAsia" w:eastAsia="仿宋_GB2312"/>
          <w:sz w:val="32"/>
          <w:szCs w:val="32"/>
        </w:rPr>
        <w:t>市、区（新区、合作区）</w:t>
      </w:r>
      <w:r>
        <w:rPr>
          <w:rFonts w:eastAsia="仿宋_GB2312"/>
          <w:sz w:val="32"/>
          <w:szCs w:val="32"/>
        </w:rPr>
        <w:t>民政部门</w:t>
      </w:r>
      <w:r>
        <w:rPr>
          <w:rFonts w:hint="eastAsia" w:ascii="仿宋_GB2312" w:eastAsia="仿宋_GB2312"/>
          <w:sz w:val="32"/>
          <w:szCs w:val="32"/>
        </w:rPr>
        <w:t>应当加强较大以上风险的管控，综合运用监督检查、行业规划、产业政策、法规标准、行政许可、科技推广、技术治理等手段，消除、降低和控制辖区内的行业风险。</w:t>
      </w:r>
    </w:p>
    <w:p>
      <w:pPr>
        <w:pStyle w:val="2"/>
        <w:widowControl w:val="0"/>
        <w:adjustRightInd w:val="0"/>
        <w:snapToGrid w:val="0"/>
        <w:spacing w:beforeAutospacing="0" w:afterAutospacing="0" w:line="520" w:lineRule="exact"/>
        <w:ind w:firstLine="640" w:firstLineChars="200"/>
        <w:jc w:val="both"/>
        <w:rPr>
          <w:rFonts w:hint="eastAsia" w:ascii="仿宋_GB2312" w:eastAsia="仿宋_GB2312"/>
          <w:sz w:val="32"/>
          <w:szCs w:val="32"/>
        </w:rPr>
      </w:pPr>
      <w:r>
        <w:rPr>
          <w:rFonts w:hint="eastAsia" w:ascii="黑体" w:hAnsi="黑体" w:eastAsia="黑体"/>
          <w:bCs/>
          <w:sz w:val="32"/>
          <w:szCs w:val="32"/>
        </w:rPr>
        <w:t>第二十一条</w:t>
      </w:r>
      <w:r>
        <w:rPr>
          <w:rFonts w:hint="eastAsia" w:ascii="仿宋_GB2312" w:eastAsia="仿宋_GB2312"/>
          <w:b/>
          <w:bCs/>
          <w:sz w:val="32"/>
          <w:szCs w:val="32"/>
        </w:rPr>
        <w:t xml:space="preserve">  </w:t>
      </w:r>
      <w:r>
        <w:rPr>
          <w:rFonts w:hint="eastAsia" w:eastAsia="仿宋_GB2312"/>
          <w:sz w:val="32"/>
          <w:szCs w:val="32"/>
        </w:rPr>
        <w:t>市、区（新区、合作区）</w:t>
      </w:r>
      <w:r>
        <w:rPr>
          <w:rFonts w:eastAsia="仿宋_GB2312"/>
          <w:sz w:val="32"/>
          <w:szCs w:val="32"/>
        </w:rPr>
        <w:t>民政部门</w:t>
      </w:r>
      <w:r>
        <w:rPr>
          <w:rFonts w:hint="eastAsia" w:ascii="仿宋_GB2312" w:eastAsia="仿宋_GB2312"/>
          <w:sz w:val="32"/>
          <w:szCs w:val="32"/>
        </w:rPr>
        <w:t>应主动畅通渠道，接受其他单位和个人对辖区内民政服务机构安全风险的情况反映。接到反映后，应按照权限要求及时组织核实和处理。</w:t>
      </w:r>
    </w:p>
    <w:p>
      <w:pPr>
        <w:pStyle w:val="2"/>
        <w:widowControl w:val="0"/>
        <w:adjustRightInd w:val="0"/>
        <w:snapToGrid w:val="0"/>
        <w:spacing w:beforeAutospacing="0" w:afterAutospacing="0" w:line="520" w:lineRule="exact"/>
        <w:ind w:firstLine="640" w:firstLineChars="200"/>
        <w:jc w:val="both"/>
        <w:rPr>
          <w:rFonts w:ascii="仿宋_GB2312" w:eastAsia="仿宋_GB2312"/>
          <w:sz w:val="32"/>
          <w:szCs w:val="32"/>
        </w:rPr>
      </w:pPr>
      <w:r>
        <w:rPr>
          <w:rFonts w:hint="eastAsia" w:ascii="黑体" w:hAnsi="黑体" w:eastAsia="黑体"/>
          <w:bCs/>
          <w:sz w:val="32"/>
          <w:szCs w:val="32"/>
        </w:rPr>
        <w:t xml:space="preserve">第二十二条  </w:t>
      </w:r>
      <w:r>
        <w:rPr>
          <w:rFonts w:hint="eastAsia" w:eastAsia="仿宋_GB2312"/>
          <w:sz w:val="32"/>
          <w:szCs w:val="32"/>
        </w:rPr>
        <w:t>市、区（新区、合作区）</w:t>
      </w:r>
      <w:r>
        <w:rPr>
          <w:rFonts w:eastAsia="仿宋_GB2312"/>
          <w:sz w:val="32"/>
          <w:szCs w:val="32"/>
        </w:rPr>
        <w:t>民政部门</w:t>
      </w:r>
      <w:r>
        <w:rPr>
          <w:rFonts w:hint="eastAsia" w:ascii="仿宋_GB2312" w:eastAsia="仿宋_GB2312"/>
          <w:sz w:val="32"/>
          <w:szCs w:val="32"/>
        </w:rPr>
        <w:t>、民政服务机构应依托智能管理系统--深圳市民政局服务机构安全监管平台，实现风险管控信息共享，提高风险管控水平。</w:t>
      </w:r>
    </w:p>
    <w:p>
      <w:pPr>
        <w:pStyle w:val="2"/>
        <w:widowControl w:val="0"/>
        <w:adjustRightInd w:val="0"/>
        <w:snapToGrid w:val="0"/>
        <w:spacing w:beforeAutospacing="0" w:afterAutospacing="0" w:line="520" w:lineRule="exact"/>
        <w:ind w:firstLine="640" w:firstLineChars="200"/>
        <w:jc w:val="both"/>
        <w:rPr>
          <w:rFonts w:ascii="仿宋_GB2312" w:eastAsia="仿宋_GB2312"/>
          <w:sz w:val="32"/>
          <w:szCs w:val="32"/>
        </w:rPr>
      </w:pPr>
      <w:r>
        <w:rPr>
          <w:rFonts w:hint="eastAsia" w:eastAsia="仿宋_GB2312"/>
          <w:sz w:val="32"/>
          <w:szCs w:val="32"/>
        </w:rPr>
        <w:t>市、区（新区、合作区）</w:t>
      </w:r>
      <w:r>
        <w:rPr>
          <w:rFonts w:eastAsia="仿宋_GB2312"/>
          <w:sz w:val="32"/>
          <w:szCs w:val="32"/>
        </w:rPr>
        <w:t>民政部门</w:t>
      </w:r>
      <w:r>
        <w:rPr>
          <w:rFonts w:hint="eastAsia" w:ascii="仿宋_GB2312" w:eastAsia="仿宋_GB2312"/>
          <w:sz w:val="32"/>
          <w:szCs w:val="32"/>
        </w:rPr>
        <w:t>应积极配合同级应急管理部门，及时将最新的风险信息录入省、市安全风险分级管控信息系统。</w:t>
      </w:r>
    </w:p>
    <w:p>
      <w:pPr>
        <w:pStyle w:val="2"/>
        <w:widowControl w:val="0"/>
        <w:adjustRightInd w:val="0"/>
        <w:snapToGrid w:val="0"/>
        <w:spacing w:beforeAutospacing="0" w:afterAutospacing="0" w:line="520" w:lineRule="exact"/>
        <w:ind w:firstLine="640" w:firstLineChars="200"/>
        <w:jc w:val="both"/>
        <w:rPr>
          <w:rFonts w:ascii="仿宋_GB2312" w:eastAsia="仿宋_GB2312"/>
          <w:sz w:val="32"/>
          <w:szCs w:val="32"/>
        </w:rPr>
      </w:pPr>
    </w:p>
    <w:p>
      <w:pPr>
        <w:pStyle w:val="5"/>
        <w:widowControl w:val="0"/>
        <w:autoSpaceDN w:val="0"/>
        <w:adjustRightInd w:val="0"/>
        <w:snapToGrid w:val="0"/>
        <w:spacing w:line="520" w:lineRule="exact"/>
        <w:jc w:val="center"/>
        <w:rPr>
          <w:rFonts w:eastAsia="黑体"/>
          <w:sz w:val="32"/>
          <w:szCs w:val="32"/>
        </w:rPr>
      </w:pPr>
      <w:r>
        <w:rPr>
          <w:rFonts w:eastAsia="黑体"/>
          <w:sz w:val="32"/>
          <w:szCs w:val="32"/>
        </w:rPr>
        <w:t>第四章 监督管理</w:t>
      </w:r>
    </w:p>
    <w:p>
      <w:pPr>
        <w:pStyle w:val="5"/>
        <w:widowControl w:val="0"/>
        <w:autoSpaceDN w:val="0"/>
        <w:adjustRightInd w:val="0"/>
        <w:snapToGrid w:val="0"/>
        <w:spacing w:line="520" w:lineRule="exact"/>
        <w:rPr>
          <w:rFonts w:eastAsia="黑体"/>
          <w:sz w:val="32"/>
          <w:szCs w:val="32"/>
        </w:rPr>
      </w:pPr>
    </w:p>
    <w:p>
      <w:pPr>
        <w:pStyle w:val="2"/>
        <w:widowControl w:val="0"/>
        <w:adjustRightInd w:val="0"/>
        <w:snapToGrid w:val="0"/>
        <w:spacing w:beforeAutospacing="0" w:afterAutospacing="0" w:line="520" w:lineRule="exact"/>
        <w:ind w:firstLine="640" w:firstLineChars="200"/>
        <w:jc w:val="both"/>
        <w:rPr>
          <w:rFonts w:hint="eastAsia" w:ascii="仿宋_GB2312" w:eastAsia="仿宋_GB2312"/>
          <w:sz w:val="32"/>
          <w:szCs w:val="32"/>
        </w:rPr>
      </w:pPr>
      <w:r>
        <w:rPr>
          <w:rFonts w:ascii="黑体" w:hAnsi="黑体" w:eastAsia="黑体"/>
          <w:bCs/>
          <w:sz w:val="32"/>
          <w:szCs w:val="32"/>
        </w:rPr>
        <w:t>第二十三条</w:t>
      </w:r>
      <w:r>
        <w:rPr>
          <w:rFonts w:eastAsia="仿宋_GB2312"/>
          <w:sz w:val="32"/>
          <w:szCs w:val="32"/>
        </w:rPr>
        <w:t xml:space="preserve"> </w:t>
      </w:r>
      <w:r>
        <w:rPr>
          <w:rFonts w:hint="eastAsia" w:eastAsia="仿宋_GB2312"/>
          <w:sz w:val="32"/>
          <w:szCs w:val="32"/>
        </w:rPr>
        <w:t xml:space="preserve"> </w:t>
      </w:r>
      <w:r>
        <w:rPr>
          <w:rFonts w:hint="eastAsia" w:ascii="仿宋_GB2312" w:eastAsia="仿宋_GB2312"/>
          <w:sz w:val="32"/>
          <w:szCs w:val="32"/>
        </w:rPr>
        <w:t>民政服务机构安全风险管控工作执行不力的，由属地民政部门加强监督管理。</w:t>
      </w:r>
    </w:p>
    <w:p>
      <w:pPr>
        <w:pStyle w:val="2"/>
        <w:widowControl w:val="0"/>
        <w:adjustRightInd w:val="0"/>
        <w:snapToGrid w:val="0"/>
        <w:spacing w:beforeAutospacing="0" w:afterAutospacing="0" w:line="520" w:lineRule="exact"/>
        <w:ind w:firstLine="640" w:firstLineChars="200"/>
        <w:jc w:val="both"/>
        <w:rPr>
          <w:rFonts w:hint="eastAsia" w:ascii="仿宋_GB2312" w:eastAsia="仿宋_GB2312"/>
          <w:sz w:val="32"/>
          <w:szCs w:val="32"/>
        </w:rPr>
      </w:pPr>
      <w:r>
        <w:rPr>
          <w:rFonts w:ascii="黑体" w:hAnsi="黑体" w:eastAsia="黑体"/>
          <w:bCs/>
          <w:sz w:val="32"/>
          <w:szCs w:val="32"/>
        </w:rPr>
        <w:t>第二</w:t>
      </w:r>
      <w:r>
        <w:rPr>
          <w:rFonts w:hint="eastAsia" w:ascii="黑体" w:hAnsi="黑体" w:eastAsia="黑体"/>
          <w:bCs/>
          <w:sz w:val="32"/>
          <w:szCs w:val="32"/>
        </w:rPr>
        <w:t>十</w:t>
      </w:r>
      <w:r>
        <w:rPr>
          <w:rFonts w:ascii="黑体" w:hAnsi="黑体" w:eastAsia="黑体"/>
          <w:bCs/>
          <w:sz w:val="32"/>
          <w:szCs w:val="32"/>
        </w:rPr>
        <w:t>四条</w:t>
      </w:r>
      <w:r>
        <w:rPr>
          <w:rFonts w:ascii="仿宋_GB2312" w:eastAsia="仿宋_GB2312"/>
          <w:b/>
          <w:bCs/>
          <w:sz w:val="32"/>
          <w:szCs w:val="32"/>
        </w:rPr>
        <w:t xml:space="preserve"> </w:t>
      </w:r>
      <w:r>
        <w:rPr>
          <w:rFonts w:hint="eastAsia" w:ascii="仿宋_GB2312" w:eastAsia="仿宋_GB2312"/>
          <w:b/>
          <w:bCs/>
          <w:sz w:val="32"/>
          <w:szCs w:val="32"/>
        </w:rPr>
        <w:t xml:space="preserve"> </w:t>
      </w:r>
      <w:r>
        <w:rPr>
          <w:rFonts w:hint="eastAsia" w:ascii="仿宋_GB2312" w:eastAsia="仿宋_GB2312"/>
          <w:sz w:val="32"/>
          <w:szCs w:val="32"/>
        </w:rPr>
        <w:t>市、区（新区、合作区）民政部门的领导干部在落实安全风险管控工作中违反《地方党政领导干部安全生产责任制规定》的，由相关部门依照有关规定进行问责。</w:t>
      </w:r>
    </w:p>
    <w:p>
      <w:pPr>
        <w:pStyle w:val="2"/>
        <w:widowControl w:val="0"/>
        <w:adjustRightInd w:val="0"/>
        <w:snapToGrid w:val="0"/>
        <w:spacing w:beforeAutospacing="0" w:afterAutospacing="0" w:line="520" w:lineRule="exact"/>
        <w:ind w:firstLine="640" w:firstLineChars="200"/>
        <w:jc w:val="both"/>
        <w:rPr>
          <w:rFonts w:eastAsia="仿宋_GB2312"/>
          <w:sz w:val="32"/>
          <w:szCs w:val="32"/>
        </w:rPr>
      </w:pPr>
      <w:r>
        <w:rPr>
          <w:rFonts w:ascii="黑体" w:hAnsi="黑体" w:eastAsia="黑体"/>
          <w:bCs/>
          <w:sz w:val="32"/>
          <w:szCs w:val="32"/>
        </w:rPr>
        <w:t xml:space="preserve">第二十五条 </w:t>
      </w:r>
      <w:r>
        <w:rPr>
          <w:rFonts w:hint="eastAsia" w:ascii="黑体" w:hAnsi="黑体" w:eastAsia="黑体"/>
          <w:bCs/>
          <w:sz w:val="32"/>
          <w:szCs w:val="32"/>
        </w:rPr>
        <w:t xml:space="preserve"> </w:t>
      </w:r>
      <w:r>
        <w:rPr>
          <w:rFonts w:hint="eastAsia" w:eastAsia="仿宋_GB2312"/>
          <w:sz w:val="32"/>
          <w:szCs w:val="32"/>
        </w:rPr>
        <w:t>因安全风险管控工作</w:t>
      </w:r>
      <w:r>
        <w:rPr>
          <w:rFonts w:eastAsia="仿宋_GB2312"/>
          <w:sz w:val="32"/>
          <w:szCs w:val="32"/>
        </w:rPr>
        <w:t>不落实或落实不到位</w:t>
      </w:r>
      <w:r>
        <w:rPr>
          <w:rFonts w:hint="eastAsia" w:eastAsia="仿宋_GB2312"/>
          <w:sz w:val="32"/>
          <w:szCs w:val="32"/>
        </w:rPr>
        <w:t>引发</w:t>
      </w:r>
      <w:r>
        <w:rPr>
          <w:rFonts w:eastAsia="仿宋_GB2312"/>
          <w:sz w:val="32"/>
          <w:szCs w:val="32"/>
        </w:rPr>
        <w:t>生产安全</w:t>
      </w:r>
      <w:r>
        <w:rPr>
          <w:rFonts w:hint="eastAsia" w:eastAsia="仿宋_GB2312"/>
          <w:sz w:val="32"/>
          <w:szCs w:val="32"/>
        </w:rPr>
        <w:t>事故的，</w:t>
      </w:r>
      <w:r>
        <w:rPr>
          <w:rFonts w:eastAsia="仿宋_GB2312"/>
          <w:sz w:val="32"/>
          <w:szCs w:val="32"/>
        </w:rPr>
        <w:t>由相关部门</w:t>
      </w:r>
      <w:r>
        <w:rPr>
          <w:rFonts w:hint="eastAsia" w:eastAsia="仿宋_GB2312"/>
          <w:sz w:val="32"/>
          <w:szCs w:val="32"/>
        </w:rPr>
        <w:t>依法追究责任。</w:t>
      </w:r>
    </w:p>
    <w:p>
      <w:pPr>
        <w:pStyle w:val="2"/>
        <w:widowControl w:val="0"/>
        <w:adjustRightInd w:val="0"/>
        <w:snapToGrid w:val="0"/>
        <w:spacing w:beforeAutospacing="0" w:afterAutospacing="0" w:line="520" w:lineRule="exact"/>
        <w:ind w:firstLine="640" w:firstLineChars="200"/>
        <w:jc w:val="both"/>
        <w:rPr>
          <w:rFonts w:eastAsia="仿宋_GB2312"/>
          <w:sz w:val="32"/>
          <w:szCs w:val="32"/>
        </w:rPr>
      </w:pPr>
    </w:p>
    <w:p>
      <w:pPr>
        <w:pStyle w:val="5"/>
        <w:widowControl w:val="0"/>
        <w:autoSpaceDN w:val="0"/>
        <w:adjustRightInd w:val="0"/>
        <w:snapToGrid w:val="0"/>
        <w:spacing w:line="520" w:lineRule="exact"/>
        <w:jc w:val="center"/>
        <w:rPr>
          <w:rFonts w:hint="eastAsia" w:eastAsia="黑体"/>
          <w:sz w:val="32"/>
          <w:szCs w:val="32"/>
        </w:rPr>
      </w:pPr>
      <w:r>
        <w:rPr>
          <w:rFonts w:eastAsia="黑体"/>
          <w:sz w:val="32"/>
          <w:szCs w:val="32"/>
        </w:rPr>
        <w:t>第五章 附则</w:t>
      </w:r>
    </w:p>
    <w:p>
      <w:pPr>
        <w:pStyle w:val="5"/>
        <w:widowControl w:val="0"/>
        <w:autoSpaceDN w:val="0"/>
        <w:adjustRightInd w:val="0"/>
        <w:snapToGrid w:val="0"/>
        <w:spacing w:line="520" w:lineRule="exact"/>
        <w:jc w:val="center"/>
        <w:rPr>
          <w:rFonts w:eastAsia="黑体"/>
          <w:sz w:val="32"/>
          <w:szCs w:val="32"/>
        </w:rPr>
      </w:pPr>
    </w:p>
    <w:p>
      <w:pPr>
        <w:pStyle w:val="2"/>
        <w:widowControl w:val="0"/>
        <w:adjustRightInd w:val="0"/>
        <w:snapToGrid w:val="0"/>
        <w:spacing w:beforeAutospacing="0" w:afterAutospacing="0" w:line="520" w:lineRule="exact"/>
        <w:ind w:firstLine="640" w:firstLineChars="200"/>
        <w:jc w:val="both"/>
        <w:rPr>
          <w:rFonts w:hint="eastAsia" w:eastAsia="仿宋_GB2312"/>
          <w:sz w:val="32"/>
          <w:szCs w:val="32"/>
        </w:rPr>
      </w:pPr>
      <w:r>
        <w:rPr>
          <w:rFonts w:ascii="黑体" w:hAnsi="黑体" w:eastAsia="黑体"/>
          <w:bCs/>
          <w:sz w:val="32"/>
          <w:szCs w:val="32"/>
        </w:rPr>
        <w:t>第二十</w:t>
      </w:r>
      <w:r>
        <w:rPr>
          <w:rFonts w:hint="eastAsia" w:ascii="黑体" w:hAnsi="黑体" w:eastAsia="黑体"/>
          <w:bCs/>
          <w:sz w:val="32"/>
          <w:szCs w:val="32"/>
        </w:rPr>
        <w:t>六</w:t>
      </w:r>
      <w:r>
        <w:rPr>
          <w:rFonts w:ascii="黑体" w:hAnsi="黑体" w:eastAsia="黑体"/>
          <w:bCs/>
          <w:sz w:val="32"/>
          <w:szCs w:val="32"/>
        </w:rPr>
        <w:t>条</w:t>
      </w:r>
      <w:r>
        <w:rPr>
          <w:rFonts w:eastAsia="仿宋_GB2312"/>
          <w:sz w:val="32"/>
          <w:szCs w:val="32"/>
        </w:rPr>
        <w:t xml:space="preserve"> </w:t>
      </w:r>
      <w:r>
        <w:rPr>
          <w:rFonts w:hint="eastAsia" w:eastAsia="仿宋_GB2312"/>
          <w:sz w:val="32"/>
          <w:szCs w:val="32"/>
        </w:rPr>
        <w:t xml:space="preserve"> </w:t>
      </w:r>
      <w:r>
        <w:rPr>
          <w:rFonts w:eastAsia="仿宋_GB2312"/>
          <w:sz w:val="32"/>
          <w:szCs w:val="32"/>
        </w:rPr>
        <w:t>民政服务机构</w:t>
      </w:r>
      <w:r>
        <w:rPr>
          <w:rFonts w:hint="eastAsia" w:eastAsia="仿宋_GB2312"/>
          <w:sz w:val="32"/>
          <w:szCs w:val="32"/>
        </w:rPr>
        <w:t>安全风险管控</w:t>
      </w:r>
      <w:r>
        <w:rPr>
          <w:rFonts w:eastAsia="仿宋_GB2312"/>
          <w:sz w:val="32"/>
          <w:szCs w:val="32"/>
        </w:rPr>
        <w:t>工作中涉及其他部门职责，或关于网络安全、特种设备</w:t>
      </w:r>
      <w:r>
        <w:rPr>
          <w:rFonts w:hint="eastAsia" w:eastAsia="仿宋_GB2312"/>
          <w:sz w:val="32"/>
          <w:szCs w:val="32"/>
        </w:rPr>
        <w:t>、食品安全</w:t>
      </w:r>
      <w:r>
        <w:rPr>
          <w:rFonts w:eastAsia="仿宋_GB2312"/>
          <w:sz w:val="32"/>
          <w:szCs w:val="32"/>
        </w:rPr>
        <w:t>等另有规定的，按有关规定执行。</w:t>
      </w:r>
    </w:p>
    <w:p>
      <w:pPr>
        <w:pStyle w:val="2"/>
        <w:widowControl w:val="0"/>
        <w:adjustRightInd w:val="0"/>
        <w:snapToGrid w:val="0"/>
        <w:spacing w:beforeAutospacing="0" w:afterAutospacing="0" w:line="520" w:lineRule="exact"/>
        <w:ind w:firstLine="640" w:firstLineChars="200"/>
        <w:jc w:val="both"/>
        <w:rPr>
          <w:rFonts w:hint="eastAsia" w:eastAsia="仿宋_GB2312"/>
          <w:sz w:val="32"/>
          <w:szCs w:val="32"/>
        </w:rPr>
      </w:pPr>
      <w:r>
        <w:rPr>
          <w:rFonts w:ascii="黑体" w:hAnsi="黑体" w:eastAsia="黑体"/>
          <w:bCs/>
          <w:sz w:val="32"/>
          <w:szCs w:val="32"/>
        </w:rPr>
        <w:t>第二十</w:t>
      </w:r>
      <w:r>
        <w:rPr>
          <w:rFonts w:hint="eastAsia" w:ascii="黑体" w:hAnsi="黑体" w:eastAsia="黑体"/>
          <w:bCs/>
          <w:sz w:val="32"/>
          <w:szCs w:val="32"/>
        </w:rPr>
        <w:t>七</w:t>
      </w:r>
      <w:r>
        <w:rPr>
          <w:rFonts w:ascii="黑体" w:hAnsi="黑体" w:eastAsia="黑体"/>
          <w:bCs/>
          <w:sz w:val="32"/>
          <w:szCs w:val="32"/>
        </w:rPr>
        <w:t>条</w:t>
      </w:r>
      <w:r>
        <w:rPr>
          <w:rFonts w:eastAsia="仿宋_GB2312"/>
          <w:sz w:val="32"/>
          <w:szCs w:val="32"/>
        </w:rPr>
        <w:t xml:space="preserve"> </w:t>
      </w:r>
      <w:r>
        <w:rPr>
          <w:rFonts w:hint="eastAsia" w:eastAsia="仿宋_GB2312"/>
          <w:sz w:val="32"/>
          <w:szCs w:val="32"/>
        </w:rPr>
        <w:t xml:space="preserve"> 本办法由深圳市</w:t>
      </w:r>
      <w:r>
        <w:rPr>
          <w:rFonts w:eastAsia="仿宋_GB2312"/>
          <w:sz w:val="32"/>
          <w:szCs w:val="32"/>
        </w:rPr>
        <w:t>民政</w:t>
      </w:r>
      <w:r>
        <w:rPr>
          <w:rFonts w:hint="eastAsia" w:eastAsia="仿宋_GB2312"/>
          <w:sz w:val="32"/>
          <w:szCs w:val="32"/>
        </w:rPr>
        <w:t>局负责解释。</w:t>
      </w:r>
    </w:p>
    <w:p>
      <w:pPr>
        <w:pStyle w:val="2"/>
        <w:widowControl w:val="0"/>
        <w:adjustRightInd w:val="0"/>
        <w:snapToGrid w:val="0"/>
        <w:spacing w:beforeAutospacing="0" w:afterAutospacing="0" w:line="520" w:lineRule="exact"/>
        <w:ind w:firstLine="640" w:firstLineChars="200"/>
        <w:jc w:val="both"/>
        <w:rPr>
          <w:rFonts w:hint="eastAsia" w:ascii="仿宋_GB2312" w:eastAsia="仿宋_GB2312"/>
          <w:sz w:val="32"/>
          <w:szCs w:val="32"/>
        </w:rPr>
      </w:pPr>
      <w:r>
        <w:rPr>
          <w:rFonts w:ascii="黑体" w:hAnsi="黑体" w:eastAsia="黑体"/>
          <w:bCs/>
          <w:sz w:val="32"/>
          <w:szCs w:val="32"/>
        </w:rPr>
        <w:t>第二十</w:t>
      </w:r>
      <w:r>
        <w:rPr>
          <w:rFonts w:hint="eastAsia" w:ascii="黑体" w:hAnsi="黑体" w:eastAsia="黑体"/>
          <w:bCs/>
          <w:sz w:val="32"/>
          <w:szCs w:val="32"/>
        </w:rPr>
        <w:t>八</w:t>
      </w:r>
      <w:r>
        <w:rPr>
          <w:rFonts w:ascii="黑体" w:hAnsi="黑体" w:eastAsia="黑体"/>
          <w:bCs/>
          <w:sz w:val="32"/>
          <w:szCs w:val="32"/>
        </w:rPr>
        <w:t xml:space="preserve">条 </w:t>
      </w:r>
      <w:r>
        <w:rPr>
          <w:rFonts w:hint="eastAsia" w:ascii="黑体" w:hAnsi="黑体" w:eastAsia="黑体"/>
          <w:bCs/>
          <w:sz w:val="32"/>
          <w:szCs w:val="32"/>
        </w:rPr>
        <w:t xml:space="preserve"> </w:t>
      </w:r>
      <w:r>
        <w:rPr>
          <w:rFonts w:hint="eastAsia" w:ascii="仿宋_GB2312" w:eastAsia="仿宋_GB2312"/>
          <w:sz w:val="32"/>
          <w:szCs w:val="32"/>
        </w:rPr>
        <w:t>本办法自印发之日起实施，有效期5年。</w:t>
      </w:r>
    </w:p>
    <w:p>
      <w:pPr>
        <w:pStyle w:val="2"/>
        <w:spacing w:beforeAutospacing="0" w:afterAutospacing="0" w:line="560" w:lineRule="exact"/>
        <w:jc w:val="both"/>
        <w:rPr>
          <w:rFonts w:eastAsia="仿宋_GB2312"/>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Helvetica Neue">
    <w:altName w:val="Segoe Print"/>
    <w:panose1 w:val="00000000000000000000"/>
    <w:charset w:val="00"/>
    <w:family w:val="auto"/>
    <w:pitch w:val="default"/>
    <w:sig w:usb0="00000000" w:usb1="00000000" w:usb2="00000010" w:usb3="00000000" w:csb0="0000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0D28B1"/>
    <w:rsid w:val="090D2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paragraph" w:customStyle="1" w:styleId="5">
    <w:name w:val="p0"/>
    <w:basedOn w:val="1"/>
    <w:qFormat/>
    <w:uiPriority w:val="99"/>
    <w:pPr>
      <w:widowControl/>
    </w:pPr>
    <w:rPr>
      <w:rFonts w:ascii="Times New Roman" w:hAnsi="Times New Roman" w:eastAsia="仿宋_GB2312" w:cs="Times New Roman"/>
      <w:kern w:val="0"/>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2020-06-30T10:28:00Z</dcterms:created>
  <dc:creator>好饭友</dc:creator>
  <cp:lastModifiedBy>好饭友</cp:lastModifiedBy>
  <dcterms:modified xsi:type="dcterms:W3CDTF">2020-06-30T10:29:13Z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