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黑体" w:hAnsi="黑体" w:eastAsia="黑体"/>
          <w:sz w:val="30"/>
          <w:szCs w:val="30"/>
          <w:u w:val="none"/>
          <w:lang w:val="en-US" w:eastAsia="zh-CN"/>
        </w:rPr>
      </w:pPr>
      <w:bookmarkStart w:id="0" w:name="_GoBack"/>
      <w:bookmarkEnd w:id="0"/>
      <w:r>
        <w:rPr>
          <w:rFonts w:hint="eastAsia" w:ascii="黑体" w:hAnsi="黑体" w:eastAsia="黑体"/>
          <w:sz w:val="30"/>
          <w:szCs w:val="30"/>
          <w:u w:val="none"/>
        </w:rPr>
        <w:t>附件</w:t>
      </w:r>
      <w:r>
        <w:rPr>
          <w:rFonts w:hint="eastAsia" w:ascii="黑体" w:hAnsi="黑体" w:eastAsia="黑体"/>
          <w:sz w:val="30"/>
          <w:szCs w:val="30"/>
          <w:u w:val="none"/>
          <w:lang w:val="en-US" w:eastAsia="zh-CN"/>
        </w:rPr>
        <w:t>1</w:t>
      </w:r>
    </w:p>
    <w:p>
      <w:pPr>
        <w:pStyle w:val="2"/>
        <w:keepNext w:val="0"/>
        <w:keepLines w:val="0"/>
        <w:pageBreakBefore w:val="0"/>
        <w:kinsoku/>
        <w:wordWrap/>
        <w:overflowPunct/>
        <w:topLinePunct w:val="0"/>
        <w:autoSpaceDE/>
        <w:autoSpaceDN/>
        <w:bidi w:val="0"/>
        <w:spacing w:line="520" w:lineRule="exact"/>
        <w:textAlignment w:val="auto"/>
        <w:rPr>
          <w:rFonts w:hint="eastAsia"/>
          <w:u w:val="none"/>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方正小标宋简体" w:hAnsi="宋体" w:eastAsia="方正小标宋简体"/>
          <w:sz w:val="44"/>
          <w:szCs w:val="44"/>
          <w:u w:val="none"/>
        </w:rPr>
      </w:pPr>
      <w:r>
        <w:rPr>
          <w:rFonts w:hint="eastAsia" w:ascii="方正小标宋简体" w:hAnsi="宋体" w:eastAsia="方正小标宋简体"/>
          <w:sz w:val="44"/>
          <w:szCs w:val="44"/>
          <w:u w:val="none"/>
        </w:rPr>
        <w:t>深圳市安全教育基地评定指引</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(征求意见稿）</w:t>
      </w:r>
    </w:p>
    <w:p>
      <w:pPr>
        <w:pStyle w:val="2"/>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u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646"/>
        <w:textAlignment w:val="auto"/>
        <w:outlineLvl w:val="9"/>
        <w:rPr>
          <w:rFonts w:hint="eastAsia" w:ascii="仿宋_GB2312" w:hAnsi="仿宋" w:eastAsia="仿宋_GB2312"/>
          <w:sz w:val="32"/>
          <w:szCs w:val="32"/>
          <w:u w:val="none"/>
          <w:lang w:eastAsia="zh-CN"/>
        </w:rPr>
      </w:pPr>
      <w:r>
        <w:rPr>
          <w:rFonts w:hint="eastAsia" w:ascii="仿宋_GB2312" w:hAnsi="仿宋" w:eastAsia="仿宋_GB2312"/>
          <w:sz w:val="32"/>
          <w:szCs w:val="32"/>
          <w:u w:val="none"/>
          <w:lang w:eastAsia="zh-CN"/>
        </w:rPr>
        <w:t>为贯彻落实中共中央办公厅、国务院办公厅《关于推进城市安全发展的意见》和国务院安委办《国家安全发展示范城市评价细则（2019版）》文件精神，进一步推动全市各级各类安全教育基地（含安全教育场馆、展馆、体验馆等，下同）建设，充分发挥安全教育基地宣传教育功能，</w:t>
      </w:r>
      <w:r>
        <w:rPr>
          <w:rFonts w:hint="eastAsia" w:ascii="仿宋_GB2312" w:hAnsi="仿宋"/>
          <w:sz w:val="32"/>
          <w:szCs w:val="32"/>
          <w:u w:val="none"/>
          <w:lang w:eastAsia="zh-CN"/>
        </w:rPr>
        <w:t>深圳市应急管理局</w:t>
      </w:r>
      <w:r>
        <w:rPr>
          <w:rFonts w:hint="eastAsia" w:ascii="仿宋_GB2312" w:hAnsi="仿宋" w:eastAsia="仿宋_GB2312"/>
          <w:sz w:val="32"/>
          <w:szCs w:val="32"/>
          <w:u w:val="none"/>
          <w:lang w:eastAsia="zh-CN"/>
        </w:rPr>
        <w:t>决定在全市范围内开展安全教育基地等级评定工作。为确保评定工作顺利开展，特制定本指引。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sz w:val="32"/>
          <w:szCs w:val="32"/>
          <w:u w:val="none"/>
        </w:rPr>
      </w:pPr>
      <w:r>
        <w:rPr>
          <w:rFonts w:hint="eastAsia" w:ascii="黑体" w:hAnsi="黑体" w:eastAsia="黑体"/>
          <w:sz w:val="32"/>
          <w:szCs w:val="32"/>
          <w:u w:val="none"/>
        </w:rPr>
        <w:t>一、</w:t>
      </w:r>
      <w:r>
        <w:rPr>
          <w:rFonts w:hint="eastAsia" w:ascii="黑体" w:hAnsi="黑体" w:eastAsia="黑体"/>
          <w:sz w:val="32"/>
          <w:szCs w:val="32"/>
          <w:u w:val="none"/>
          <w:lang w:eastAsia="zh-CN"/>
        </w:rPr>
        <w:t>评定目标</w:t>
      </w:r>
    </w:p>
    <w:p>
      <w:pPr>
        <w:keepNext w:val="0"/>
        <w:keepLines w:val="0"/>
        <w:pageBreakBefore w:val="0"/>
        <w:kinsoku/>
        <w:wordWrap/>
        <w:overflowPunct/>
        <w:topLinePunct w:val="0"/>
        <w:autoSpaceDE/>
        <w:autoSpaceDN/>
        <w:bidi w:val="0"/>
        <w:adjustRightInd/>
        <w:snapToGrid/>
        <w:spacing w:line="520" w:lineRule="exact"/>
        <w:ind w:firstLine="646"/>
        <w:textAlignment w:val="auto"/>
        <w:outlineLvl w:val="9"/>
        <w:rPr>
          <w:rFonts w:hint="eastAsia" w:ascii="楷体_GB2312" w:hAnsi="楷体_GB2312" w:eastAsia="楷体_GB2312" w:cs="楷体_GB2312"/>
          <w:b/>
          <w:bCs/>
          <w:sz w:val="32"/>
          <w:szCs w:val="32"/>
          <w:u w:val="none"/>
          <w:lang w:eastAsia="zh-CN"/>
        </w:rPr>
      </w:pPr>
      <w:r>
        <w:rPr>
          <w:rFonts w:hint="eastAsia" w:ascii="仿宋_GB2312" w:hAnsi="仿宋" w:eastAsia="仿宋_GB2312"/>
          <w:sz w:val="32"/>
          <w:szCs w:val="32"/>
          <w:u w:val="none"/>
          <w:lang w:eastAsia="zh-CN"/>
        </w:rPr>
        <w:t>支持和引导全市安全教育基地专业化、规范化发展，有效整合全市各级各类安全教育基地资源，着力提升安全教育基地发展质量，充分发挥安全教育基地普及安全知识、宣传安全理念、培养安全行为的功能，为广大市民和各行业各领域从业人员提供针对性、有效性、全方位的安全知识服务，增强全民安全意识和安全素养，进一步筑牢城市安全发展的基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黑体" w:hAnsi="黑体" w:eastAsia="黑体"/>
          <w:sz w:val="32"/>
          <w:szCs w:val="32"/>
          <w:u w:val="none"/>
        </w:rPr>
      </w:pPr>
      <w:r>
        <w:rPr>
          <w:rFonts w:hint="eastAsia" w:ascii="黑体" w:hAnsi="黑体" w:eastAsia="黑体"/>
          <w:sz w:val="32"/>
          <w:szCs w:val="32"/>
          <w:u w:val="none"/>
        </w:rPr>
        <w:t>二、评定</w:t>
      </w:r>
      <w:r>
        <w:rPr>
          <w:rFonts w:hint="eastAsia" w:ascii="黑体" w:hAnsi="黑体" w:eastAsia="黑体"/>
          <w:sz w:val="32"/>
          <w:szCs w:val="32"/>
          <w:u w:val="none"/>
          <w:lang w:eastAsia="zh-CN"/>
        </w:rPr>
        <w:t>范围和</w:t>
      </w:r>
      <w:r>
        <w:rPr>
          <w:rFonts w:hint="eastAsia" w:ascii="黑体" w:hAnsi="黑体" w:eastAsia="黑体"/>
          <w:sz w:val="32"/>
          <w:szCs w:val="32"/>
          <w:u w:val="none"/>
        </w:rPr>
        <w:t>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楷体_GB2312" w:hAnsi="仿宋" w:eastAsia="楷体_GB2312"/>
          <w:sz w:val="32"/>
          <w:szCs w:val="32"/>
          <w:u w:val="none"/>
        </w:rPr>
      </w:pPr>
      <w:r>
        <w:rPr>
          <w:rFonts w:hint="eastAsia" w:ascii="楷体_GB2312" w:hAnsi="仿宋" w:eastAsia="楷体_GB2312"/>
          <w:sz w:val="32"/>
          <w:szCs w:val="32"/>
          <w:u w:val="none"/>
        </w:rPr>
        <w:t>（一）申报范围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全市范围内正式对公众开放的安全教育</w:t>
      </w:r>
      <w:r>
        <w:rPr>
          <w:rFonts w:hint="eastAsia" w:ascii="仿宋_GB2312" w:hAnsi="仿宋"/>
          <w:sz w:val="32"/>
          <w:szCs w:val="32"/>
          <w:u w:val="none"/>
          <w:lang w:eastAsia="zh-CN"/>
        </w:rPr>
        <w:t>基地</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楷体_GB2312" w:hAnsi="仿宋" w:eastAsia="楷体_GB2312"/>
          <w:sz w:val="32"/>
          <w:szCs w:val="32"/>
          <w:u w:val="none"/>
        </w:rPr>
      </w:pPr>
      <w:r>
        <w:rPr>
          <w:rFonts w:hint="eastAsia" w:ascii="楷体_GB2312" w:hAnsi="仿宋" w:eastAsia="楷体_GB2312"/>
          <w:sz w:val="32"/>
          <w:szCs w:val="32"/>
          <w:u w:val="none"/>
        </w:rPr>
        <w:t>（二）申报程序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仿宋" w:eastAsia="仿宋_GB2312"/>
          <w:sz w:val="32"/>
          <w:szCs w:val="32"/>
          <w:u w:val="none"/>
        </w:rPr>
      </w:pPr>
      <w:r>
        <w:rPr>
          <w:rFonts w:hint="eastAsia" w:ascii="仿宋_GB2312" w:hAnsi="仿宋"/>
          <w:sz w:val="32"/>
          <w:szCs w:val="32"/>
          <w:u w:val="none"/>
          <w:lang w:val="en-US" w:eastAsia="zh-CN"/>
        </w:rPr>
        <w:t>各级各类</w:t>
      </w:r>
      <w:r>
        <w:rPr>
          <w:rFonts w:hint="eastAsia" w:ascii="仿宋_GB2312" w:hAnsi="仿宋" w:eastAsia="仿宋_GB2312"/>
          <w:sz w:val="32"/>
          <w:szCs w:val="32"/>
          <w:u w:val="none"/>
          <w:lang w:val="en-US" w:eastAsia="zh-CN"/>
        </w:rPr>
        <w:t>安全教育基地向</w:t>
      </w:r>
      <w:r>
        <w:rPr>
          <w:rFonts w:hint="eastAsia" w:ascii="仿宋_GB2312" w:hAnsi="仿宋"/>
          <w:sz w:val="32"/>
          <w:szCs w:val="32"/>
          <w:u w:val="none"/>
          <w:lang w:val="en-US" w:eastAsia="zh-CN"/>
        </w:rPr>
        <w:t>负有管理职责的</w:t>
      </w:r>
      <w:r>
        <w:rPr>
          <w:rFonts w:hint="eastAsia" w:ascii="仿宋_GB2312" w:hAnsi="仿宋" w:eastAsia="仿宋_GB2312"/>
          <w:sz w:val="32"/>
          <w:szCs w:val="32"/>
          <w:u w:val="none"/>
          <w:lang w:val="en-US" w:eastAsia="zh-CN"/>
        </w:rPr>
        <w:t>市安委会或区安委会成员单位</w:t>
      </w:r>
      <w:r>
        <w:rPr>
          <w:rFonts w:hint="eastAsia" w:ascii="仿宋_GB2312" w:hAnsi="仿宋"/>
          <w:sz w:val="32"/>
          <w:szCs w:val="32"/>
          <w:u w:val="none"/>
          <w:lang w:val="en-US" w:eastAsia="zh-CN"/>
        </w:rPr>
        <w:t>提交《</w:t>
      </w:r>
      <w:r>
        <w:rPr>
          <w:rFonts w:hint="eastAsia" w:ascii="仿宋_GB2312" w:hAnsi="仿宋" w:eastAsia="仿宋_GB2312"/>
          <w:sz w:val="32"/>
          <w:szCs w:val="32"/>
          <w:u w:val="none"/>
          <w:lang w:val="en-US" w:eastAsia="zh-CN"/>
        </w:rPr>
        <w:t>深圳市安全教育基地申报审核表</w:t>
      </w:r>
      <w:r>
        <w:rPr>
          <w:rFonts w:hint="eastAsia" w:ascii="仿宋_GB2312" w:hAnsi="仿宋"/>
          <w:sz w:val="32"/>
          <w:szCs w:val="32"/>
          <w:u w:val="none"/>
          <w:lang w:val="en-US" w:eastAsia="zh-CN"/>
        </w:rPr>
        <w:t>》，</w:t>
      </w:r>
      <w:r>
        <w:rPr>
          <w:rFonts w:hint="eastAsia" w:ascii="仿宋_GB2312" w:hAnsi="仿宋" w:eastAsia="仿宋_GB2312"/>
          <w:sz w:val="32"/>
          <w:szCs w:val="32"/>
          <w:u w:val="none"/>
          <w:lang w:val="en-US" w:eastAsia="zh-CN"/>
        </w:rPr>
        <w:t>市安委会或区安委会成员单位</w:t>
      </w:r>
      <w:r>
        <w:rPr>
          <w:rFonts w:hint="eastAsia" w:ascii="仿宋_GB2312" w:hAnsi="仿宋" w:eastAsia="仿宋_GB2312"/>
          <w:sz w:val="32"/>
          <w:szCs w:val="32"/>
          <w:u w:val="none"/>
        </w:rPr>
        <w:t>依据</w:t>
      </w:r>
      <w:r>
        <w:rPr>
          <w:rFonts w:hint="eastAsia" w:ascii="仿宋_GB2312" w:hAnsi="仿宋" w:eastAsia="仿宋_GB2312"/>
          <w:sz w:val="32"/>
          <w:szCs w:val="32"/>
          <w:u w:val="none"/>
          <w:lang w:eastAsia="zh-CN"/>
        </w:rPr>
        <w:t>本《指引》和</w:t>
      </w:r>
      <w:r>
        <w:rPr>
          <w:rFonts w:hint="eastAsia" w:ascii="仿宋_GB2312" w:hAnsi="仿宋" w:eastAsia="仿宋_GB2312"/>
          <w:sz w:val="32"/>
          <w:szCs w:val="32"/>
          <w:u w:val="none"/>
        </w:rPr>
        <w:t>《</w:t>
      </w:r>
      <w:r>
        <w:rPr>
          <w:rFonts w:hint="eastAsia" w:ascii="仿宋_GB2312" w:hAnsi="仿宋" w:eastAsia="仿宋_GB2312"/>
          <w:sz w:val="32"/>
          <w:szCs w:val="32"/>
          <w:u w:val="none"/>
          <w:lang w:val="en-US" w:eastAsia="zh-CN"/>
        </w:rPr>
        <w:t>深圳市安全教育基地评定等级分值表</w:t>
      </w:r>
      <w:r>
        <w:rPr>
          <w:rFonts w:hint="eastAsia" w:ascii="仿宋_GB2312" w:hAnsi="仿宋" w:eastAsia="仿宋_GB2312"/>
          <w:sz w:val="32"/>
          <w:szCs w:val="32"/>
          <w:u w:val="none"/>
        </w:rPr>
        <w:t>》，对</w:t>
      </w:r>
      <w:r>
        <w:rPr>
          <w:rFonts w:hint="eastAsia" w:ascii="仿宋_GB2312" w:hAnsi="仿宋"/>
          <w:sz w:val="32"/>
          <w:szCs w:val="32"/>
          <w:u w:val="none"/>
          <w:lang w:eastAsia="zh-CN"/>
        </w:rPr>
        <w:t>申报表</w:t>
      </w:r>
      <w:r>
        <w:rPr>
          <w:rFonts w:hint="eastAsia" w:ascii="仿宋_GB2312" w:hAnsi="仿宋" w:eastAsia="仿宋_GB2312"/>
          <w:sz w:val="32"/>
          <w:szCs w:val="32"/>
          <w:u w:val="none"/>
          <w:lang w:eastAsia="zh-CN"/>
        </w:rPr>
        <w:t>考核初评</w:t>
      </w:r>
      <w:r>
        <w:rPr>
          <w:rFonts w:hint="eastAsia" w:ascii="仿宋_GB2312" w:hAnsi="仿宋" w:eastAsia="仿宋_GB2312"/>
          <w:sz w:val="32"/>
          <w:szCs w:val="32"/>
          <w:u w:val="none"/>
        </w:rPr>
        <w:t>，</w:t>
      </w:r>
      <w:r>
        <w:rPr>
          <w:rFonts w:hint="eastAsia" w:ascii="仿宋_GB2312" w:hAnsi="仿宋" w:eastAsia="仿宋_GB2312"/>
          <w:sz w:val="32"/>
          <w:szCs w:val="32"/>
          <w:u w:val="none"/>
          <w:lang w:eastAsia="zh-CN"/>
        </w:rPr>
        <w:t>并</w:t>
      </w:r>
      <w:r>
        <w:rPr>
          <w:rFonts w:hint="eastAsia" w:ascii="仿宋_GB2312" w:hAnsi="仿宋" w:eastAsia="仿宋_GB2312"/>
          <w:sz w:val="32"/>
          <w:szCs w:val="32"/>
          <w:u w:val="none"/>
        </w:rPr>
        <w:t>向</w:t>
      </w:r>
      <w:r>
        <w:rPr>
          <w:rFonts w:hint="eastAsia" w:ascii="仿宋_GB2312" w:hAnsi="仿宋"/>
          <w:sz w:val="32"/>
          <w:szCs w:val="32"/>
          <w:u w:val="none"/>
          <w:lang w:eastAsia="zh-CN"/>
        </w:rPr>
        <w:t>深圳市应急管理局</w:t>
      </w:r>
      <w:r>
        <w:rPr>
          <w:rFonts w:hint="eastAsia" w:ascii="仿宋_GB2312" w:hAnsi="仿宋" w:eastAsia="仿宋_GB2312"/>
          <w:sz w:val="32"/>
          <w:szCs w:val="32"/>
          <w:u w:val="none"/>
        </w:rPr>
        <w:t>提交《深圳市安全教育基地申报审核表》。</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eastAsia="zh-CN"/>
        </w:rPr>
      </w:pPr>
      <w:r>
        <w:rPr>
          <w:rFonts w:hint="eastAsia" w:ascii="楷体_GB2312" w:hAnsi="仿宋" w:eastAsia="楷体_GB2312"/>
          <w:sz w:val="32"/>
          <w:szCs w:val="32"/>
          <w:u w:val="none"/>
          <w:lang w:eastAsia="zh-CN"/>
        </w:rPr>
        <w:t>资格审查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eastAsia="zh-CN"/>
        </w:rPr>
      </w:pPr>
      <w:r>
        <w:rPr>
          <w:rFonts w:hint="eastAsia" w:ascii="仿宋_GB2312" w:hAnsi="仿宋"/>
          <w:sz w:val="32"/>
          <w:szCs w:val="32"/>
          <w:u w:val="none"/>
          <w:lang w:eastAsia="zh-CN"/>
        </w:rPr>
        <w:t>深圳市应急管理局</w:t>
      </w:r>
      <w:r>
        <w:rPr>
          <w:rFonts w:hint="eastAsia" w:ascii="仿宋_GB2312" w:hAnsi="仿宋" w:eastAsia="仿宋_GB2312"/>
          <w:sz w:val="32"/>
          <w:szCs w:val="32"/>
          <w:u w:val="none"/>
          <w:lang w:eastAsia="zh-CN"/>
        </w:rPr>
        <w:t>对各申请单位提交的《</w:t>
      </w:r>
      <w:r>
        <w:rPr>
          <w:rFonts w:hint="eastAsia" w:ascii="仿宋_GB2312" w:hAnsi="仿宋" w:eastAsia="仿宋_GB2312"/>
          <w:sz w:val="32"/>
          <w:szCs w:val="32"/>
          <w:u w:val="none"/>
          <w:lang w:val="en-US" w:eastAsia="zh-CN"/>
        </w:rPr>
        <w:t>深圳市安全教育基地申报审核表</w:t>
      </w:r>
      <w:r>
        <w:rPr>
          <w:rFonts w:hint="eastAsia" w:ascii="仿宋_GB2312" w:hAnsi="仿宋" w:eastAsia="仿宋_GB2312"/>
          <w:sz w:val="32"/>
          <w:szCs w:val="32"/>
          <w:u w:val="none"/>
          <w:lang w:eastAsia="zh-CN"/>
        </w:rPr>
        <w:t>》的真实性、完整性和规范性进行审查，以确定申请单位的参评资格。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楷体_GB2312" w:hAnsi="仿宋" w:eastAsia="楷体_GB2312"/>
          <w:sz w:val="32"/>
          <w:szCs w:val="32"/>
          <w:u w:val="none"/>
        </w:rPr>
      </w:pPr>
      <w:r>
        <w:rPr>
          <w:rFonts w:hint="eastAsia" w:ascii="楷体_GB2312" w:hAnsi="仿宋" w:eastAsia="楷体_GB2312"/>
          <w:sz w:val="32"/>
          <w:szCs w:val="32"/>
          <w:u w:val="none"/>
        </w:rPr>
        <w:t>（</w:t>
      </w:r>
      <w:r>
        <w:rPr>
          <w:rFonts w:hint="eastAsia" w:ascii="楷体_GB2312" w:hAnsi="仿宋" w:eastAsia="楷体_GB2312"/>
          <w:sz w:val="32"/>
          <w:szCs w:val="32"/>
          <w:u w:val="none"/>
          <w:lang w:eastAsia="zh-CN"/>
        </w:rPr>
        <w:t>四</w:t>
      </w:r>
      <w:r>
        <w:rPr>
          <w:rFonts w:hint="eastAsia" w:ascii="楷体_GB2312" w:hAnsi="仿宋" w:eastAsia="楷体_GB2312"/>
          <w:sz w:val="32"/>
          <w:szCs w:val="32"/>
          <w:u w:val="none"/>
        </w:rPr>
        <w:t>）考核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仿宋" w:eastAsia="仿宋_GB2312"/>
          <w:sz w:val="32"/>
          <w:szCs w:val="32"/>
          <w:u w:val="none"/>
        </w:rPr>
      </w:pPr>
      <w:r>
        <w:rPr>
          <w:rFonts w:hint="eastAsia" w:ascii="仿宋_GB2312" w:hAnsi="仿宋"/>
          <w:sz w:val="32"/>
          <w:szCs w:val="32"/>
          <w:u w:val="none"/>
          <w:lang w:eastAsia="zh-CN"/>
        </w:rPr>
        <w:t>深圳市应急管理局</w:t>
      </w:r>
      <w:r>
        <w:rPr>
          <w:rFonts w:hint="eastAsia" w:ascii="仿宋_GB2312" w:hAnsi="仿宋" w:eastAsia="仿宋_GB2312"/>
          <w:sz w:val="32"/>
          <w:szCs w:val="32"/>
          <w:u w:val="none"/>
        </w:rPr>
        <w:t>将邀请相关专家组成考核组，</w:t>
      </w:r>
      <w:r>
        <w:rPr>
          <w:rFonts w:hint="eastAsia" w:ascii="仿宋_GB2312" w:hAnsi="仿宋" w:eastAsia="仿宋_GB2312"/>
          <w:sz w:val="32"/>
          <w:szCs w:val="32"/>
          <w:u w:val="none"/>
          <w:lang w:eastAsia="zh-CN"/>
        </w:rPr>
        <w:t>依据</w:t>
      </w:r>
      <w:r>
        <w:rPr>
          <w:rFonts w:hint="eastAsia" w:ascii="仿宋_GB2312" w:hAnsi="仿宋" w:eastAsia="仿宋_GB2312"/>
          <w:sz w:val="32"/>
          <w:szCs w:val="32"/>
          <w:u w:val="none"/>
        </w:rPr>
        <w:t>《</w:t>
      </w:r>
      <w:r>
        <w:rPr>
          <w:rFonts w:hint="eastAsia" w:ascii="仿宋_GB2312" w:hAnsi="仿宋" w:eastAsia="仿宋_GB2312"/>
          <w:sz w:val="32"/>
          <w:szCs w:val="32"/>
          <w:u w:val="none"/>
          <w:lang w:val="en-US" w:eastAsia="zh-CN"/>
        </w:rPr>
        <w:t>深圳市安全教育基地评定等级分值表</w:t>
      </w:r>
      <w:r>
        <w:rPr>
          <w:rFonts w:hint="eastAsia" w:ascii="仿宋_GB2312" w:hAnsi="仿宋" w:eastAsia="仿宋_GB2312"/>
          <w:sz w:val="32"/>
          <w:szCs w:val="32"/>
          <w:u w:val="none"/>
        </w:rPr>
        <w:t>》对参评基地进行实地考核，</w:t>
      </w:r>
      <w:r>
        <w:rPr>
          <w:rFonts w:hint="eastAsia" w:ascii="仿宋_GB2312" w:hAnsi="仿宋" w:eastAsia="仿宋_GB2312"/>
          <w:sz w:val="32"/>
          <w:szCs w:val="32"/>
          <w:u w:val="none"/>
          <w:lang w:eastAsia="zh-CN"/>
        </w:rPr>
        <w:t>采取百分制提出考核等级评定意见</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楷体_GB2312" w:hAnsi="仿宋" w:eastAsia="楷体_GB2312"/>
          <w:sz w:val="32"/>
          <w:szCs w:val="32"/>
          <w:u w:val="none"/>
        </w:rPr>
      </w:pPr>
      <w:r>
        <w:rPr>
          <w:rFonts w:hint="eastAsia" w:ascii="楷体_GB2312" w:hAnsi="仿宋" w:eastAsia="楷体_GB2312"/>
          <w:sz w:val="32"/>
          <w:szCs w:val="32"/>
          <w:u w:val="none"/>
        </w:rPr>
        <w:t>（</w:t>
      </w:r>
      <w:r>
        <w:rPr>
          <w:rFonts w:hint="eastAsia" w:ascii="楷体_GB2312" w:hAnsi="仿宋" w:eastAsia="楷体_GB2312"/>
          <w:sz w:val="32"/>
          <w:szCs w:val="32"/>
          <w:u w:val="none"/>
          <w:lang w:eastAsia="zh-CN"/>
        </w:rPr>
        <w:t>五</w:t>
      </w:r>
      <w:r>
        <w:rPr>
          <w:rFonts w:hint="eastAsia" w:ascii="楷体_GB2312" w:hAnsi="仿宋" w:eastAsia="楷体_GB2312"/>
          <w:sz w:val="32"/>
          <w:szCs w:val="32"/>
          <w:u w:val="none"/>
        </w:rPr>
        <w:t>）公示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仿宋" w:eastAsia="仿宋_GB2312"/>
          <w:sz w:val="32"/>
          <w:szCs w:val="32"/>
          <w:u w:val="none"/>
        </w:rPr>
      </w:pPr>
      <w:r>
        <w:rPr>
          <w:rFonts w:hint="eastAsia" w:ascii="仿宋_GB2312" w:hAnsi="仿宋"/>
          <w:sz w:val="32"/>
          <w:szCs w:val="32"/>
          <w:u w:val="none"/>
          <w:lang w:eastAsia="zh-CN"/>
        </w:rPr>
        <w:t>深圳市应急管理局</w:t>
      </w:r>
      <w:r>
        <w:rPr>
          <w:rFonts w:hint="eastAsia" w:ascii="仿宋_GB2312" w:hAnsi="仿宋" w:eastAsia="仿宋_GB2312"/>
          <w:sz w:val="32"/>
          <w:szCs w:val="32"/>
          <w:u w:val="none"/>
          <w:lang w:eastAsia="zh-CN"/>
        </w:rPr>
        <w:t>将安全教育基地评定结果在深圳市应急管理局门户网站上向社会公示，公示期为</w:t>
      </w:r>
      <w:r>
        <w:rPr>
          <w:rFonts w:hint="eastAsia" w:ascii="仿宋_GB2312" w:hAnsi="仿宋" w:eastAsia="仿宋_GB2312"/>
          <w:sz w:val="32"/>
          <w:szCs w:val="32"/>
          <w:u w:val="none"/>
          <w:lang w:val="en-US" w:eastAsia="zh-CN"/>
        </w:rPr>
        <w:t>3个工作日。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rPr>
      </w:pPr>
      <w:r>
        <w:rPr>
          <w:rFonts w:hint="eastAsia" w:ascii="楷体_GB2312" w:hAnsi="仿宋" w:eastAsia="楷体_GB2312"/>
          <w:sz w:val="32"/>
          <w:szCs w:val="32"/>
          <w:u w:val="none"/>
        </w:rPr>
        <w:t>（</w:t>
      </w:r>
      <w:r>
        <w:rPr>
          <w:rFonts w:hint="eastAsia" w:ascii="楷体_GB2312" w:hAnsi="仿宋" w:eastAsia="楷体_GB2312"/>
          <w:sz w:val="32"/>
          <w:szCs w:val="32"/>
          <w:u w:val="none"/>
          <w:lang w:eastAsia="zh-CN"/>
        </w:rPr>
        <w:t>六</w:t>
      </w:r>
      <w:r>
        <w:rPr>
          <w:rFonts w:hint="eastAsia" w:ascii="楷体_GB2312" w:hAnsi="仿宋" w:eastAsia="楷体_GB2312"/>
          <w:sz w:val="32"/>
          <w:szCs w:val="32"/>
          <w:u w:val="none"/>
        </w:rPr>
        <w:t>）授牌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公示无异议后，</w:t>
      </w:r>
      <w:r>
        <w:rPr>
          <w:rFonts w:hint="eastAsia" w:ascii="仿宋_GB2312" w:hAnsi="仿宋"/>
          <w:sz w:val="32"/>
          <w:szCs w:val="32"/>
          <w:u w:val="none"/>
          <w:lang w:eastAsia="zh-CN"/>
        </w:rPr>
        <w:t>深圳市应急管理局</w:t>
      </w:r>
      <w:r>
        <w:rPr>
          <w:rFonts w:hint="eastAsia" w:ascii="仿宋_GB2312" w:hAnsi="仿宋" w:eastAsia="仿宋_GB2312"/>
          <w:sz w:val="32"/>
          <w:szCs w:val="32"/>
          <w:u w:val="none"/>
          <w:lang w:eastAsia="zh-CN"/>
        </w:rPr>
        <w:t>对获得</w:t>
      </w:r>
      <w:r>
        <w:rPr>
          <w:rFonts w:hint="eastAsia" w:ascii="仿宋_GB2312" w:hAnsi="仿宋" w:eastAsia="仿宋_GB2312"/>
          <w:sz w:val="32"/>
          <w:szCs w:val="32"/>
          <w:u w:val="none"/>
          <w:lang w:val="en-US" w:eastAsia="zh-CN"/>
        </w:rPr>
        <w:t>等级评定</w:t>
      </w:r>
      <w:r>
        <w:rPr>
          <w:rFonts w:hint="eastAsia" w:ascii="仿宋_GB2312" w:hAnsi="仿宋" w:eastAsia="仿宋_GB2312"/>
          <w:sz w:val="32"/>
          <w:szCs w:val="32"/>
          <w:u w:val="none"/>
          <w:lang w:eastAsia="zh-CN"/>
        </w:rPr>
        <w:t>的安全教育基地予以授牌。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sz w:val="32"/>
          <w:szCs w:val="32"/>
          <w:u w:val="none"/>
          <w:lang w:eastAsia="zh-CN"/>
        </w:rPr>
      </w:pPr>
      <w:r>
        <w:rPr>
          <w:rFonts w:hint="eastAsia" w:ascii="黑体" w:hAnsi="黑体" w:eastAsia="黑体"/>
          <w:sz w:val="32"/>
          <w:szCs w:val="32"/>
          <w:u w:val="none"/>
        </w:rPr>
        <w:t>三、</w:t>
      </w:r>
      <w:r>
        <w:rPr>
          <w:rFonts w:hint="eastAsia" w:ascii="黑体" w:hAnsi="黑体" w:eastAsia="黑体"/>
          <w:sz w:val="32"/>
          <w:szCs w:val="32"/>
          <w:u w:val="none"/>
          <w:lang w:eastAsia="zh-CN"/>
        </w:rPr>
        <w:t>评定规则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（一）评定标准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1.场馆条件（14分）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（1）区分市级安全教育基地、区级安全教育基地、街道及社区级安全教育基地</w:t>
      </w:r>
      <w:r>
        <w:rPr>
          <w:rFonts w:hint="eastAsia" w:ascii="宋体" w:hAnsi="宋体" w:cs="宋体"/>
          <w:sz w:val="32"/>
          <w:szCs w:val="32"/>
          <w:u w:val="none"/>
          <w:lang w:val="en-US" w:eastAsia="zh-CN"/>
        </w:rPr>
        <w:t>、</w:t>
      </w:r>
      <w:r>
        <w:rPr>
          <w:rFonts w:hint="eastAsia" w:ascii="仿宋_GB2312" w:hAnsi="仿宋" w:eastAsia="仿宋_GB2312"/>
          <w:sz w:val="32"/>
          <w:szCs w:val="32"/>
          <w:u w:val="none"/>
          <w:lang w:val="en-US" w:eastAsia="zh-CN"/>
        </w:rPr>
        <w:t>专业性安全教育基地、移动式安全教育基地等不同类型，根据场馆面积获得相应分值。（6分）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（2）各级各类安全教育基地应灵活设置场馆主题空间、宣教培训空间、公共活动空间、辅助空间（办公、仓储、设备等）等区域，空间规划应具有系统性、灵活性。（4分）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楷体_GB2312" w:eastAsia="楷体_GB2312" w:cs="楷体_GB2312"/>
          <w:sz w:val="32"/>
          <w:szCs w:val="32"/>
          <w:u w:val="none"/>
          <w:lang w:val="en-US" w:eastAsia="zh-CN"/>
        </w:rPr>
      </w:pPr>
      <w:r>
        <w:rPr>
          <w:rFonts w:hint="eastAsia" w:ascii="仿宋_GB2312" w:hAnsi="仿宋" w:eastAsia="仿宋_GB2312"/>
          <w:sz w:val="32"/>
          <w:szCs w:val="32"/>
          <w:u w:val="none"/>
          <w:lang w:val="en-US" w:eastAsia="zh-CN"/>
        </w:rPr>
        <w:t>（3）各级各类安全教育基地根据功能区域需要配置相应智能系统，主要涉及基础运行网络、计算机应用、模拟体验、3D互动、远程加载、升级管理、音视频资源管理等。（4分）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b/>
          <w:sz w:val="32"/>
          <w:szCs w:val="32"/>
          <w:u w:val="none"/>
          <w:lang w:val="en-US" w:eastAsia="zh-CN"/>
        </w:rPr>
      </w:pPr>
      <w:r>
        <w:rPr>
          <w:rFonts w:hint="eastAsia" w:ascii="楷体_GB2312" w:hAnsi="仿宋" w:eastAsia="楷体_GB2312"/>
          <w:sz w:val="32"/>
          <w:szCs w:val="32"/>
          <w:u w:val="none"/>
          <w:lang w:val="en-US" w:eastAsia="zh-CN"/>
        </w:rPr>
        <w:t>2.场馆主题（10分）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市级安全教育基地应涵盖公共安全知识、认识灾害、感受灾害、体验灾害等方面主题；区级安全教育基地主题应紧扣本区国民经济发展、产业布局及特点、应急管理、安全生产和防灾减灾救灾实际需要；街道及社区级安全教育基地的主题应凸显认识灾害、感受灾害并结合本社区应急避难场所规划，展示内容科学准确、切合主题、突出重点。</w:t>
      </w:r>
      <w:r>
        <w:rPr>
          <w:rFonts w:hint="eastAsia" w:ascii="楷体_GB2312" w:hAnsi="仿宋" w:eastAsia="楷体_GB2312"/>
          <w:sz w:val="32"/>
          <w:szCs w:val="32"/>
          <w:u w:val="none"/>
          <w:lang w:val="en-US" w:eastAsia="zh-CN"/>
        </w:rPr>
        <w:t>（5分）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（5）专业性及特色安全教育基地应以区域、行业领域的风险为重点，面向特定对象，侧重于宣传教育内容的针对性。</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b/>
          <w:sz w:val="32"/>
          <w:szCs w:val="32"/>
          <w:u w:val="none"/>
          <w:lang w:val="en-US" w:eastAsia="zh-CN"/>
        </w:rPr>
      </w:pPr>
      <w:r>
        <w:rPr>
          <w:rFonts w:hint="eastAsia" w:ascii="仿宋_GB2312" w:hAnsi="仿宋" w:eastAsia="仿宋_GB2312"/>
          <w:sz w:val="32"/>
          <w:szCs w:val="32"/>
          <w:u w:val="none"/>
          <w:lang w:val="en-US" w:eastAsia="zh-CN"/>
        </w:rPr>
        <w:t>（6）综合性安全教育基地应根据城市公共安全隐患、易发多发类自然灾害、工矿商贸企业类型、受众群体等不同特点，普及涵盖安全生产、消防安全、食品安全、危险化学品、用电安全、交通安全等板块的综合性安全知识和常见的事故隐患，面向市民、企业从业人员和中小学生等群体，提升不同受众的安全生产、应急管理、防灾减灾救灾的意识和技能水平。</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专业性及特色安全教育基地、综合性安全教育基地分类评分，本项共5分。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3.运营团队（14分）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7）各级各类安全教育基地需配有面向中小学生、普通市民、各行业从业人员等不同群体的专业讲解团队，团队每名成员需取得至少一项专业资质（救护员证、安全生产管理证、AHA学员证等，但不限于以上列举的3类资格证）；配有持证（急救、医疗等相关资质及证件均可）救护人员；配有专业物业管理人员。（14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4.宣传推广（16分）</w:t>
      </w:r>
    </w:p>
    <w:p>
      <w:pPr>
        <w:pStyle w:val="9"/>
        <w:keepNext w:val="0"/>
        <w:keepLines w:val="0"/>
        <w:pageBreakBefore w:val="0"/>
        <w:kinsoku/>
        <w:wordWrap/>
        <w:overflowPunct/>
        <w:topLinePunct w:val="0"/>
        <w:autoSpaceDE/>
        <w:autoSpaceDN/>
        <w:bidi w:val="0"/>
        <w:adjustRightInd/>
        <w:snapToGrid/>
        <w:spacing w:line="520" w:lineRule="exact"/>
        <w:ind w:firstLine="560"/>
        <w:textAlignment w:val="auto"/>
        <w:outlineLvl w:val="9"/>
        <w:rPr>
          <w:rFonts w:hint="eastAsia" w:ascii="仿宋_GB2312" w:hAnsi="仿宋" w:eastAsia="仿宋_GB2312" w:cs="Times New Roman"/>
          <w:kern w:val="2"/>
          <w:sz w:val="32"/>
          <w:szCs w:val="32"/>
          <w:u w:val="none"/>
          <w:lang w:val="en-US" w:eastAsia="zh-CN" w:bidi="ar-SA"/>
        </w:rPr>
      </w:pPr>
      <w:r>
        <w:rPr>
          <w:rFonts w:hint="eastAsia" w:ascii="仿宋_GB2312" w:hAnsi="仿宋" w:eastAsia="仿宋_GB2312" w:cs="Times New Roman"/>
          <w:kern w:val="2"/>
          <w:sz w:val="32"/>
          <w:szCs w:val="32"/>
          <w:u w:val="none"/>
          <w:lang w:val="en-US" w:eastAsia="zh-CN" w:bidi="ar-SA"/>
        </w:rPr>
        <w:t>（8）通过安全文化墙、展</w:t>
      </w:r>
      <w:r>
        <w:rPr>
          <w:rFonts w:hint="eastAsia" w:ascii="仿宋_GB2312" w:hAnsi="仿宋" w:eastAsia="仿宋_GB2312"/>
          <w:sz w:val="32"/>
          <w:szCs w:val="32"/>
          <w:u w:val="none"/>
          <w:lang w:val="en-US" w:eastAsia="zh-CN"/>
        </w:rPr>
        <w:t>览板、线下体验馆等</w:t>
      </w:r>
      <w:r>
        <w:rPr>
          <w:rFonts w:hint="eastAsia" w:ascii="仿宋_GB2312" w:hAnsi="仿宋" w:eastAsia="仿宋_GB2312" w:cs="Times New Roman"/>
          <w:kern w:val="2"/>
          <w:sz w:val="32"/>
          <w:szCs w:val="32"/>
          <w:u w:val="none"/>
          <w:lang w:val="en-US" w:eastAsia="zh-CN" w:bidi="ar-SA"/>
        </w:rPr>
        <w:t>多种渠道开展安全宣传教育，营造出浓厚的氛围，具有创新性、示范性和引领性。</w:t>
      </w:r>
      <w:r>
        <w:rPr>
          <w:rFonts w:hint="eastAsia" w:ascii="楷体_GB2312" w:hAnsi="仿宋" w:eastAsia="楷体_GB2312" w:cs="Times New Roman"/>
          <w:kern w:val="2"/>
          <w:sz w:val="32"/>
          <w:szCs w:val="32"/>
          <w:u w:val="none"/>
          <w:lang w:val="en-US" w:eastAsia="zh-CN" w:bidi="ar-SA"/>
        </w:rPr>
        <w:t>（12分）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cs="Times New Roman"/>
          <w:kern w:val="2"/>
          <w:sz w:val="32"/>
          <w:szCs w:val="32"/>
          <w:u w:val="none"/>
          <w:lang w:val="en-US" w:eastAsia="zh-CN" w:bidi="ar-SA"/>
        </w:rPr>
        <w:t>（9）</w:t>
      </w:r>
      <w:r>
        <w:rPr>
          <w:rFonts w:hint="eastAsia" w:ascii="仿宋_GB2312" w:hAnsi="仿宋" w:eastAsia="仿宋_GB2312"/>
          <w:sz w:val="32"/>
          <w:szCs w:val="32"/>
          <w:u w:val="none"/>
          <w:lang w:val="en-US" w:eastAsia="zh-CN"/>
        </w:rPr>
        <w:t>丰富宣传载体，借助线上各类平台，开展安全知识公益讲座、线上科普、线上参观等各类宣传活动，扩大安全教育受众群体，便于市民群众随时随地学习安全知识。（4分）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5.参观培训（8分）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仿宋_GB2312" w:hAnsi="仿宋" w:eastAsia="仿宋_GB2312" w:cs="Times New Roman"/>
          <w:kern w:val="2"/>
          <w:sz w:val="32"/>
          <w:szCs w:val="32"/>
          <w:u w:val="none"/>
          <w:lang w:val="en-US" w:eastAsia="zh-CN" w:bidi="ar-SA"/>
        </w:rPr>
        <w:t>（10）</w:t>
      </w:r>
      <w:r>
        <w:rPr>
          <w:rFonts w:hint="eastAsia" w:ascii="仿宋_GB2312" w:hAnsi="仿宋" w:eastAsia="仿宋_GB2312"/>
          <w:sz w:val="32"/>
          <w:szCs w:val="32"/>
          <w:u w:val="none"/>
          <w:lang w:val="en-US" w:eastAsia="zh-CN"/>
        </w:rPr>
        <w:t>每年到基地参观体验、参加基地组织的场馆外活动、通过线上参观安全教育基地、观看基地在线上设置的安全知识培训课程的人次等均纳入每年到基地参观培训总人次中，其中市级安全教育基地、区级安全教育基地、街道及社区级安全教育基地、专业性安全教育基地、移动式安全教育基地等各级各类基地，根据每年到基地参观培训总人次获得对应分值。（8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6.便民服务（8分）</w:t>
      </w:r>
    </w:p>
    <w:p>
      <w:pPr>
        <w:keepNext w:val="0"/>
        <w:keepLines w:val="0"/>
        <w:pageBreakBefore w:val="0"/>
        <w:kinsoku/>
        <w:wordWrap/>
        <w:overflowPunct/>
        <w:topLinePunct w:val="0"/>
        <w:autoSpaceDE/>
        <w:autoSpaceDN/>
        <w:bidi w:val="0"/>
        <w:adjustRightInd/>
        <w:snapToGrid/>
        <w:spacing w:line="520" w:lineRule="exact"/>
        <w:ind w:firstLine="560"/>
        <w:textAlignment w:val="auto"/>
        <w:outlineLvl w:val="9"/>
        <w:rPr>
          <w:rFonts w:hint="eastAsia" w:ascii="楷体_GB2312" w:hAnsi="仿宋" w:eastAsia="楷体_GB2312"/>
          <w:sz w:val="32"/>
          <w:szCs w:val="32"/>
          <w:u w:val="none"/>
          <w:lang w:val="en-US" w:eastAsia="zh-CN"/>
        </w:rPr>
      </w:pPr>
      <w:r>
        <w:rPr>
          <w:rFonts w:hint="eastAsia" w:ascii="仿宋_GB2312" w:hAnsi="仿宋" w:eastAsia="仿宋_GB2312" w:cs="Times New Roman"/>
          <w:kern w:val="2"/>
          <w:sz w:val="32"/>
          <w:szCs w:val="32"/>
          <w:u w:val="none"/>
          <w:lang w:val="en-US" w:eastAsia="zh-CN" w:bidi="ar-SA"/>
        </w:rPr>
        <w:t>（11）以为民、便民、利民为服务宗旨，围绕方便市民、中小学生和各行业各领域从业人员等不同群体到基地参观培训、学习安全知识和技能，而提供一系列</w:t>
      </w:r>
      <w:r>
        <w:rPr>
          <w:rFonts w:hint="eastAsia" w:ascii="仿宋_GB2312" w:hAnsi="仿宋" w:eastAsia="仿宋_GB2312"/>
          <w:sz w:val="32"/>
          <w:szCs w:val="32"/>
          <w:u w:val="none"/>
          <w:lang w:val="en-US" w:eastAsia="zh-CN"/>
        </w:rPr>
        <w:t>便民服务。（8分）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7.服务质量（4分）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楷体_GB2312" w:eastAsia="楷体_GB2312" w:cs="楷体_GB2312"/>
          <w:b w:val="0"/>
          <w:bCs/>
          <w:sz w:val="32"/>
          <w:szCs w:val="32"/>
          <w:u w:val="none"/>
          <w:lang w:val="en-US" w:eastAsia="zh-CN"/>
        </w:rPr>
      </w:pPr>
      <w:r>
        <w:rPr>
          <w:rFonts w:hint="eastAsia" w:ascii="仿宋_GB2312" w:hAnsi="仿宋" w:eastAsia="仿宋_GB2312" w:cs="Times New Roman"/>
          <w:kern w:val="2"/>
          <w:sz w:val="32"/>
          <w:szCs w:val="32"/>
          <w:u w:val="none"/>
          <w:lang w:val="en-US" w:eastAsia="zh-CN" w:bidi="ar-SA"/>
        </w:rPr>
        <w:t>（12）</w:t>
      </w:r>
      <w:r>
        <w:rPr>
          <w:rFonts w:hint="eastAsia" w:ascii="仿宋_GB2312" w:hAnsi="仿宋" w:eastAsia="仿宋_GB2312"/>
          <w:sz w:val="32"/>
          <w:szCs w:val="32"/>
          <w:u w:val="none"/>
          <w:lang w:val="en-US" w:eastAsia="zh-CN"/>
        </w:rPr>
        <w:t>制定了健全的接待服务制度，接待信息记录完整，每季度通过随机发放调查问卷方式，获取参观者对安全教育基地讲解质量、服务、体验感等方面的整体评价，有效回收调查问卷不少于100份，且满意率达90%及以上获得满分，单月被投诉3次以上则不得分。（4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8.配套管理（8分）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仿宋_GB2312" w:hAnsi="仿宋" w:eastAsia="仿宋_GB2312" w:cs="Times New Roman"/>
          <w:kern w:val="2"/>
          <w:sz w:val="32"/>
          <w:szCs w:val="32"/>
          <w:u w:val="none"/>
          <w:lang w:val="en-US" w:eastAsia="zh-CN" w:bidi="ar-SA"/>
        </w:rPr>
        <w:t>（13）</w:t>
      </w:r>
      <w:r>
        <w:rPr>
          <w:rFonts w:hint="eastAsia" w:ascii="仿宋_GB2312" w:hAnsi="仿宋" w:eastAsia="仿宋_GB2312"/>
          <w:sz w:val="32"/>
          <w:szCs w:val="32"/>
          <w:u w:val="none"/>
          <w:lang w:val="en-US" w:eastAsia="zh-CN"/>
        </w:rPr>
        <w:t>监控设备完备，监控影像资料保存不少于30天；消防控制及火灾报警系统完备；内部运营管理制度健全，内部机构设置合理；基地设备设施维护台账、各类宣传活动台账、宣教产品投入台账等各类档案完备。（8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9.安全保障（8分）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cs="Times New Roman"/>
          <w:kern w:val="2"/>
          <w:sz w:val="32"/>
          <w:szCs w:val="32"/>
          <w:u w:val="none"/>
          <w:lang w:val="en-US" w:eastAsia="zh-CN" w:bidi="ar-SA"/>
        </w:rPr>
      </w:pPr>
      <w:r>
        <w:rPr>
          <w:rFonts w:hint="eastAsia" w:ascii="仿宋_GB2312" w:hAnsi="仿宋" w:eastAsia="仿宋_GB2312" w:cs="Times New Roman"/>
          <w:kern w:val="2"/>
          <w:sz w:val="32"/>
          <w:szCs w:val="32"/>
          <w:u w:val="none"/>
          <w:lang w:val="en-US" w:eastAsia="zh-CN" w:bidi="ar-SA"/>
        </w:rPr>
        <w:t>（14）制定合理的安全教育基地安全生产管理体系；制定适合安全教育基地的应急预案，配有安全保卫人员，并定期开展演练；场馆安全标识规范，消防逃生通道畅通；未发生过安全责任事故。</w:t>
      </w:r>
      <w:r>
        <w:rPr>
          <w:rFonts w:hint="eastAsia" w:ascii="楷体_GB2312" w:hAnsi="仿宋" w:eastAsia="楷体_GB2312"/>
          <w:sz w:val="32"/>
          <w:szCs w:val="32"/>
          <w:u w:val="none"/>
          <w:lang w:val="en-US" w:eastAsia="zh-CN"/>
        </w:rPr>
        <w:t>（8分）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10.争优创先（10分）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cs="Times New Roman"/>
          <w:kern w:val="2"/>
          <w:sz w:val="32"/>
          <w:szCs w:val="32"/>
          <w:u w:val="none"/>
          <w:lang w:val="en-US" w:eastAsia="zh-CN" w:bidi="ar-SA"/>
        </w:rPr>
        <w:t>（15）</w:t>
      </w:r>
      <w:r>
        <w:rPr>
          <w:rFonts w:hint="eastAsia" w:ascii="仿宋_GB2312" w:hAnsi="仿宋" w:eastAsia="仿宋_GB2312"/>
          <w:sz w:val="32"/>
          <w:szCs w:val="32"/>
          <w:u w:val="none"/>
          <w:lang w:val="en-US" w:eastAsia="zh-CN"/>
        </w:rPr>
        <w:t>积极参加全国、省、市各类科普宣传、法制宣传、安全教育等基地评选或各类安全知识宣教竞赛，加强与不同领域安全教育基地的交流合作，锻炼讲解团队业务能力，提升基地服务水平，扩大社会影响力。</w:t>
      </w:r>
      <w:r>
        <w:rPr>
          <w:rFonts w:hint="eastAsia" w:ascii="楷体_GB2312" w:hAnsi="仿宋" w:eastAsia="楷体_GB2312"/>
          <w:sz w:val="32"/>
          <w:szCs w:val="32"/>
          <w:u w:val="none"/>
          <w:lang w:val="en-US" w:eastAsia="zh-CN"/>
        </w:rPr>
        <w:t>（10分）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（二）级别评定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eastAsia="zh-CN"/>
        </w:rPr>
      </w:pPr>
      <w:r>
        <w:rPr>
          <w:rFonts w:hint="eastAsia" w:ascii="仿宋_GB2312" w:hAnsi="仿宋" w:eastAsia="仿宋_GB2312"/>
          <w:sz w:val="32"/>
          <w:szCs w:val="32"/>
          <w:u w:val="none"/>
        </w:rPr>
        <w:t>总分值为100分。得分为90分以上（含90分）的基地评定为一级安全教育基地；得分为80分以上（含80分）、90分以下的基地评定为二级安全教育基地；得分为70分以上（含70分）、80分以下的安全教育基地评定为三级安全教育基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（三）级别调整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rPr>
        <w:t>为</w:t>
      </w:r>
      <w:r>
        <w:rPr>
          <w:rFonts w:hint="eastAsia" w:ascii="仿宋_GB2312" w:hAnsi="仿宋" w:eastAsia="仿宋_GB2312"/>
          <w:sz w:val="32"/>
          <w:szCs w:val="32"/>
          <w:u w:val="none"/>
          <w:lang w:eastAsia="zh-CN"/>
        </w:rPr>
        <w:t>提升安全教育基地建设水平，</w:t>
      </w:r>
      <w:r>
        <w:rPr>
          <w:rFonts w:hint="eastAsia" w:ascii="仿宋_GB2312" w:hAnsi="仿宋"/>
          <w:sz w:val="32"/>
          <w:szCs w:val="32"/>
          <w:u w:val="none"/>
          <w:lang w:eastAsia="zh-CN"/>
        </w:rPr>
        <w:t>深圳</w:t>
      </w:r>
      <w:r>
        <w:rPr>
          <w:rFonts w:hint="eastAsia" w:ascii="仿宋_GB2312" w:hAnsi="仿宋" w:eastAsia="仿宋_GB2312"/>
          <w:sz w:val="32"/>
          <w:szCs w:val="32"/>
          <w:u w:val="none"/>
        </w:rPr>
        <w:t>市</w:t>
      </w:r>
      <w:r>
        <w:rPr>
          <w:rFonts w:hint="eastAsia" w:ascii="仿宋_GB2312" w:hAnsi="仿宋"/>
          <w:sz w:val="32"/>
          <w:szCs w:val="32"/>
          <w:u w:val="none"/>
          <w:lang w:eastAsia="zh-CN"/>
        </w:rPr>
        <w:t>应急管理局</w:t>
      </w:r>
      <w:r>
        <w:rPr>
          <w:rFonts w:hint="eastAsia" w:ascii="仿宋_GB2312" w:hAnsi="仿宋" w:eastAsia="仿宋_GB2312"/>
          <w:sz w:val="32"/>
          <w:szCs w:val="32"/>
          <w:u w:val="none"/>
          <w:lang w:eastAsia="zh-CN"/>
        </w:rPr>
        <w:t>将每</w:t>
      </w:r>
      <w:r>
        <w:rPr>
          <w:rFonts w:hint="eastAsia" w:ascii="仿宋_GB2312" w:hAnsi="仿宋" w:eastAsia="仿宋_GB2312"/>
          <w:sz w:val="32"/>
          <w:szCs w:val="32"/>
          <w:u w:val="none"/>
          <w:lang w:val="en-US" w:eastAsia="zh-CN"/>
        </w:rPr>
        <w:t>两年</w:t>
      </w:r>
      <w:r>
        <w:rPr>
          <w:rFonts w:hint="eastAsia" w:ascii="仿宋_GB2312" w:hAnsi="仿宋" w:eastAsia="仿宋_GB2312"/>
          <w:sz w:val="32"/>
          <w:szCs w:val="32"/>
          <w:u w:val="none"/>
          <w:lang w:eastAsia="zh-CN"/>
        </w:rPr>
        <w:t>对</w:t>
      </w:r>
      <w:r>
        <w:rPr>
          <w:rFonts w:hint="eastAsia" w:ascii="仿宋_GB2312" w:hAnsi="仿宋" w:eastAsia="仿宋_GB2312"/>
          <w:sz w:val="32"/>
          <w:szCs w:val="32"/>
          <w:u w:val="none"/>
          <w:lang w:val="en-US" w:eastAsia="zh-CN"/>
        </w:rPr>
        <w:t>已获得相应级别的</w:t>
      </w:r>
      <w:r>
        <w:rPr>
          <w:rFonts w:hint="eastAsia" w:ascii="仿宋_GB2312" w:hAnsi="仿宋" w:eastAsia="仿宋_GB2312"/>
          <w:sz w:val="32"/>
          <w:szCs w:val="32"/>
          <w:u w:val="none"/>
          <w:lang w:eastAsia="zh-CN"/>
        </w:rPr>
        <w:t>安全教育基地进行不定期检查抽查，并根据检查抽查结果，对基地实行升级、保级、降级的动态调整机制。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楷体_GB2312" w:hAnsi="仿宋" w:eastAsia="楷体_GB2312"/>
          <w:sz w:val="32"/>
          <w:szCs w:val="32"/>
          <w:u w:val="none"/>
          <w:lang w:val="en-US" w:eastAsia="zh-CN"/>
        </w:rPr>
      </w:pPr>
      <w:r>
        <w:rPr>
          <w:rFonts w:hint="eastAsia" w:ascii="楷体_GB2312" w:hAnsi="仿宋" w:eastAsia="楷体_GB2312"/>
          <w:sz w:val="32"/>
          <w:szCs w:val="32"/>
          <w:u w:val="none"/>
          <w:lang w:val="en-US" w:eastAsia="zh-CN"/>
        </w:rPr>
        <w:t>（四）退出机制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sz w:val="32"/>
          <w:szCs w:val="32"/>
          <w:u w:val="none"/>
          <w:lang w:val="en-US" w:eastAsia="zh-CN"/>
        </w:rPr>
        <w:t>深圳市应急管理局对全市安全教育基地实行动态管理，</w:t>
      </w:r>
      <w:r>
        <w:rPr>
          <w:rFonts w:hint="eastAsia" w:ascii="仿宋_GB2312" w:hAnsi="仿宋" w:eastAsia="仿宋_GB2312"/>
          <w:sz w:val="32"/>
          <w:szCs w:val="32"/>
          <w:u w:val="none"/>
          <w:lang w:val="en-US" w:eastAsia="zh-CN"/>
        </w:rPr>
        <w:t>经考核评定已获得相应等级</w:t>
      </w:r>
      <w:r>
        <w:rPr>
          <w:rFonts w:hint="eastAsia" w:ascii="仿宋_GB2312" w:hAnsi="仿宋"/>
          <w:sz w:val="32"/>
          <w:szCs w:val="32"/>
          <w:u w:val="none"/>
          <w:lang w:val="en-US" w:eastAsia="zh-CN"/>
        </w:rPr>
        <w:t>的基地，符合以下情形之一者，撤销其等级称号：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sz w:val="32"/>
          <w:szCs w:val="32"/>
          <w:u w:val="none"/>
          <w:lang w:val="en-US" w:eastAsia="zh-CN"/>
        </w:rPr>
      </w:pPr>
      <w:r>
        <w:rPr>
          <w:rFonts w:hint="eastAsia" w:ascii="仿宋_GB2312" w:hAnsi="仿宋"/>
          <w:sz w:val="32"/>
          <w:szCs w:val="32"/>
          <w:u w:val="none"/>
          <w:lang w:val="en-US" w:eastAsia="zh-CN"/>
        </w:rPr>
        <w:t>1.申请时提供虚假材料或采取其他手段骗取资格的；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sz w:val="32"/>
          <w:szCs w:val="32"/>
          <w:u w:val="none"/>
          <w:lang w:val="en-US" w:eastAsia="zh-CN"/>
        </w:rPr>
        <w:t>2.未履行深圳市安全教育基地义务，未能发挥安全知识宣传教育功能的；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sz w:val="32"/>
          <w:szCs w:val="32"/>
          <w:u w:val="none"/>
          <w:lang w:val="en-US" w:eastAsia="zh-CN"/>
        </w:rPr>
        <w:t>3</w:t>
      </w:r>
      <w:r>
        <w:rPr>
          <w:rFonts w:hint="eastAsia" w:ascii="仿宋_GB2312" w:hAnsi="仿宋" w:eastAsia="仿宋_GB2312"/>
          <w:sz w:val="32"/>
          <w:szCs w:val="32"/>
          <w:u w:val="none"/>
          <w:lang w:val="en-US" w:eastAsia="zh-CN"/>
        </w:rPr>
        <w:t>.因自身原因向</w:t>
      </w:r>
      <w:r>
        <w:rPr>
          <w:rFonts w:hint="eastAsia" w:ascii="仿宋_GB2312" w:hAnsi="仿宋"/>
          <w:sz w:val="32"/>
          <w:szCs w:val="32"/>
          <w:u w:val="none"/>
          <w:lang w:val="en-US" w:eastAsia="zh-CN"/>
        </w:rPr>
        <w:t>深圳</w:t>
      </w:r>
      <w:r>
        <w:rPr>
          <w:rFonts w:hint="eastAsia" w:ascii="仿宋_GB2312" w:hAnsi="仿宋" w:eastAsia="仿宋_GB2312"/>
          <w:sz w:val="32"/>
          <w:szCs w:val="32"/>
          <w:u w:val="none"/>
        </w:rPr>
        <w:t>市</w:t>
      </w:r>
      <w:r>
        <w:rPr>
          <w:rFonts w:hint="eastAsia" w:ascii="仿宋_GB2312" w:hAnsi="仿宋"/>
          <w:sz w:val="32"/>
          <w:szCs w:val="32"/>
          <w:u w:val="none"/>
          <w:lang w:eastAsia="zh-CN"/>
        </w:rPr>
        <w:t>应急管理局</w:t>
      </w:r>
      <w:r>
        <w:rPr>
          <w:rFonts w:hint="eastAsia" w:ascii="仿宋_GB2312" w:hAnsi="仿宋" w:eastAsia="仿宋_GB2312"/>
          <w:sz w:val="32"/>
          <w:szCs w:val="32"/>
          <w:u w:val="none"/>
          <w:lang w:val="en-US" w:eastAsia="zh-CN"/>
        </w:rPr>
        <w:t>申请放弃基地等级称号</w:t>
      </w:r>
      <w:r>
        <w:rPr>
          <w:rFonts w:hint="eastAsia" w:ascii="仿宋_GB2312" w:hAnsi="仿宋"/>
          <w:sz w:val="32"/>
          <w:szCs w:val="32"/>
          <w:u w:val="none"/>
          <w:lang w:val="en-US" w:eastAsia="zh-CN"/>
        </w:rPr>
        <w:t>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sz w:val="32"/>
          <w:szCs w:val="32"/>
          <w:u w:val="none"/>
          <w:lang w:val="en-US" w:eastAsia="zh-CN"/>
        </w:rPr>
      </w:pPr>
      <w:r>
        <w:rPr>
          <w:rFonts w:hint="eastAsia" w:ascii="仿宋_GB2312" w:hAnsi="仿宋"/>
          <w:sz w:val="32"/>
          <w:szCs w:val="32"/>
          <w:u w:val="none"/>
          <w:lang w:val="en-US" w:eastAsia="zh-CN"/>
        </w:rPr>
        <w:t>4.存在重大安全隐患，未能履行安全生产主体责任的；</w:t>
      </w:r>
    </w:p>
    <w:p>
      <w:pPr>
        <w:pStyle w:val="2"/>
        <w:rPr>
          <w:rFonts w:hint="eastAsia" w:ascii="仿宋_GB2312"/>
          <w:sz w:val="32"/>
          <w:szCs w:val="32"/>
          <w:u w:val="none"/>
          <w:lang w:val="en-US" w:eastAsia="zh-CN"/>
        </w:rPr>
      </w:pPr>
      <w:r>
        <w:rPr>
          <w:rFonts w:hint="eastAsia" w:ascii="仿宋_GB2312"/>
          <w:sz w:val="32"/>
          <w:szCs w:val="32"/>
          <w:u w:val="none"/>
          <w:lang w:val="en-US" w:eastAsia="zh-CN"/>
        </w:rPr>
        <w:t>5.其他应当撤销称号的情形。</w:t>
      </w:r>
    </w:p>
    <w:p>
      <w:pPr>
        <w:pStyle w:val="2"/>
        <w:rPr>
          <w:rFonts w:hint="eastAsia" w:ascii="仿宋_GB2312"/>
          <w:sz w:val="32"/>
          <w:szCs w:val="32"/>
          <w:u w:val="none"/>
          <w:lang w:val="en-US" w:eastAsia="zh-CN"/>
        </w:rPr>
      </w:pPr>
    </w:p>
    <w:p>
      <w:pPr>
        <w:pStyle w:val="2"/>
        <w:rPr>
          <w:rFonts w:hint="eastAsia" w:ascii="仿宋_GB2312"/>
          <w:sz w:val="32"/>
          <w:szCs w:val="32"/>
          <w:u w:val="none"/>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 xml:space="preserve"> 附件：1.深圳市安全教育基地等级评定分值表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 xml:space="preserve">       2.深圳市安全教育基地申报审核表</w:t>
      </w:r>
    </w:p>
    <w:p>
      <w:pPr>
        <w:keepNext w:val="0"/>
        <w:keepLines w:val="0"/>
        <w:pageBreakBefore w:val="0"/>
        <w:kinsoku/>
        <w:overflowPunct/>
        <w:topLinePunct w:val="0"/>
        <w:autoSpaceDE/>
        <w:autoSpaceDN/>
        <w:bidi w:val="0"/>
        <w:adjustRightInd/>
        <w:snapToGrid/>
        <w:spacing w:line="590" w:lineRule="exact"/>
        <w:textAlignment w:val="auto"/>
        <w:outlineLvl w:val="9"/>
        <w:rPr>
          <w:rFonts w:hint="eastAsia" w:ascii="仿宋_GB2312" w:hAnsi="仿宋" w:eastAsia="仿宋_GB2312"/>
          <w:b w:val="0"/>
          <w:bCs/>
          <w:sz w:val="32"/>
          <w:szCs w:val="32"/>
          <w:u w:val="none"/>
          <w:lang w:val="en-US" w:eastAsia="zh-CN"/>
        </w:rPr>
        <w:sectPr>
          <w:footerReference r:id="rId3" w:type="default"/>
          <w:pgSz w:w="11906" w:h="16838"/>
          <w:pgMar w:top="1871" w:right="1304" w:bottom="1871" w:left="1587" w:header="851" w:footer="1587" w:gutter="0"/>
          <w:pgNumType w:start="1"/>
          <w:cols w:space="720" w:num="1"/>
          <w:rtlGutter w:val="0"/>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u w:val="none"/>
        </w:rPr>
        <mc:AlternateContent>
          <mc:Choice Requires="wps">
            <w:drawing>
              <wp:anchor distT="0" distB="0" distL="114300" distR="114300" simplePos="0" relativeHeight="251658240" behindDoc="0" locked="0" layoutInCell="1" allowOverlap="1">
                <wp:simplePos x="0" y="0"/>
                <wp:positionH relativeFrom="column">
                  <wp:posOffset>59690</wp:posOffset>
                </wp:positionH>
                <wp:positionV relativeFrom="paragraph">
                  <wp:posOffset>-400050</wp:posOffset>
                </wp:positionV>
                <wp:extent cx="1114425" cy="419100"/>
                <wp:effectExtent l="0" t="0" r="9525" b="0"/>
                <wp:wrapNone/>
                <wp:docPr id="2" name="文本框 2"/>
                <wp:cNvGraphicFramePr/>
                <a:graphic xmlns:a="http://schemas.openxmlformats.org/drawingml/2006/main">
                  <a:graphicData uri="http://schemas.microsoft.com/office/word/2010/wordprocessingShape">
                    <wps:wsp>
                      <wps:cNvSpPr txBox="1"/>
                      <wps:spPr>
                        <a:xfrm>
                          <a:off x="231140" y="219075"/>
                          <a:ext cx="1114425" cy="419100"/>
                        </a:xfrm>
                        <a:prstGeom prst="rect">
                          <a:avLst/>
                        </a:prstGeom>
                        <a:solidFill>
                          <a:srgbClr val="FFFFFF"/>
                        </a:solidFill>
                        <a:ln w="6350">
                          <a:noFill/>
                        </a:ln>
                        <a:effectLst/>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pt;margin-top:-31.5pt;height:33pt;width:87.75pt;z-index:251658240;mso-width-relative:page;mso-height-relative:page;" fillcolor="#FFFFFF" filled="t" stroked="f" coordsize="21600,21600" o:gfxdata="UEsDBAoAAAAAAIdO4kAAAAAAAAAAAAAAAAAEAAAAZHJzL1BLAwQUAAAACACHTuJAnngKQNIAAAAH&#10;AQAADwAAAGRycy9kb3ducmV2LnhtbE2PzW7CMBCE75X6DtZW4gZO2ghBmg2HSr1WKlDOJl7iqPY6&#10;ss3v02NO7XE0o5lvmtXFWXGiEAfPCOWsAEHceT1wj7DdfE4XIGJSrJX1TAhXirBqn58aVWt/5m86&#10;rVMvcgnHWiGYlMZaytgZcirO/EicvYMPTqUsQy91UOdc7qx8LYq5dGrgvGDUSB+Gut/10SHsenfb&#10;/ZRjMNrZir9u183WD4iTl7J4B5Hokv7C8MDP6NBmpr0/so7CIiyrHESYzt/ypYe/qJYg9ghZy7aR&#10;//nbO1BLAwQUAAAACACHTuJAO07S70MCAABZBAAADgAAAGRycy9lMm9Eb2MueG1srVRLjhMxEN0j&#10;cQfLe9KfSWZIlM4oZBSEFDEjBcTacdvpltwuYzvpDgeAG7Biw55z5RyU3clM+KwQWThVruf6vKrq&#10;6W3XKLIX1tWgC5oNUkqE5lDWelvQ9++WL15S4jzTJVOgRUEPwtHb2fNn09ZMRA4VqFJYgk60m7Sm&#10;oJX3ZpIkjleiYW4ARmg0SrAN86jabVJa1qL3RiV5ml4nLdjSWODCOby96410Fv1LKbi/l9IJT1RB&#10;MTcfTxvPTTiT2ZRNtpaZquanNNg/ZNGwWmPQR1d3zDOys/UfrpqaW3Ag/YBDk4CUNRexBqwmS3+r&#10;Zl0xI2ItSI4zjzS5/+eWv90/WFKXBc0p0azBFh2/fjl++3H8/pnkgZ7WuAmi1gZxvnsFHbb5fO/w&#10;MlTdSduEf6yHoD2/yrIhsn1AMRunN6OeZtF5wsNztA7zESUcAcNsnKWxD8mTH2Odfy2gIUEoqMU2&#10;RnbZfuU85oTQMySEdaDqclkrFRW73SyUJXuGLV/GXwiPT36BKU3agl5fjdLoWUN43+OUDn5EnJ5T&#10;vEBCX2yQfLfpTsxsoDwgMRb6yXKGL2vMecWcf2AWRwlpwPXw93hIBRgSThIlFdhPf7sPeOwwWilp&#10;cTQL6j7umBWUqDcaez9G+sIsR2U4uslRsZeWzaVF75oFIBUZLqLhUQx4r86itNB8wC2ah6hoYppj&#10;7IL6s7jw/cLgFnIxn0cQTq9hfqXXhgfXgTAN850HWccGBZp6bpD6oOD8xiacdi0syKUeUU9fhN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ngKQNIAAAAHAQAADwAAAAAAAAABACAAAAAiAAAAZHJz&#10;L2Rvd25yZXYueG1sUEsBAhQAFAAAAAgAh07iQDtO0u9DAgAAWQQAAA4AAAAAAAAAAQAgAAAAIQEA&#10;AGRycy9lMm9Eb2MueG1sUEsFBgAAAAAGAAYAWQEAANYFAAAAAA==&#10;">
                <v:fill on="t"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v:textbox>
              </v:shape>
            </w:pict>
          </mc:Fallback>
        </mc:AlternateContent>
      </w:r>
      <w:r>
        <w:rPr>
          <w:rFonts w:hint="eastAsia" w:ascii="方正小标宋简体" w:hAnsi="方正小标宋简体" w:eastAsia="方正小标宋简体" w:cs="方正小标宋简体"/>
          <w:b w:val="0"/>
          <w:bCs w:val="0"/>
          <w:sz w:val="44"/>
          <w:szCs w:val="44"/>
          <w:u w:val="none"/>
        </w:rPr>
        <w:t>深圳市安全教育基地</w:t>
      </w:r>
      <w:r>
        <w:rPr>
          <w:rFonts w:hint="eastAsia" w:ascii="方正小标宋简体" w:hAnsi="方正小标宋简体" w:eastAsia="方正小标宋简体" w:cs="方正小标宋简体"/>
          <w:b w:val="0"/>
          <w:bCs w:val="0"/>
          <w:sz w:val="44"/>
          <w:szCs w:val="44"/>
          <w:u w:val="none"/>
          <w:lang w:val="en-US" w:eastAsia="zh-CN"/>
        </w:rPr>
        <w:t>等级</w:t>
      </w:r>
      <w:r>
        <w:rPr>
          <w:rFonts w:hint="eastAsia" w:ascii="方正小标宋简体" w:hAnsi="方正小标宋简体" w:eastAsia="方正小标宋简体" w:cs="方正小标宋简体"/>
          <w:b w:val="0"/>
          <w:bCs w:val="0"/>
          <w:sz w:val="44"/>
          <w:szCs w:val="44"/>
          <w:u w:val="none"/>
        </w:rPr>
        <w:t>评定</w:t>
      </w:r>
      <w:r>
        <w:rPr>
          <w:rFonts w:hint="eastAsia" w:ascii="方正小标宋简体" w:hAnsi="方正小标宋简体" w:eastAsia="方正小标宋简体" w:cs="方正小标宋简体"/>
          <w:b w:val="0"/>
          <w:bCs w:val="0"/>
          <w:sz w:val="44"/>
          <w:szCs w:val="44"/>
          <w:u w:val="none"/>
          <w:lang w:eastAsia="zh-CN"/>
        </w:rPr>
        <w:t>分值表</w:t>
      </w:r>
    </w:p>
    <w:p>
      <w:pPr>
        <w:keepNext w:val="0"/>
        <w:keepLines w:val="0"/>
        <w:pageBreakBefore w:val="0"/>
        <w:kinsoku/>
        <w:overflowPunct/>
        <w:topLinePunct w:val="0"/>
        <w:autoSpaceDE/>
        <w:autoSpaceDN/>
        <w:bidi w:val="0"/>
        <w:adjustRightInd/>
        <w:snapToGrid/>
        <w:spacing w:line="590" w:lineRule="exact"/>
        <w:textAlignment w:val="auto"/>
        <w:outlineLvl w:val="9"/>
        <w:rPr>
          <w:rFonts w:ascii="仿宋_GB2312" w:hAnsi="仿宋" w:eastAsia="仿宋_GB2312"/>
          <w:b/>
          <w:sz w:val="32"/>
          <w:szCs w:val="32"/>
          <w:u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928"/>
        <w:gridCol w:w="1185"/>
        <w:gridCol w:w="15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黑体" w:hAnsi="黑体" w:eastAsia="黑体"/>
                <w:sz w:val="28"/>
                <w:szCs w:val="28"/>
                <w:u w:val="none"/>
              </w:rPr>
            </w:pPr>
            <w:r>
              <w:rPr>
                <w:rFonts w:hint="eastAsia" w:ascii="黑体" w:hAnsi="黑体" w:eastAsia="黑体"/>
                <w:sz w:val="28"/>
                <w:szCs w:val="28"/>
                <w:u w:val="none"/>
              </w:rPr>
              <w:t>评定项目</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ind w:firstLine="560" w:firstLineChars="200"/>
              <w:jc w:val="center"/>
              <w:textAlignment w:val="auto"/>
              <w:outlineLvl w:val="9"/>
              <w:rPr>
                <w:rFonts w:hint="eastAsia" w:ascii="黑体" w:hAnsi="黑体" w:eastAsia="黑体"/>
                <w:sz w:val="28"/>
                <w:szCs w:val="28"/>
                <w:u w:val="none"/>
              </w:rPr>
            </w:pPr>
            <w:r>
              <w:rPr>
                <w:rFonts w:hint="eastAsia" w:ascii="黑体" w:hAnsi="黑体" w:eastAsia="黑体"/>
                <w:sz w:val="28"/>
                <w:szCs w:val="28"/>
                <w:u w:val="none"/>
              </w:rPr>
              <w:t>评分标准（横向比较，分档评分）</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黑体" w:hAnsi="黑体" w:eastAsia="黑体"/>
                <w:sz w:val="28"/>
                <w:szCs w:val="28"/>
                <w:u w:val="none"/>
              </w:rPr>
            </w:pPr>
            <w:r>
              <w:rPr>
                <w:rFonts w:hint="eastAsia" w:ascii="黑体" w:hAnsi="黑体" w:eastAsia="黑体"/>
                <w:sz w:val="28"/>
                <w:szCs w:val="28"/>
                <w:u w:val="none"/>
              </w:rPr>
              <w:t>总分值</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黑体" w:hAnsi="黑体" w:eastAsia="黑体"/>
                <w:sz w:val="28"/>
                <w:szCs w:val="28"/>
                <w:u w:val="none"/>
              </w:rPr>
            </w:pPr>
            <w:r>
              <w:rPr>
                <w:rFonts w:hint="eastAsia" w:ascii="黑体" w:hAnsi="黑体" w:eastAsia="黑体"/>
                <w:sz w:val="28"/>
                <w:szCs w:val="28"/>
                <w:u w:val="none"/>
              </w:rPr>
              <w:t>自评得分</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textAlignment w:val="auto"/>
              <w:outlineLvl w:val="9"/>
              <w:rPr>
                <w:rFonts w:hint="eastAsia" w:ascii="黑体" w:hAnsi="黑体" w:eastAsia="黑体"/>
                <w:sz w:val="28"/>
                <w:szCs w:val="28"/>
                <w:u w:val="none"/>
              </w:rPr>
            </w:pPr>
            <w:r>
              <w:rPr>
                <w:rFonts w:hint="eastAsia" w:ascii="黑体" w:hAnsi="黑体" w:eastAsia="黑体"/>
                <w:sz w:val="28"/>
                <w:szCs w:val="28"/>
                <w:u w:val="none"/>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r>
              <w:rPr>
                <w:rFonts w:hint="eastAsia" w:ascii="仿宋_GB2312" w:hAnsi="仿宋" w:eastAsia="仿宋_GB2312"/>
                <w:b/>
                <w:sz w:val="28"/>
                <w:szCs w:val="28"/>
                <w:u w:val="none"/>
                <w:lang w:val="en-US" w:eastAsia="zh-CN"/>
              </w:rPr>
              <w:t>1.</w:t>
            </w:r>
            <w:r>
              <w:rPr>
                <w:rFonts w:hint="eastAsia" w:ascii="仿宋_GB2312" w:hAnsi="仿宋" w:eastAsia="仿宋_GB2312"/>
                <w:b/>
                <w:sz w:val="28"/>
                <w:szCs w:val="28"/>
                <w:u w:val="none"/>
              </w:rPr>
              <w:t>场馆条件</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黑体" w:hAnsi="黑体" w:eastAsia="黑体"/>
                <w:sz w:val="28"/>
                <w:szCs w:val="28"/>
                <w:u w:val="none"/>
              </w:rPr>
            </w:pPr>
            <w:r>
              <w:rPr>
                <w:rFonts w:hint="eastAsia" w:ascii="仿宋_GB2312" w:hAnsi="仿宋" w:eastAsia="仿宋_GB2312"/>
                <w:b/>
                <w:sz w:val="28"/>
                <w:szCs w:val="28"/>
                <w:u w:val="none"/>
                <w:lang w:val="en-US" w:eastAsia="zh-CN"/>
              </w:rPr>
              <w:t>1.</w:t>
            </w:r>
            <w:r>
              <w:rPr>
                <w:rFonts w:hint="eastAsia" w:ascii="仿宋_GB2312" w:hAnsi="仿宋" w:eastAsia="仿宋_GB2312"/>
                <w:b/>
                <w:sz w:val="28"/>
                <w:szCs w:val="28"/>
                <w:u w:val="none"/>
              </w:rPr>
              <w:t>场馆条件</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市级安全教育基地建筑面积：</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4000㎡≦建筑面积，得6分；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2000㎡≦建筑面积&lt;4000㎡，得4分；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1000㎡≦建筑面积&lt;2000㎡，得2分；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建筑面积&lt;1000㎡，得1分；</w:t>
            </w:r>
          </w:p>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区级安全教育基地建筑面积：</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1000㎡≦建筑面积，得6分；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500㎡≦建筑面积&lt;1000㎡，得4分；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建筑面积&lt;500㎡，得2分；</w:t>
            </w:r>
          </w:p>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专业级、街道及社区级安全教育基地建筑面积：</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500㎡≦建筑面积，得6分；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300㎡≦建筑面积&lt;500㎡，得4分；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建筑面积&lt;300㎡，得2分；</w:t>
            </w:r>
          </w:p>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移动式或其他特色安全教育基地建筑面积：</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40㎡≦移动式或其他特色安全教育基地建筑面积，得6分；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移动式或其他特色安全教育基地建筑面积&lt;40㎡，得4分。</w:t>
            </w:r>
          </w:p>
          <w:p>
            <w:pPr>
              <w:keepNext w:val="0"/>
              <w:keepLines w:val="0"/>
              <w:pageBreakBefore w:val="0"/>
              <w:kinsoku/>
              <w:overflowPunct/>
              <w:topLinePunct w:val="0"/>
              <w:autoSpaceDE/>
              <w:autoSpaceDN/>
              <w:bidi w:val="0"/>
              <w:adjustRightInd/>
              <w:snapToGrid/>
              <w:spacing w:line="590" w:lineRule="exact"/>
              <w:ind w:firstLine="640" w:firstLineChars="200"/>
              <w:jc w:val="center"/>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以上各级安全教育基地建筑面积需按照对应评分标</w:t>
            </w: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准获得相应评分。</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黑体" w:hAnsi="黑体" w:eastAsia="黑体"/>
                <w:sz w:val="28"/>
                <w:szCs w:val="28"/>
                <w:u w:val="none"/>
                <w:lang w:val="en-US" w:eastAsia="zh-CN"/>
              </w:rPr>
            </w:pPr>
            <w:r>
              <w:rPr>
                <w:rFonts w:hint="eastAsia" w:ascii="黑体" w:hAnsi="黑体" w:eastAsia="黑体"/>
                <w:sz w:val="28"/>
                <w:szCs w:val="28"/>
                <w:u w:val="none"/>
                <w:lang w:val="en-US" w:eastAsia="zh-CN"/>
              </w:rPr>
              <w:t>6</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黑体" w:hAnsi="黑体" w:eastAsia="黑体"/>
                <w:sz w:val="28"/>
                <w:szCs w:val="28"/>
                <w:u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textAlignment w:val="auto"/>
              <w:outlineLvl w:val="9"/>
              <w:rPr>
                <w:rFonts w:ascii="黑体" w:hAnsi="黑体" w:eastAsia="黑体"/>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7"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7928"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场馆布局：</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各级各类安全教育基地应灵活设置场馆主题空间、宣教培训空间、公共活动空间、辅助空间（办公、仓储、设备等）等区域，空间规划应具有系统性、灵活性，全部符合得4分，符合1-3项得3分。</w:t>
            </w:r>
          </w:p>
        </w:tc>
        <w:tc>
          <w:tcPr>
            <w:tcW w:w="1185" w:type="dxa"/>
            <w:tcBorders>
              <w:top w:val="single" w:color="auto" w:sz="4" w:space="0"/>
              <w:left w:val="single" w:color="auto" w:sz="4" w:space="0"/>
              <w:right w:val="single" w:color="auto" w:sz="4" w:space="0"/>
            </w:tcBorders>
            <w:noWrap w:val="0"/>
            <w:vAlign w:val="center"/>
          </w:tcPr>
          <w:p>
            <w:pPr>
              <w:pStyle w:val="9"/>
              <w:keepNext w:val="0"/>
              <w:keepLines w:val="0"/>
              <w:pageBreakBefore w:val="0"/>
              <w:kinsoku/>
              <w:overflowPunct/>
              <w:topLinePunct w:val="0"/>
              <w:autoSpaceDE/>
              <w:autoSpaceDN/>
              <w:bidi w:val="0"/>
              <w:adjustRightInd/>
              <w:snapToGrid/>
              <w:spacing w:line="590" w:lineRule="exact"/>
              <w:ind w:left="0" w:leftChars="0" w:firstLine="0" w:firstLineChars="0"/>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4</w:t>
            </w:r>
          </w:p>
        </w:tc>
        <w:tc>
          <w:tcPr>
            <w:tcW w:w="1500" w:type="dxa"/>
            <w:tcBorders>
              <w:top w:val="single" w:color="auto" w:sz="4" w:space="0"/>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_GB2312" w:eastAsia="仿宋_GB2312" w:cs="仿宋_GB2312"/>
                <w:b/>
                <w:sz w:val="28"/>
                <w:szCs w:val="2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7"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default" w:ascii="仿宋_GB2312" w:hAnsi="仿宋" w:eastAsia="仿宋_GB2312"/>
                <w:b/>
                <w:sz w:val="28"/>
                <w:szCs w:val="28"/>
                <w:u w:val="none"/>
                <w:lang w:val="en-US" w:eastAsia="zh-CN"/>
              </w:rPr>
            </w:pPr>
          </w:p>
        </w:tc>
        <w:tc>
          <w:tcPr>
            <w:tcW w:w="7928"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sz w:val="28"/>
                <w:szCs w:val="28"/>
                <w:u w:val="none"/>
              </w:rPr>
            </w:pPr>
            <w:r>
              <w:rPr>
                <w:rFonts w:hint="eastAsia" w:ascii="仿宋_GB2312" w:hAnsi="仿宋" w:eastAsia="仿宋_GB2312"/>
                <w:b/>
                <w:bCs/>
                <w:sz w:val="32"/>
                <w:szCs w:val="32"/>
                <w:u w:val="none"/>
                <w:lang w:val="en-US" w:eastAsia="zh-CN"/>
              </w:rPr>
              <w:t>场馆智能化:</w:t>
            </w:r>
            <w:r>
              <w:rPr>
                <w:rFonts w:hint="eastAsia" w:ascii="仿宋_GB2312" w:hAnsi="仿宋" w:eastAsia="仿宋_GB2312"/>
                <w:sz w:val="32"/>
                <w:szCs w:val="32"/>
                <w:u w:val="none"/>
                <w:lang w:val="en-US" w:eastAsia="zh-CN"/>
              </w:rPr>
              <w:t>各级各类安全教育基地根据功能区域需要配置相应智能系统，主要涉及基础运行网络、计算机应用、模拟体验、3D互动、远程加载、升级管理、音视频资源管理等，得4分。</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4</w:t>
            </w:r>
          </w:p>
        </w:tc>
        <w:tc>
          <w:tcPr>
            <w:tcW w:w="1500" w:type="dxa"/>
            <w:tcBorders>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7" w:type="dxa"/>
            <w:vMerge w:val="restart"/>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r>
              <w:rPr>
                <w:rFonts w:hint="eastAsia" w:ascii="仿宋_GB2312" w:hAnsi="仿宋" w:eastAsia="仿宋_GB2312"/>
                <w:b/>
                <w:sz w:val="28"/>
                <w:szCs w:val="28"/>
                <w:u w:val="none"/>
                <w:lang w:val="en-US" w:eastAsia="zh-CN"/>
              </w:rPr>
              <w:t>2.</w:t>
            </w:r>
            <w:r>
              <w:rPr>
                <w:rFonts w:hint="eastAsia" w:ascii="仿宋_GB2312" w:hAnsi="仿宋" w:eastAsia="仿宋_GB2312"/>
                <w:b/>
                <w:sz w:val="28"/>
                <w:szCs w:val="28"/>
                <w:u w:val="none"/>
                <w:lang w:eastAsia="zh-CN"/>
              </w:rPr>
              <w:t>场馆主题</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r>
              <w:rPr>
                <w:rFonts w:hint="eastAsia" w:ascii="仿宋_GB2312" w:hAnsi="仿宋" w:eastAsia="仿宋_GB2312"/>
                <w:b/>
                <w:sz w:val="28"/>
                <w:szCs w:val="28"/>
                <w:u w:val="none"/>
                <w:lang w:val="en-US" w:eastAsia="zh-CN"/>
              </w:rPr>
              <w:t>2.</w:t>
            </w:r>
            <w:r>
              <w:rPr>
                <w:rFonts w:hint="eastAsia" w:ascii="仿宋_GB2312" w:hAnsi="仿宋" w:eastAsia="仿宋_GB2312"/>
                <w:b/>
                <w:sz w:val="28"/>
                <w:szCs w:val="28"/>
                <w:u w:val="none"/>
                <w:lang w:eastAsia="zh-CN"/>
              </w:rPr>
              <w:t>场馆主题</w:t>
            </w:r>
          </w:p>
        </w:tc>
        <w:tc>
          <w:tcPr>
            <w:tcW w:w="7928"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b/>
                <w:bCs/>
                <w:sz w:val="32"/>
                <w:szCs w:val="32"/>
                <w:u w:val="none"/>
                <w:lang w:val="en-US" w:eastAsia="zh-CN"/>
              </w:rPr>
              <w:t>主题鲜明：</w:t>
            </w:r>
            <w:r>
              <w:rPr>
                <w:rFonts w:hint="eastAsia" w:ascii="仿宋_GB2312" w:hAnsi="仿宋" w:eastAsia="仿宋_GB2312"/>
                <w:sz w:val="32"/>
                <w:szCs w:val="32"/>
                <w:u w:val="none"/>
                <w:lang w:val="en-US" w:eastAsia="zh-CN"/>
              </w:rPr>
              <w:t>市级安全教育基地应涵盖公共安全知识、认识灾害、感受灾害、体验灾害等方面主题；区级安全教育基地主题应紧扣本区国民经济发展、产业布局及特点、应急管理、安全生产和防灾减灾救灾实际需要；街道及社区级安全教育基地的主题应凸显认识灾害、感受灾害并结合本社区应急避难场所规划，展示内容科学准确、切合主题、突出重点，5分。</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5</w:t>
            </w:r>
          </w:p>
        </w:tc>
        <w:tc>
          <w:tcPr>
            <w:tcW w:w="1500" w:type="dxa"/>
            <w:tcBorders>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tc>
        <w:tc>
          <w:tcPr>
            <w:tcW w:w="7928"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b/>
                <w:bCs/>
                <w:sz w:val="32"/>
                <w:szCs w:val="32"/>
                <w:u w:val="none"/>
                <w:lang w:val="en-US" w:eastAsia="zh-CN"/>
              </w:rPr>
              <w:t>专业性及特色安全教育基地：</w:t>
            </w:r>
            <w:r>
              <w:rPr>
                <w:rFonts w:hint="eastAsia" w:ascii="仿宋_GB2312" w:hAnsi="仿宋" w:eastAsia="仿宋_GB2312"/>
                <w:sz w:val="32"/>
                <w:szCs w:val="32"/>
                <w:u w:val="none"/>
                <w:lang w:val="en-US" w:eastAsia="zh-CN"/>
              </w:rPr>
              <w:t>应以区域、行业领域的风险为重点，面向特定对象，侧重于宣传教育内容的针对性。</w:t>
            </w:r>
          </w:p>
          <w:p>
            <w:pPr>
              <w:keepNext w:val="0"/>
              <w:keepLines w:val="0"/>
              <w:pageBreakBefore w:val="0"/>
              <w:numPr>
                <w:ilvl w:val="0"/>
                <w:numId w:val="0"/>
              </w:numPr>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b/>
                <w:bCs/>
                <w:sz w:val="32"/>
                <w:szCs w:val="32"/>
                <w:u w:val="none"/>
                <w:lang w:val="en-US" w:eastAsia="zh-CN"/>
              </w:rPr>
              <w:t>综合性安全教育基地：</w:t>
            </w:r>
            <w:r>
              <w:rPr>
                <w:rFonts w:hint="eastAsia" w:ascii="仿宋_GB2312" w:hAnsi="仿宋" w:eastAsia="仿宋_GB2312"/>
                <w:sz w:val="32"/>
                <w:szCs w:val="32"/>
                <w:u w:val="none"/>
                <w:lang w:val="en-US" w:eastAsia="zh-CN"/>
              </w:rPr>
              <w:t>应根据城市公共安全隐患、易发多发类自然灾害、工矿商贸企业类型、受众群体等不同特点，普及涵盖安全生产、消防安全、食品安全、危险化学品、用电安全、交通安全等板块的综合性安全知识和常见的事故隐患，面向市民、企业从业人员和中小学生等群体，提升不同受众的安全生产、应急管理、防灾减灾救灾的意识和技能水平。</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专业性及特色安全教育基地、综合性安全教育基地分类评分，本项共5分。</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5</w:t>
            </w:r>
          </w:p>
        </w:tc>
        <w:tc>
          <w:tcPr>
            <w:tcW w:w="1500" w:type="dxa"/>
            <w:tcBorders>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7" w:type="dxa"/>
            <w:vMerge w:val="restart"/>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r>
              <w:rPr>
                <w:rFonts w:hint="eastAsia" w:ascii="仿宋_GB2312" w:hAnsi="仿宋" w:eastAsia="仿宋_GB2312"/>
                <w:b/>
                <w:sz w:val="28"/>
                <w:szCs w:val="28"/>
                <w:u w:val="none"/>
                <w:lang w:val="en-US" w:eastAsia="zh-CN"/>
              </w:rPr>
              <w:t>3.</w:t>
            </w:r>
            <w:r>
              <w:rPr>
                <w:rFonts w:hint="eastAsia" w:ascii="仿宋_GB2312" w:hAnsi="仿宋" w:eastAsia="仿宋_GB2312"/>
                <w:b/>
                <w:sz w:val="28"/>
                <w:szCs w:val="28"/>
                <w:u w:val="none"/>
                <w:lang w:eastAsia="zh-CN"/>
              </w:rPr>
              <w:t>运营团队</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r>
              <w:rPr>
                <w:rFonts w:hint="eastAsia" w:ascii="仿宋_GB2312" w:hAnsi="仿宋" w:eastAsia="仿宋_GB2312"/>
                <w:b/>
                <w:sz w:val="28"/>
                <w:szCs w:val="28"/>
                <w:u w:val="none"/>
                <w:lang w:val="en-US" w:eastAsia="zh-CN"/>
              </w:rPr>
              <w:t>3.</w:t>
            </w:r>
            <w:r>
              <w:rPr>
                <w:rFonts w:hint="eastAsia" w:ascii="仿宋_GB2312" w:hAnsi="仿宋" w:eastAsia="仿宋_GB2312"/>
                <w:b/>
                <w:sz w:val="28"/>
                <w:szCs w:val="28"/>
                <w:u w:val="none"/>
                <w:lang w:eastAsia="zh-CN"/>
              </w:rPr>
              <w:t>运营团队</w:t>
            </w:r>
          </w:p>
        </w:tc>
        <w:tc>
          <w:tcPr>
            <w:tcW w:w="7928"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b/>
                <w:bCs/>
                <w:sz w:val="32"/>
                <w:szCs w:val="32"/>
                <w:u w:val="none"/>
                <w:lang w:val="en-US" w:eastAsia="zh-CN"/>
              </w:rPr>
              <w:t>团队人数及专业资质：</w:t>
            </w:r>
            <w:r>
              <w:rPr>
                <w:rFonts w:hint="eastAsia" w:ascii="仿宋_GB2312" w:hAnsi="仿宋" w:eastAsia="仿宋_GB2312"/>
                <w:sz w:val="32"/>
                <w:szCs w:val="32"/>
                <w:u w:val="none"/>
                <w:lang w:val="en-US" w:eastAsia="zh-CN"/>
              </w:rPr>
              <w:t>需配有面向中小学生、普通市民、各行业从业人员等不同群体的专业讲解团队，团队每名成员需取得至少一项专业资质（救护员证、安全生产管理证、AHA学员证等，但不限于以上列举的3类资格证）。</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1.11人及以上，得10分；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2.9-10人，得8分；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3.6-8人，得6分；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4.3-5人，得4分；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5.1-2人，得2分。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以上总人数包括专兼职人数。</w:t>
            </w:r>
          </w:p>
        </w:tc>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10</w:t>
            </w:r>
          </w:p>
        </w:tc>
        <w:tc>
          <w:tcPr>
            <w:tcW w:w="1500" w:type="dxa"/>
            <w:tcBorders>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7" w:type="dxa"/>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tc>
        <w:tc>
          <w:tcPr>
            <w:tcW w:w="7928" w:type="dxa"/>
            <w:tcBorders>
              <w:left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line="590" w:lineRule="exact"/>
              <w:ind w:firstLine="643" w:firstLineChars="200"/>
              <w:textAlignment w:val="auto"/>
              <w:outlineLvl w:val="9"/>
              <w:rPr>
                <w:rFonts w:hint="eastAsia" w:ascii="楷体_GB2312" w:hAnsi="楷体_GB2312" w:eastAsia="楷体_GB2312" w:cs="楷体_GB2312"/>
                <w:sz w:val="32"/>
                <w:szCs w:val="32"/>
                <w:u w:val="none"/>
                <w:lang w:val="en-US" w:eastAsia="zh-CN"/>
              </w:rPr>
            </w:pPr>
            <w:r>
              <w:rPr>
                <w:rFonts w:hint="eastAsia" w:ascii="仿宋_GB2312" w:hAnsi="仿宋" w:eastAsia="仿宋_GB2312" w:cs="Times New Roman"/>
                <w:b/>
                <w:bCs/>
                <w:kern w:val="2"/>
                <w:sz w:val="32"/>
                <w:szCs w:val="32"/>
                <w:u w:val="none"/>
                <w:lang w:val="en-US" w:eastAsia="zh-CN" w:bidi="ar-SA"/>
              </w:rPr>
              <w:t>救护和物业管理人员：</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市级安全教育基地需</w:t>
            </w:r>
            <w:r>
              <w:rPr>
                <w:rFonts w:hint="eastAsia" w:ascii="仿宋_GB2312" w:hAnsi="仿宋" w:eastAsia="仿宋_GB2312" w:cs="Times New Roman"/>
                <w:kern w:val="2"/>
                <w:sz w:val="32"/>
                <w:szCs w:val="32"/>
                <w:u w:val="none"/>
                <w:lang w:val="en-US" w:eastAsia="zh-CN" w:bidi="ar-SA"/>
              </w:rPr>
              <w:t>配有持证救护人员不少于</w:t>
            </w:r>
            <w:r>
              <w:rPr>
                <w:rFonts w:hint="eastAsia" w:ascii="仿宋_GB2312" w:hAnsi="仿宋" w:eastAsia="仿宋_GB2312"/>
                <w:sz w:val="32"/>
                <w:szCs w:val="32"/>
                <w:u w:val="none"/>
                <w:lang w:val="en-US" w:eastAsia="zh-CN"/>
              </w:rPr>
              <w:t>2名、物业管理人员不少于4名；</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区级安全教育基地需</w:t>
            </w:r>
            <w:r>
              <w:rPr>
                <w:rFonts w:hint="eastAsia" w:ascii="仿宋_GB2312" w:hAnsi="仿宋" w:eastAsia="仿宋_GB2312" w:cs="Times New Roman"/>
                <w:kern w:val="2"/>
                <w:sz w:val="32"/>
                <w:szCs w:val="32"/>
                <w:u w:val="none"/>
                <w:lang w:val="en-US" w:eastAsia="zh-CN" w:bidi="ar-SA"/>
              </w:rPr>
              <w:t>配有持证救护人员</w:t>
            </w:r>
            <w:r>
              <w:rPr>
                <w:rFonts w:hint="eastAsia" w:ascii="仿宋_GB2312" w:hAnsi="仿宋" w:eastAsia="仿宋_GB2312"/>
                <w:sz w:val="32"/>
                <w:szCs w:val="32"/>
                <w:u w:val="none"/>
                <w:lang w:val="en-US" w:eastAsia="zh-CN"/>
              </w:rPr>
              <w:t>、物业管理人员各</w:t>
            </w:r>
            <w:r>
              <w:rPr>
                <w:rFonts w:hint="eastAsia" w:ascii="仿宋_GB2312" w:hAnsi="仿宋" w:eastAsia="仿宋_GB2312" w:cs="Times New Roman"/>
                <w:kern w:val="2"/>
                <w:sz w:val="32"/>
                <w:szCs w:val="32"/>
                <w:u w:val="none"/>
                <w:lang w:val="en-US" w:eastAsia="zh-CN" w:bidi="ar-SA"/>
              </w:rPr>
              <w:t>不少于</w:t>
            </w:r>
            <w:r>
              <w:rPr>
                <w:rFonts w:hint="eastAsia" w:ascii="仿宋_GB2312" w:hAnsi="仿宋" w:eastAsia="仿宋_GB2312"/>
                <w:sz w:val="32"/>
                <w:szCs w:val="32"/>
                <w:u w:val="none"/>
                <w:lang w:val="en-US" w:eastAsia="zh-CN"/>
              </w:rPr>
              <w:t>1名；</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街道及社区级安全教育基地、专业性安全教育基地、移动式安全教育基地需</w:t>
            </w:r>
            <w:r>
              <w:rPr>
                <w:rFonts w:hint="eastAsia" w:ascii="仿宋_GB2312" w:hAnsi="仿宋" w:eastAsia="仿宋_GB2312" w:cs="Times New Roman"/>
                <w:kern w:val="2"/>
                <w:sz w:val="32"/>
                <w:szCs w:val="32"/>
                <w:u w:val="none"/>
                <w:lang w:val="en-US" w:eastAsia="zh-CN" w:bidi="ar-SA"/>
              </w:rPr>
              <w:t>配有持证救护人员不少于1名</w:t>
            </w:r>
            <w:r>
              <w:rPr>
                <w:rFonts w:hint="eastAsia" w:ascii="仿宋_GB2312" w:hAnsi="仿宋" w:eastAsia="仿宋_GB2312"/>
                <w:sz w:val="32"/>
                <w:szCs w:val="32"/>
                <w:u w:val="none"/>
                <w:lang w:val="en-US" w:eastAsia="zh-CN"/>
              </w:rPr>
              <w:t>；</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以上各级安全教育基地配备救护人员获得</w:t>
            </w:r>
            <w:r>
              <w:rPr>
                <w:rFonts w:hint="eastAsia" w:ascii="仿宋_GB2312" w:hAnsi="仿宋" w:eastAsia="仿宋_GB2312" w:cs="Times New Roman"/>
                <w:kern w:val="2"/>
                <w:sz w:val="32"/>
                <w:szCs w:val="32"/>
                <w:u w:val="none"/>
                <w:lang w:val="en-US" w:eastAsia="zh-CN" w:bidi="ar-SA"/>
              </w:rPr>
              <w:t>急救、医疗等相关资质及证件均可，物业人员包括自有物业和公共物业人员，</w:t>
            </w:r>
            <w:r>
              <w:rPr>
                <w:rFonts w:hint="eastAsia" w:ascii="仿宋_GB2312" w:hAnsi="仿宋" w:eastAsia="仿宋_GB2312"/>
                <w:sz w:val="32"/>
                <w:szCs w:val="32"/>
                <w:u w:val="none"/>
                <w:lang w:val="en-US" w:eastAsia="zh-CN"/>
              </w:rPr>
              <w:t>符合对应级别标准即可得4分。</w:t>
            </w:r>
          </w:p>
        </w:tc>
        <w:tc>
          <w:tcPr>
            <w:tcW w:w="1185"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4</w:t>
            </w:r>
          </w:p>
        </w:tc>
        <w:tc>
          <w:tcPr>
            <w:tcW w:w="1500"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r>
              <w:rPr>
                <w:rFonts w:hint="eastAsia" w:ascii="仿宋_GB2312" w:hAnsi="仿宋" w:eastAsia="仿宋_GB2312"/>
                <w:b/>
                <w:sz w:val="28"/>
                <w:szCs w:val="28"/>
                <w:u w:val="none"/>
                <w:lang w:val="en-US" w:eastAsia="zh-CN"/>
              </w:rPr>
              <w:t>4.</w:t>
            </w:r>
            <w:r>
              <w:rPr>
                <w:rFonts w:hint="eastAsia" w:ascii="仿宋_GB2312" w:hAnsi="仿宋" w:eastAsia="仿宋_GB2312"/>
                <w:b/>
                <w:sz w:val="28"/>
                <w:szCs w:val="28"/>
                <w:u w:val="none"/>
                <w:lang w:eastAsia="zh-CN"/>
              </w:rPr>
              <w:t>宣传推广</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rPr>
            </w:pPr>
          </w:p>
        </w:tc>
        <w:tc>
          <w:tcPr>
            <w:tcW w:w="7928"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b/>
                <w:bCs/>
                <w:sz w:val="32"/>
                <w:szCs w:val="32"/>
                <w:u w:val="none"/>
                <w:lang w:val="en-US" w:eastAsia="zh-CN"/>
              </w:rPr>
              <w:t>线下方式：</w:t>
            </w:r>
            <w:r>
              <w:rPr>
                <w:rFonts w:hint="eastAsia" w:ascii="仿宋_GB2312" w:hAnsi="仿宋" w:eastAsia="仿宋_GB2312"/>
                <w:sz w:val="32"/>
                <w:szCs w:val="32"/>
                <w:u w:val="none"/>
                <w:lang w:val="en-US" w:eastAsia="zh-CN"/>
              </w:rPr>
              <w:t>通过多种渠道开展安全宣传教育，营造出浓厚的氛围，具有突出性、引领性。</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1.通过固定阵地、悬挂标语、安全文化墙、喷绘等多种形式进行宣传，突出创新性、示范性，得3分；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2.每年组织基地宣讲团队开展“进企业、进农村、进社区、进学校、进家庭”活动6场以上，得3分；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3.有专门的安全教育教材、安全知识普及教材、宣传册、折页等，免费向公众发放，便于群众随时随地获取安全知识，提升安全防护意识，得3分；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4.自购、租用宣传车开展流动宣传，得3分。</w:t>
            </w:r>
          </w:p>
        </w:tc>
        <w:tc>
          <w:tcPr>
            <w:tcW w:w="1185"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default"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12</w:t>
            </w:r>
          </w:p>
        </w:tc>
        <w:tc>
          <w:tcPr>
            <w:tcW w:w="1500" w:type="dxa"/>
            <w:tcBorders>
              <w:top w:val="single" w:color="auto" w:sz="4" w:space="0"/>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tc>
        <w:tc>
          <w:tcPr>
            <w:tcW w:w="7928"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b/>
                <w:bCs/>
                <w:sz w:val="32"/>
                <w:szCs w:val="32"/>
                <w:u w:val="none"/>
                <w:lang w:val="en-US" w:eastAsia="zh-CN"/>
              </w:rPr>
              <w:t>线上方式：</w:t>
            </w:r>
            <w:r>
              <w:rPr>
                <w:rFonts w:hint="eastAsia" w:ascii="仿宋_GB2312" w:hAnsi="仿宋" w:eastAsia="仿宋_GB2312"/>
                <w:sz w:val="32"/>
                <w:szCs w:val="32"/>
                <w:u w:val="none"/>
                <w:lang w:val="en-US" w:eastAsia="zh-CN"/>
              </w:rPr>
              <w:t>通过开展线上宣传教育活动，打破时空限制，扩大安全教育受众群体，便于市民群众随时随地学习安全知识。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1、每年举办4次以上线上公益性安全知识讲座、论坛活动，得1分；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2、利用抖音、快手、西瓜等平台开展“基地云参观活动”3次以上的，得1分；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3、通过微信公众号、微博、网站等网络渠道，制作原创宣传内容并定期更新，得1分；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4、原创宣传内容被学习强安APP采用2条以上的，得1分。</w:t>
            </w:r>
          </w:p>
        </w:tc>
        <w:tc>
          <w:tcPr>
            <w:tcW w:w="1185"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4</w:t>
            </w:r>
          </w:p>
        </w:tc>
        <w:tc>
          <w:tcPr>
            <w:tcW w:w="1500" w:type="dxa"/>
            <w:tcBorders>
              <w:top w:val="single" w:color="auto" w:sz="4" w:space="0"/>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7"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r>
              <w:rPr>
                <w:rFonts w:hint="eastAsia" w:ascii="仿宋_GB2312" w:hAnsi="仿宋" w:eastAsia="仿宋_GB2312"/>
                <w:b/>
                <w:sz w:val="28"/>
                <w:szCs w:val="28"/>
                <w:u w:val="none"/>
                <w:lang w:val="en-US" w:eastAsia="zh-CN"/>
              </w:rPr>
              <w:t>5.</w:t>
            </w:r>
            <w:r>
              <w:rPr>
                <w:rFonts w:hint="eastAsia" w:ascii="仿宋_GB2312" w:hAnsi="仿宋" w:eastAsia="仿宋_GB2312"/>
                <w:b/>
                <w:sz w:val="28"/>
                <w:szCs w:val="28"/>
                <w:u w:val="none"/>
              </w:rPr>
              <w:t>参观</w:t>
            </w:r>
            <w:r>
              <w:rPr>
                <w:rFonts w:hint="eastAsia" w:ascii="仿宋_GB2312" w:hAnsi="仿宋" w:eastAsia="仿宋_GB2312"/>
                <w:b/>
                <w:sz w:val="28"/>
                <w:szCs w:val="28"/>
                <w:u w:val="none"/>
                <w:lang w:eastAsia="zh-CN"/>
              </w:rPr>
              <w:t>培训</w:t>
            </w: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rPr>
            </w:pPr>
            <w:r>
              <w:rPr>
                <w:rFonts w:hint="eastAsia" w:ascii="仿宋_GB2312" w:hAnsi="仿宋" w:eastAsia="仿宋_GB2312"/>
                <w:b/>
                <w:sz w:val="28"/>
                <w:szCs w:val="28"/>
                <w:u w:val="none"/>
                <w:lang w:val="en-US" w:eastAsia="zh-CN"/>
              </w:rPr>
              <w:t>5.</w:t>
            </w:r>
            <w:r>
              <w:rPr>
                <w:rFonts w:hint="eastAsia" w:ascii="仿宋_GB2312" w:hAnsi="仿宋" w:eastAsia="仿宋_GB2312"/>
                <w:b/>
                <w:sz w:val="28"/>
                <w:szCs w:val="28"/>
                <w:u w:val="none"/>
              </w:rPr>
              <w:t>参观</w:t>
            </w:r>
            <w:r>
              <w:rPr>
                <w:rFonts w:hint="eastAsia" w:ascii="仿宋_GB2312" w:hAnsi="仿宋" w:eastAsia="仿宋_GB2312"/>
                <w:b/>
                <w:sz w:val="28"/>
                <w:szCs w:val="28"/>
                <w:u w:val="none"/>
                <w:lang w:eastAsia="zh-CN"/>
              </w:rPr>
              <w:t>培训</w:t>
            </w:r>
          </w:p>
        </w:tc>
        <w:tc>
          <w:tcPr>
            <w:tcW w:w="7928"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市级安全教育基地每年参观接待人数：</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5万人次≦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，得8分；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3万人次≦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&lt;5万人次，得6分；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b w:val="0"/>
                <w:bCs w:val="0"/>
                <w:sz w:val="32"/>
                <w:szCs w:val="32"/>
                <w:u w:val="none"/>
                <w:lang w:val="en-US" w:eastAsia="zh-CN"/>
              </w:rPr>
              <w:t>1</w:t>
            </w:r>
            <w:r>
              <w:rPr>
                <w:rFonts w:hint="eastAsia" w:ascii="仿宋_GB2312" w:hAnsi="仿宋" w:eastAsia="仿宋_GB2312"/>
                <w:sz w:val="32"/>
                <w:szCs w:val="32"/>
                <w:u w:val="none"/>
                <w:lang w:val="en-US" w:eastAsia="zh-CN"/>
              </w:rPr>
              <w:t>万人次≦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&lt;3万人次，得4分；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default" w:ascii="仿宋_GB2312" w:hAnsi="仿宋" w:eastAsia="仿宋_GB2312"/>
                <w:b w:val="0"/>
                <w:bCs w:val="0"/>
                <w:sz w:val="32"/>
                <w:szCs w:val="32"/>
                <w:u w:val="none"/>
                <w:lang w:val="en-US" w:eastAsia="zh-CN"/>
              </w:rPr>
            </w:pPr>
            <w:r>
              <w:rPr>
                <w:rFonts w:hint="eastAsia" w:ascii="仿宋_GB2312" w:hAnsi="仿宋" w:eastAsia="仿宋_GB2312"/>
                <w:b w:val="0"/>
                <w:bCs w:val="0"/>
                <w:sz w:val="32"/>
                <w:szCs w:val="32"/>
                <w:u w:val="none"/>
                <w:lang w:val="en-US" w:eastAsia="zh-CN"/>
              </w:rPr>
              <w:t>人数少于1万人次不得分。</w:t>
            </w:r>
          </w:p>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区级安全教育基地每年参观接待人数：</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2万人次≦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，得8分；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1万人次≦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&lt;2万人次，得6分；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5000人次≦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&lt;1万人次，得4分；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val="0"/>
                <w:bCs w:val="0"/>
                <w:sz w:val="32"/>
                <w:szCs w:val="32"/>
                <w:u w:val="none"/>
                <w:lang w:val="en-US" w:eastAsia="zh-CN"/>
              </w:rPr>
              <w:t>人数少于5000人次不得分。</w:t>
            </w:r>
          </w:p>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专业级、街道及社区级安全教育基地每年参观接待人数：</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1万人次≦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，得8分；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5000人次≦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&lt;1万人次，得6分；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b w:val="0"/>
                <w:bCs w:val="0"/>
                <w:sz w:val="32"/>
                <w:szCs w:val="32"/>
                <w:u w:val="none"/>
                <w:lang w:val="en-US" w:eastAsia="zh-CN"/>
              </w:rPr>
              <w:t>3000人次</w:t>
            </w:r>
            <w:r>
              <w:rPr>
                <w:rFonts w:hint="eastAsia" w:ascii="仿宋_GB2312" w:hAnsi="仿宋" w:eastAsia="仿宋_GB2312"/>
                <w:sz w:val="32"/>
                <w:szCs w:val="32"/>
                <w:u w:val="none"/>
                <w:lang w:val="en-US" w:eastAsia="zh-CN"/>
              </w:rPr>
              <w:t>≦</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&lt;5000人次，得4分；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val="0"/>
                <w:bCs w:val="0"/>
                <w:sz w:val="32"/>
                <w:szCs w:val="32"/>
                <w:u w:val="none"/>
                <w:lang w:val="en-US" w:eastAsia="zh-CN"/>
              </w:rPr>
              <w:t>人数少于3000人次不得分。</w:t>
            </w:r>
          </w:p>
          <w:p>
            <w:pPr>
              <w:keepNext w:val="0"/>
              <w:keepLines w:val="0"/>
              <w:pageBreakBefore w:val="0"/>
              <w:kinsoku/>
              <w:overflowPunct/>
              <w:topLinePunct w:val="0"/>
              <w:autoSpaceDE/>
              <w:autoSpaceDN/>
              <w:bidi w:val="0"/>
              <w:adjustRightInd/>
              <w:snapToGrid/>
              <w:spacing w:line="590" w:lineRule="exact"/>
              <w:ind w:firstLine="643" w:firstLineChars="200"/>
              <w:textAlignment w:val="auto"/>
              <w:outlineLvl w:val="9"/>
              <w:rPr>
                <w:rFonts w:hint="eastAsia" w:ascii="仿宋_GB2312" w:hAnsi="仿宋" w:eastAsia="仿宋_GB2312"/>
                <w:b/>
                <w:bCs/>
                <w:sz w:val="32"/>
                <w:szCs w:val="32"/>
                <w:u w:val="none"/>
                <w:lang w:val="en-US" w:eastAsia="zh-CN"/>
              </w:rPr>
            </w:pPr>
            <w:r>
              <w:rPr>
                <w:rFonts w:hint="eastAsia" w:ascii="仿宋_GB2312" w:hAnsi="仿宋" w:eastAsia="仿宋_GB2312"/>
                <w:b/>
                <w:bCs/>
                <w:sz w:val="32"/>
                <w:szCs w:val="32"/>
                <w:u w:val="none"/>
                <w:lang w:val="en-US" w:eastAsia="zh-CN"/>
              </w:rPr>
              <w:t>移动式或其他特色安全教育基地每年参观接待人数：</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5000人次≦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，得8分；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3000人次≦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&lt;5000人次，得6分；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2000人次≦</w:t>
            </w:r>
            <w:r>
              <w:rPr>
                <w:rFonts w:hint="eastAsia" w:ascii="仿宋_GB2312" w:hAnsi="仿宋" w:eastAsia="仿宋_GB2312"/>
                <w:b w:val="0"/>
                <w:bCs w:val="0"/>
                <w:sz w:val="32"/>
                <w:szCs w:val="32"/>
                <w:u w:val="none"/>
                <w:lang w:val="en-US" w:eastAsia="zh-CN"/>
              </w:rPr>
              <w:t>参观接待人数</w:t>
            </w:r>
            <w:r>
              <w:rPr>
                <w:rFonts w:hint="eastAsia" w:ascii="仿宋_GB2312" w:hAnsi="仿宋" w:eastAsia="仿宋_GB2312"/>
                <w:sz w:val="32"/>
                <w:szCs w:val="32"/>
                <w:u w:val="none"/>
                <w:lang w:val="en-US" w:eastAsia="zh-CN"/>
              </w:rPr>
              <w:t>&lt;3000人次，得4分；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b w:val="0"/>
                <w:bCs w:val="0"/>
                <w:sz w:val="32"/>
                <w:szCs w:val="32"/>
                <w:u w:val="none"/>
                <w:lang w:val="en-US" w:eastAsia="zh-CN"/>
              </w:rPr>
              <w:t>人数少于2000人次不得分。</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以上总人次包括每年到基地参观体验、参加基地组织的场馆外活动、通过线上参观安全教育基地、观看基地在线上设置的安全知识培训课程的人次等。</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p>
        </w:tc>
        <w:tc>
          <w:tcPr>
            <w:tcW w:w="1185"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default"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8</w:t>
            </w:r>
          </w:p>
        </w:tc>
        <w:tc>
          <w:tcPr>
            <w:tcW w:w="1500" w:type="dxa"/>
            <w:tcBorders>
              <w:top w:val="single" w:color="auto" w:sz="4" w:space="0"/>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7" w:type="dxa"/>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r>
              <w:rPr>
                <w:rFonts w:hint="eastAsia" w:ascii="仿宋_GB2312" w:hAnsi="仿宋" w:eastAsia="仿宋_GB2312"/>
                <w:b/>
                <w:sz w:val="28"/>
                <w:szCs w:val="28"/>
                <w:u w:val="none"/>
                <w:lang w:val="en-US" w:eastAsia="zh-CN"/>
              </w:rPr>
              <w:t>6.</w:t>
            </w:r>
            <w:r>
              <w:rPr>
                <w:rFonts w:hint="eastAsia" w:ascii="仿宋_GB2312" w:hAnsi="仿宋" w:eastAsia="仿宋_GB2312"/>
                <w:b/>
                <w:sz w:val="28"/>
                <w:szCs w:val="28"/>
                <w:u w:val="none"/>
                <w:lang w:eastAsia="zh-CN"/>
              </w:rPr>
              <w:t>便民服务</w:t>
            </w:r>
          </w:p>
        </w:tc>
        <w:tc>
          <w:tcPr>
            <w:tcW w:w="7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cs="Times New Roman"/>
                <w:kern w:val="2"/>
                <w:sz w:val="32"/>
                <w:szCs w:val="32"/>
                <w:u w:val="none"/>
                <w:lang w:val="en-US" w:eastAsia="zh-CN" w:bidi="ar-SA"/>
              </w:rPr>
              <w:t>围绕方便市民、中小学生和各行业各领域从业人员等不同群体到基地参观培训、学习安全知识，而提供一系列</w:t>
            </w:r>
            <w:r>
              <w:rPr>
                <w:rFonts w:hint="eastAsia" w:ascii="仿宋_GB2312" w:hAnsi="仿宋" w:eastAsia="仿宋_GB2312"/>
                <w:sz w:val="32"/>
                <w:szCs w:val="32"/>
                <w:u w:val="none"/>
                <w:lang w:val="en-US" w:eastAsia="zh-CN"/>
              </w:rPr>
              <w:t>便民服务。</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1.开通便民咨询热线，方便市民随时咨询；</w:t>
            </w:r>
          </w:p>
          <w:p>
            <w:pPr>
              <w:keepNext w:val="0"/>
              <w:keepLines w:val="0"/>
              <w:pageBreakBefore w:val="0"/>
              <w:numPr>
                <w:ilvl w:val="0"/>
                <w:numId w:val="0"/>
              </w:numPr>
              <w:kinsoku/>
              <w:overflowPunct/>
              <w:topLinePunct w:val="0"/>
              <w:autoSpaceDE/>
              <w:autoSpaceDN/>
              <w:bidi w:val="0"/>
              <w:adjustRightInd/>
              <w:snapToGrid/>
              <w:spacing w:line="590" w:lineRule="exact"/>
              <w:ind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2.开通网上预约功能，方便市民提前预约；</w:t>
            </w:r>
          </w:p>
          <w:p>
            <w:pPr>
              <w:keepNext w:val="0"/>
              <w:keepLines w:val="0"/>
              <w:pageBreakBefore w:val="0"/>
              <w:numPr>
                <w:ilvl w:val="0"/>
                <w:numId w:val="0"/>
              </w:numPr>
              <w:kinsoku/>
              <w:overflowPunct/>
              <w:topLinePunct w:val="0"/>
              <w:autoSpaceDE/>
              <w:autoSpaceDN/>
              <w:bidi w:val="0"/>
              <w:adjustRightInd/>
              <w:snapToGrid/>
              <w:spacing w:line="590" w:lineRule="exact"/>
              <w:ind w:leftChars="0"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3.提供卫生间、停车、个人物品寄存等服务；</w:t>
            </w:r>
          </w:p>
          <w:p>
            <w:pPr>
              <w:keepNext w:val="0"/>
              <w:keepLines w:val="0"/>
              <w:pageBreakBefore w:val="0"/>
              <w:numPr>
                <w:ilvl w:val="0"/>
                <w:numId w:val="0"/>
              </w:numPr>
              <w:kinsoku/>
              <w:overflowPunct/>
              <w:topLinePunct w:val="0"/>
              <w:autoSpaceDE/>
              <w:autoSpaceDN/>
              <w:bidi w:val="0"/>
              <w:adjustRightInd/>
              <w:snapToGrid/>
              <w:spacing w:line="590" w:lineRule="exact"/>
              <w:ind w:leftChars="0"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4.设置无障碍通道、无障碍卫生间；</w:t>
            </w:r>
          </w:p>
          <w:p>
            <w:pPr>
              <w:keepNext w:val="0"/>
              <w:keepLines w:val="0"/>
              <w:pageBreakBefore w:val="0"/>
              <w:numPr>
                <w:ilvl w:val="0"/>
                <w:numId w:val="0"/>
              </w:numPr>
              <w:kinsoku/>
              <w:overflowPunct/>
              <w:topLinePunct w:val="0"/>
              <w:autoSpaceDE/>
              <w:autoSpaceDN/>
              <w:bidi w:val="0"/>
              <w:adjustRightInd/>
              <w:snapToGrid/>
              <w:spacing w:line="590" w:lineRule="exact"/>
              <w:ind w:leftChars="0"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5.设置导航路线图或导航路标；</w:t>
            </w:r>
          </w:p>
          <w:p>
            <w:pPr>
              <w:keepNext w:val="0"/>
              <w:keepLines w:val="0"/>
              <w:pageBreakBefore w:val="0"/>
              <w:numPr>
                <w:ilvl w:val="0"/>
                <w:numId w:val="0"/>
              </w:numPr>
              <w:kinsoku/>
              <w:overflowPunct/>
              <w:topLinePunct w:val="0"/>
              <w:autoSpaceDE/>
              <w:autoSpaceDN/>
              <w:bidi w:val="0"/>
              <w:adjustRightInd/>
              <w:snapToGrid/>
              <w:spacing w:line="590" w:lineRule="exact"/>
              <w:ind w:leftChars="0"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6.设置咨询台，方便参观者现场咨询；</w:t>
            </w:r>
          </w:p>
          <w:p>
            <w:pPr>
              <w:keepNext w:val="0"/>
              <w:keepLines w:val="0"/>
              <w:pageBreakBefore w:val="0"/>
              <w:numPr>
                <w:ilvl w:val="0"/>
                <w:numId w:val="0"/>
              </w:numPr>
              <w:kinsoku/>
              <w:overflowPunct/>
              <w:topLinePunct w:val="0"/>
              <w:autoSpaceDE/>
              <w:autoSpaceDN/>
              <w:bidi w:val="0"/>
              <w:adjustRightInd/>
              <w:snapToGrid/>
              <w:spacing w:line="590" w:lineRule="exact"/>
              <w:ind w:leftChars="0"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7.提供饮水处、便民药箱。</w:t>
            </w:r>
          </w:p>
          <w:p>
            <w:pPr>
              <w:keepNext w:val="0"/>
              <w:keepLines w:val="0"/>
              <w:pageBreakBefore w:val="0"/>
              <w:numPr>
                <w:ilvl w:val="0"/>
                <w:numId w:val="0"/>
              </w:numPr>
              <w:kinsoku/>
              <w:overflowPunct/>
              <w:topLinePunct w:val="0"/>
              <w:autoSpaceDE/>
              <w:autoSpaceDN/>
              <w:bidi w:val="0"/>
              <w:adjustRightInd/>
              <w:snapToGrid/>
              <w:spacing w:line="590" w:lineRule="exact"/>
              <w:ind w:leftChars="0"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以上便民举措不少于4种，少一处扣2分。</w:t>
            </w:r>
          </w:p>
          <w:p>
            <w:pPr>
              <w:keepNext w:val="0"/>
              <w:keepLines w:val="0"/>
              <w:pageBreakBefore w:val="0"/>
              <w:numPr>
                <w:ilvl w:val="0"/>
                <w:numId w:val="0"/>
              </w:numPr>
              <w:kinsoku/>
              <w:overflowPunct/>
              <w:topLinePunct w:val="0"/>
              <w:autoSpaceDE/>
              <w:autoSpaceDN/>
              <w:bidi w:val="0"/>
              <w:adjustRightInd/>
              <w:snapToGrid/>
              <w:spacing w:line="590" w:lineRule="exact"/>
              <w:ind w:leftChars="0" w:firstLine="640" w:firstLineChars="200"/>
              <w:textAlignment w:val="auto"/>
              <w:outlineLvl w:val="9"/>
              <w:rPr>
                <w:rFonts w:hint="eastAsia" w:ascii="仿宋_GB2312" w:hAnsi="仿宋" w:eastAsia="仿宋_GB2312"/>
                <w:sz w:val="32"/>
                <w:szCs w:val="32"/>
                <w:u w:val="none"/>
                <w:lang w:val="en-US" w:eastAsia="zh-CN"/>
              </w:rPr>
            </w:pPr>
          </w:p>
        </w:tc>
        <w:tc>
          <w:tcPr>
            <w:tcW w:w="1185"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ind w:firstLine="141" w:firstLineChars="50"/>
              <w:jc w:val="center"/>
              <w:textAlignment w:val="auto"/>
              <w:outlineLvl w:val="9"/>
              <w:rPr>
                <w:rFonts w:ascii="仿宋_GB2312" w:hAnsi="仿宋" w:eastAsia="仿宋_GB2312"/>
                <w:b/>
                <w:bCs w:val="0"/>
                <w:sz w:val="28"/>
                <w:szCs w:val="28"/>
                <w:u w:val="none"/>
              </w:rPr>
            </w:pPr>
            <w:r>
              <w:rPr>
                <w:rFonts w:hint="eastAsia" w:ascii="仿宋_GB2312" w:hAnsi="仿宋" w:eastAsia="仿宋_GB2312"/>
                <w:b/>
                <w:bCs w:val="0"/>
                <w:sz w:val="28"/>
                <w:szCs w:val="28"/>
                <w:u w:val="none"/>
                <w:lang w:val="en-US" w:eastAsia="zh-CN"/>
              </w:rPr>
              <w:t>8</w:t>
            </w:r>
          </w:p>
        </w:tc>
        <w:tc>
          <w:tcPr>
            <w:tcW w:w="1500"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1827"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left"/>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left"/>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left"/>
              <w:textAlignment w:val="auto"/>
              <w:outlineLvl w:val="9"/>
              <w:rPr>
                <w:rFonts w:hint="eastAsia" w:ascii="仿宋_GB2312" w:hAnsi="仿宋" w:eastAsia="仿宋_GB2312"/>
                <w:b/>
                <w:sz w:val="28"/>
                <w:szCs w:val="28"/>
                <w:u w:val="none"/>
              </w:rPr>
            </w:pPr>
            <w:r>
              <w:rPr>
                <w:rFonts w:hint="eastAsia" w:ascii="仿宋_GB2312" w:hAnsi="仿宋" w:eastAsia="仿宋_GB2312"/>
                <w:b/>
                <w:sz w:val="28"/>
                <w:szCs w:val="28"/>
                <w:u w:val="none"/>
                <w:lang w:val="en-US" w:eastAsia="zh-CN"/>
              </w:rPr>
              <w:t>7.</w:t>
            </w:r>
            <w:r>
              <w:rPr>
                <w:rFonts w:hint="eastAsia" w:ascii="仿宋_GB2312" w:hAnsi="仿宋" w:eastAsia="仿宋_GB2312"/>
                <w:b/>
                <w:sz w:val="28"/>
                <w:szCs w:val="28"/>
                <w:u w:val="none"/>
              </w:rPr>
              <w:t>服务质量</w:t>
            </w:r>
          </w:p>
          <w:p>
            <w:pPr>
              <w:keepNext w:val="0"/>
              <w:keepLines w:val="0"/>
              <w:pageBreakBefore w:val="0"/>
              <w:kinsoku/>
              <w:overflowPunct/>
              <w:topLinePunct w:val="0"/>
              <w:autoSpaceDE/>
              <w:autoSpaceDN/>
              <w:bidi w:val="0"/>
              <w:adjustRightInd/>
              <w:snapToGrid/>
              <w:spacing w:line="590" w:lineRule="exact"/>
              <w:jc w:val="left"/>
              <w:textAlignment w:val="auto"/>
              <w:outlineLvl w:val="9"/>
              <w:rPr>
                <w:rFonts w:hint="eastAsia" w:ascii="仿宋_GB2312" w:hAnsi="仿宋" w:eastAsia="仿宋_GB2312"/>
                <w:b/>
                <w:sz w:val="28"/>
                <w:szCs w:val="28"/>
                <w:u w:val="none"/>
                <w:lang w:eastAsia="zh-CN"/>
              </w:rPr>
            </w:pPr>
          </w:p>
        </w:tc>
        <w:tc>
          <w:tcPr>
            <w:tcW w:w="79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1.制定了健全的接待服务制度，接待信息记录完整，得2分；</w:t>
            </w:r>
          </w:p>
          <w:p>
            <w:pPr>
              <w:keepNext w:val="0"/>
              <w:keepLines w:val="0"/>
              <w:pageBreakBefore w:val="0"/>
              <w:widowControl/>
              <w:numPr>
                <w:ilvl w:val="0"/>
                <w:numId w:val="0"/>
              </w:numPr>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2.每季度通过随机发放调查问卷方式，获取参观者对安全教育基地讲解质量、服务、体验感等方面的整体评价，有效回收调查问卷不少于100份，且满意率达90%及以上得2分，单月被投诉3次以上则不得分。</w:t>
            </w:r>
          </w:p>
          <w:p>
            <w:pPr>
              <w:keepNext w:val="0"/>
              <w:keepLines w:val="0"/>
              <w:pageBreakBefore w:val="0"/>
              <w:widowControl/>
              <w:numPr>
                <w:ilvl w:val="0"/>
                <w:numId w:val="0"/>
              </w:numPr>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p>
        </w:tc>
        <w:tc>
          <w:tcPr>
            <w:tcW w:w="1185"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ind w:firstLine="281" w:firstLineChars="100"/>
              <w:jc w:val="center"/>
              <w:textAlignment w:val="auto"/>
              <w:outlineLvl w:val="9"/>
              <w:rPr>
                <w:rFonts w:hint="eastAsia" w:ascii="仿宋_GB2312" w:hAnsi="仿宋" w:eastAsia="仿宋_GB2312"/>
                <w:b/>
                <w:bCs w:val="0"/>
                <w:sz w:val="28"/>
                <w:szCs w:val="28"/>
                <w:u w:val="none"/>
              </w:rPr>
            </w:pPr>
            <w:r>
              <w:rPr>
                <w:rFonts w:hint="eastAsia" w:ascii="仿宋_GB2312" w:hAnsi="仿宋" w:eastAsia="仿宋_GB2312"/>
                <w:b/>
                <w:bCs w:val="0"/>
                <w:sz w:val="28"/>
                <w:szCs w:val="28"/>
                <w:u w:val="none"/>
                <w:lang w:val="en-US" w:eastAsia="zh-CN"/>
              </w:rPr>
              <w:t>4</w:t>
            </w:r>
          </w:p>
        </w:tc>
        <w:tc>
          <w:tcPr>
            <w:tcW w:w="1500"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27"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left"/>
              <w:textAlignment w:val="auto"/>
              <w:outlineLvl w:val="9"/>
              <w:rPr>
                <w:rFonts w:hint="eastAsia" w:ascii="仿宋_GB2312" w:hAnsi="仿宋" w:eastAsia="仿宋_GB2312"/>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left"/>
              <w:textAlignment w:val="auto"/>
              <w:outlineLvl w:val="9"/>
              <w:rPr>
                <w:rFonts w:hint="eastAsia" w:ascii="仿宋_GB2312" w:hAnsi="仿宋" w:eastAsia="仿宋_GB2312"/>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left"/>
              <w:textAlignment w:val="auto"/>
              <w:outlineLvl w:val="9"/>
              <w:rPr>
                <w:rFonts w:hint="eastAsia" w:ascii="仿宋_GB2312" w:hAnsi="仿宋" w:eastAsia="仿宋_GB2312"/>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left"/>
              <w:textAlignment w:val="auto"/>
              <w:outlineLvl w:val="9"/>
              <w:rPr>
                <w:rFonts w:hint="eastAsia" w:ascii="仿宋_GB2312" w:hAnsi="仿宋" w:eastAsia="仿宋_GB2312"/>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left"/>
              <w:textAlignment w:val="auto"/>
              <w:outlineLvl w:val="9"/>
              <w:rPr>
                <w:rFonts w:hint="eastAsia" w:ascii="仿宋_GB2312" w:hAnsi="仿宋" w:eastAsia="仿宋_GB2312"/>
                <w:b/>
                <w:sz w:val="28"/>
                <w:szCs w:val="28"/>
                <w:u w:val="none"/>
              </w:rPr>
            </w:pPr>
            <w:r>
              <w:rPr>
                <w:rFonts w:hint="eastAsia" w:ascii="仿宋_GB2312" w:hAnsi="仿宋" w:eastAsia="仿宋_GB2312"/>
                <w:b/>
                <w:sz w:val="28"/>
                <w:szCs w:val="28"/>
                <w:u w:val="none"/>
                <w:lang w:val="en-US" w:eastAsia="zh-CN"/>
              </w:rPr>
              <w:t>8.</w:t>
            </w:r>
            <w:r>
              <w:rPr>
                <w:rFonts w:hint="eastAsia" w:ascii="仿宋_GB2312" w:hAnsi="仿宋" w:eastAsia="仿宋_GB2312"/>
                <w:b/>
                <w:sz w:val="28"/>
                <w:szCs w:val="28"/>
                <w:u w:val="none"/>
              </w:rPr>
              <w:t>配套管理</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tc>
        <w:tc>
          <w:tcPr>
            <w:tcW w:w="7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1.监控设备完备，监控影像资料保存至少30天，得2分；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2.消防控制及火灾报警系统完备，得2分；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3.内部运营管理制度健全，内部机构设置合理，得2分。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4.基地设备设施维护台账、各类宣传活动台账、宣教产品投入台账等各类档案完备。</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p>
        </w:tc>
        <w:tc>
          <w:tcPr>
            <w:tcW w:w="1185"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8</w:t>
            </w:r>
          </w:p>
        </w:tc>
        <w:tc>
          <w:tcPr>
            <w:tcW w:w="1500"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27"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lang w:eastAsia="zh-CN"/>
              </w:rPr>
            </w:pPr>
            <w:r>
              <w:rPr>
                <w:rFonts w:hint="eastAsia" w:ascii="仿宋_GB2312" w:hAnsi="仿宋" w:eastAsia="仿宋_GB2312"/>
                <w:b/>
                <w:sz w:val="28"/>
                <w:szCs w:val="28"/>
                <w:u w:val="none"/>
                <w:lang w:val="en-US" w:eastAsia="zh-CN"/>
              </w:rPr>
              <w:t>9.</w:t>
            </w:r>
            <w:r>
              <w:rPr>
                <w:rFonts w:hint="eastAsia" w:ascii="仿宋_GB2312" w:hAnsi="仿宋" w:eastAsia="仿宋_GB2312"/>
                <w:b/>
                <w:sz w:val="28"/>
                <w:szCs w:val="28"/>
                <w:u w:val="none"/>
              </w:rPr>
              <w:t>安全</w:t>
            </w:r>
            <w:r>
              <w:rPr>
                <w:rFonts w:hint="eastAsia" w:ascii="仿宋_GB2312" w:hAnsi="仿宋" w:eastAsia="仿宋_GB2312"/>
                <w:b/>
                <w:sz w:val="28"/>
                <w:szCs w:val="28"/>
                <w:u w:val="none"/>
                <w:lang w:eastAsia="zh-CN"/>
              </w:rPr>
              <w:t>保障</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 w:eastAsia="仿宋_GB2312"/>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sz w:val="28"/>
                <w:szCs w:val="28"/>
                <w:u w:val="none"/>
                <w:lang w:eastAsia="zh-CN"/>
              </w:rPr>
            </w:pPr>
          </w:p>
        </w:tc>
        <w:tc>
          <w:tcPr>
            <w:tcW w:w="7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1.制定合理的安全教育基地安全生产管理体系，得2分；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w:t>
            </w:r>
            <w:r>
              <w:rPr>
                <w:rFonts w:hint="eastAsia" w:ascii="仿宋_GB2312" w:hAnsi="仿宋" w:eastAsia="仿宋_GB2312" w:cs="Times New Roman"/>
                <w:kern w:val="2"/>
                <w:sz w:val="32"/>
                <w:szCs w:val="32"/>
                <w:u w:val="none"/>
                <w:lang w:val="en-US" w:eastAsia="zh-CN" w:bidi="ar-SA"/>
              </w:rPr>
              <w:t>制定适合安全教育基地的应急预案，配有安全保卫人员，并定期开展演练</w:t>
            </w:r>
            <w:r>
              <w:rPr>
                <w:rFonts w:hint="eastAsia" w:ascii="仿宋_GB2312" w:hAnsi="仿宋" w:eastAsia="仿宋_GB2312"/>
                <w:sz w:val="32"/>
                <w:szCs w:val="32"/>
                <w:u w:val="none"/>
                <w:lang w:val="en-US" w:eastAsia="zh-CN"/>
              </w:rPr>
              <w:t>，得2分；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3.场馆安全标识规范，消防逃生通道畅通，得2分。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4.未发生过安全责任事故，得2分。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p>
        </w:tc>
        <w:tc>
          <w:tcPr>
            <w:tcW w:w="1185"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8</w:t>
            </w:r>
          </w:p>
        </w:tc>
        <w:tc>
          <w:tcPr>
            <w:tcW w:w="1500"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jc w:val="center"/>
        </w:trPr>
        <w:tc>
          <w:tcPr>
            <w:tcW w:w="1827"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default" w:ascii="仿宋_GB2312" w:hAnsi="仿宋" w:eastAsia="仿宋_GB2312"/>
                <w:b/>
                <w:sz w:val="28"/>
                <w:szCs w:val="28"/>
                <w:u w:val="none"/>
                <w:lang w:val="en-US" w:eastAsia="zh-CN"/>
              </w:rPr>
            </w:pPr>
            <w:r>
              <w:rPr>
                <w:rFonts w:hint="eastAsia" w:ascii="仿宋_GB2312" w:hAnsi="仿宋" w:eastAsia="仿宋_GB2312"/>
                <w:b/>
                <w:sz w:val="28"/>
                <w:szCs w:val="28"/>
                <w:u w:val="none"/>
                <w:lang w:val="en-US" w:eastAsia="zh-CN"/>
              </w:rPr>
              <w:t>10.争优创先</w:t>
            </w:r>
          </w:p>
        </w:tc>
        <w:tc>
          <w:tcPr>
            <w:tcW w:w="792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通过参加全国、省、市等各级各类评选或知识竞赛（包括但不限于儿童科普、法制宣传、安全教育等基地评选活动或各类安全知识宣教竞赛）活动：</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（1）获得1项区级称号或奖牌，得1分（可累计得分，最高不超过2分）；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（2）获得1项市级称号或奖牌，得2分（可累计得分，最高不超过4分）；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（3）获得1项省级称号或奖牌，得3分（可累计得分，最高不超过4分）；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（4）获得1项国家级称号或奖牌，得4分（可累计得分，最高不超过8分）；</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outlineLvl w:val="9"/>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此项累计得分不超过10分。</w:t>
            </w:r>
          </w:p>
        </w:tc>
        <w:tc>
          <w:tcPr>
            <w:tcW w:w="1185"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10</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p>
        </w:tc>
        <w:tc>
          <w:tcPr>
            <w:tcW w:w="1500"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5" w:type="dxa"/>
            <w:gridSpan w:val="2"/>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ind w:firstLine="562" w:firstLineChars="200"/>
              <w:jc w:val="center"/>
              <w:textAlignment w:val="auto"/>
              <w:outlineLvl w:val="9"/>
              <w:rPr>
                <w:rFonts w:hint="eastAsia" w:ascii="仿宋_GB2312" w:hAnsi="仿宋" w:eastAsia="仿宋_GB2312"/>
                <w:sz w:val="28"/>
                <w:szCs w:val="28"/>
                <w:u w:val="none"/>
                <w:lang w:eastAsia="zh-CN" w:bidi="ar"/>
              </w:rPr>
            </w:pPr>
            <w:r>
              <w:rPr>
                <w:rFonts w:hint="eastAsia" w:ascii="仿宋_GB2312" w:hAnsi="仿宋" w:eastAsia="仿宋_GB2312"/>
                <w:b/>
                <w:bCs/>
                <w:sz w:val="28"/>
                <w:szCs w:val="28"/>
                <w:u w:val="none"/>
                <w:lang w:eastAsia="zh-CN" w:bidi="ar"/>
              </w:rPr>
              <w:t>总</w:t>
            </w:r>
            <w:r>
              <w:rPr>
                <w:rFonts w:hint="eastAsia" w:ascii="仿宋_GB2312" w:hAnsi="仿宋" w:eastAsia="仿宋_GB2312"/>
                <w:b/>
                <w:bCs/>
                <w:sz w:val="28"/>
                <w:szCs w:val="28"/>
                <w:u w:val="none"/>
                <w:lang w:val="en-US" w:eastAsia="zh-CN" w:bidi="ar"/>
              </w:rPr>
              <w:t xml:space="preserve">  </w:t>
            </w:r>
            <w:r>
              <w:rPr>
                <w:rFonts w:hint="eastAsia" w:ascii="仿宋_GB2312" w:hAnsi="仿宋" w:eastAsia="仿宋_GB2312"/>
                <w:b/>
                <w:bCs/>
                <w:sz w:val="28"/>
                <w:szCs w:val="28"/>
                <w:u w:val="none"/>
                <w:lang w:eastAsia="zh-CN" w:bidi="ar"/>
              </w:rPr>
              <w:t>分</w:t>
            </w:r>
          </w:p>
        </w:tc>
        <w:tc>
          <w:tcPr>
            <w:tcW w:w="1185"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bCs w:val="0"/>
                <w:sz w:val="28"/>
                <w:szCs w:val="28"/>
                <w:u w:val="none"/>
                <w:lang w:val="en-US" w:eastAsia="zh-CN"/>
              </w:rPr>
            </w:pPr>
            <w:r>
              <w:rPr>
                <w:rFonts w:hint="eastAsia" w:ascii="仿宋_GB2312" w:hAnsi="仿宋" w:eastAsia="仿宋_GB2312"/>
                <w:b/>
                <w:bCs w:val="0"/>
                <w:sz w:val="28"/>
                <w:szCs w:val="28"/>
                <w:u w:val="none"/>
                <w:lang w:val="en-US" w:eastAsia="zh-CN"/>
              </w:rPr>
              <w:t>100</w:t>
            </w:r>
          </w:p>
        </w:tc>
        <w:tc>
          <w:tcPr>
            <w:tcW w:w="1500" w:type="dxa"/>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c>
          <w:tcPr>
            <w:tcW w:w="1560" w:type="dxa"/>
            <w:tcBorders>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28"/>
                <w:szCs w:val="28"/>
                <w:u w:val="none"/>
              </w:rPr>
            </w:pPr>
          </w:p>
        </w:tc>
      </w:tr>
    </w:tbl>
    <w:p>
      <w:pPr>
        <w:rPr>
          <w:u w:val="none"/>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kinsoku/>
        <w:overflowPunct/>
        <w:topLinePunct w:val="0"/>
        <w:autoSpaceDE/>
        <w:autoSpaceDN/>
        <w:bidi w:val="0"/>
        <w:adjustRightInd/>
        <w:snapToGrid/>
        <w:spacing w:line="590" w:lineRule="exact"/>
        <w:textAlignment w:val="auto"/>
        <w:outlineLvl w:val="9"/>
        <w:rPr>
          <w:rFonts w:ascii="黑体" w:hAnsi="黑体" w:eastAsia="黑体" w:cs="宋体"/>
          <w:color w:val="313134"/>
          <w:kern w:val="0"/>
          <w:sz w:val="32"/>
          <w:szCs w:val="32"/>
          <w:u w:val="none"/>
        </w:rPr>
      </w:pPr>
      <w:r>
        <w:rPr>
          <w:sz w:val="32"/>
          <w:u w:val="none"/>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-619760</wp:posOffset>
                </wp:positionV>
                <wp:extent cx="838200" cy="428625"/>
                <wp:effectExtent l="0" t="0" r="0" b="9525"/>
                <wp:wrapNone/>
                <wp:docPr id="4" name="文本框 4"/>
                <wp:cNvGraphicFramePr/>
                <a:graphic xmlns:a="http://schemas.openxmlformats.org/drawingml/2006/main">
                  <a:graphicData uri="http://schemas.microsoft.com/office/word/2010/wordprocessingShape">
                    <wps:wsp>
                      <wps:cNvSpPr txBox="1"/>
                      <wps:spPr>
                        <a:xfrm>
                          <a:off x="549910" y="467360"/>
                          <a:ext cx="838200" cy="428625"/>
                        </a:xfrm>
                        <a:prstGeom prst="rect">
                          <a:avLst/>
                        </a:prstGeom>
                        <a:solidFill>
                          <a:srgbClr val="FFFFFF"/>
                        </a:solidFill>
                        <a:ln w="6350">
                          <a:noFill/>
                        </a:ln>
                        <a:effectLst/>
                      </wps:spPr>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48.8pt;height:33.75pt;width:66pt;z-index:251659264;mso-width-relative:page;mso-height-relative:page;" fillcolor="#FFFFFF" filled="t" stroked="f" coordsize="21600,21600" o:gfxdata="UEsDBAoAAAAAAIdO4kAAAAAAAAAAAAAAAAAEAAAAZHJzL1BLAwQUAAAACACHTuJAG8ydJdIAAAAJ&#10;AQAADwAAAGRycy9kb3ducmV2LnhtbE1Py07DMBC8I/EP1iJxa+0QVCDE6QGJKxJt6dmNlzjCXke2&#10;+/x6tie4zeyMZmfa5Sl4ccCUx0gaqrkCgdRHO9KgYbN+nz2DyMWQNT4SajhjhmV3e9OaxsYjfeJh&#10;VQbBIZQbo8GVMjVS5t5hMHkeJyTWvmMKpjBNg7TJHDk8ePmg1EIGMxJ/cGbCN4f9z2ofNGyHcNl+&#10;VVNyNvhH+ric15s4an1/V6lXEAVP5c8M1/pcHTrutIt7sll45gs2api9PDG46nXNYMeXWlUgu1b+&#10;X9D9AlBLAwQUAAAACACHTuJAsryn9UECAABYBAAADgAAAGRycy9lMm9Eb2MueG1srVRLjhoxEN1H&#10;yh0s70PzH0A0I8KIKBLKjESirI3bTVtyuxzb0E0OkNxgVtlkn3NxjpTdzQz5rKKwMFWu4pXrvSrm&#10;t3WpyFFYJ0GntNfpUiI0h0zqfUo/vF+/mlDiPNMZU6BFSk/C0dvFyxfzysxEHwpQmbAEQbSbVSal&#10;hfdmliSOF6JkrgNGaAzmYEvm0bX7JLOsQvRSJf1ud5xUYDNjgQvn8PauCdJFxM9zwf19njvhiUop&#10;vs3H08ZzF85kMWezvWWmkLx9BvuHV5RMaiz6BHXHPCMHK/+AKiW34CD3HQ5lAnkuuYg9YDe97m/d&#10;bAtmROwFyXHmiSb3/2D5u+ODJTJL6ZASzUqU6Pz49fztx/n7FzIM9FTGzTBrazDP16+hRpkv9w4v&#10;Q9d1bsvwjf0QjI+G02kP2T4h6vhmMG5pFrUnHMOTwQSlo4SHeH8y7o8CXvIMY6zzbwSUJBgptahi&#10;JJcdN843qZeUUNWBktlaKhUdu9+tlCVHhoqv46dF/yVNaVKldDwYdSOyhvD7BlrpgCPi8LT1AgdN&#10;r8Hy9a5uidlBdkJeLDSD5QxfS3zzhjn/wCxOEraJ2+Hv8cgVYEloLUoKsJ//dh/yUWCMUlLhZKbU&#10;fTowKyhRbzVKP+0Nh2GUozMc3fTRsdeR3XVEH8oVIBU93EPDoxnyvbqYuYXyIy7RMlTFENMca6fU&#10;X8yVb/YFl5CL5TIm4fAa5jd6a3iADoRpWB485DIKFGhquEFhg4PjGyVuVy3sx7Ufs57/EB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vMnSXSAAAACQEAAA8AAAAAAAAAAQAgAAAAIgAAAGRycy9k&#10;b3ducmV2LnhtbFBLAQIUABQAAAAIAIdO4kCyvKf1QQIAAFgEAAAOAAAAAAAAAAEAIAAAACEBAABk&#10;cnMvZTJvRG9jLnhtbFBLBQYAAAAABgAGAFkBAADUBQAAAAA=&#10;">
                <v:fill on="t" focussize="0,0"/>
                <v:stroke on="f" weight="0.5pt"/>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txbxContent>
                </v:textbox>
              </v:shape>
            </w:pict>
          </mc:Fallback>
        </mc:AlternateContent>
      </w:r>
    </w:p>
    <w:p>
      <w:pPr>
        <w:keepNext w:val="0"/>
        <w:keepLines w:val="0"/>
        <w:pageBreakBefore w:val="0"/>
        <w:kinsoku/>
        <w:overflowPunct/>
        <w:topLinePunct w:val="0"/>
        <w:autoSpaceDE/>
        <w:autoSpaceDN/>
        <w:bidi w:val="0"/>
        <w:adjustRightInd/>
        <w:snapToGrid/>
        <w:spacing w:line="590" w:lineRule="exact"/>
        <w:textAlignment w:val="auto"/>
        <w:outlineLvl w:val="9"/>
        <w:rPr>
          <w:rFonts w:ascii="黑体" w:hAnsi="黑体" w:eastAsia="黑体" w:cs="宋体"/>
          <w:b/>
          <w:bCs/>
          <w:color w:val="313134"/>
          <w:kern w:val="0"/>
          <w:sz w:val="32"/>
          <w:szCs w:val="32"/>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val="0"/>
          <w:kern w:val="0"/>
          <w:sz w:val="44"/>
          <w:szCs w:val="44"/>
          <w:u w:val="none"/>
        </w:rPr>
      </w:pPr>
      <w:r>
        <w:rPr>
          <w:rFonts w:hint="eastAsia" w:ascii="方正小标宋简体" w:hAnsi="方正小标宋简体" w:eastAsia="方正小标宋简体" w:cs="方正小标宋简体"/>
          <w:b w:val="0"/>
          <w:bCs w:val="0"/>
          <w:sz w:val="44"/>
          <w:szCs w:val="44"/>
          <w:u w:val="none"/>
        </w:rPr>
        <w:t>深圳市安全教育基地</w:t>
      </w:r>
      <w:r>
        <w:rPr>
          <w:rFonts w:hint="eastAsia" w:ascii="方正小标宋简体" w:hAnsi="方正小标宋简体" w:eastAsia="方正小标宋简体" w:cs="方正小标宋简体"/>
          <w:b w:val="0"/>
          <w:bCs w:val="0"/>
          <w:color w:val="313134"/>
          <w:kern w:val="0"/>
          <w:sz w:val="44"/>
          <w:szCs w:val="44"/>
          <w:u w:val="none"/>
        </w:rPr>
        <w:t>申报审核表</w:t>
      </w: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2"/>
          <w:szCs w:val="42"/>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cs="宋体"/>
          <w:sz w:val="36"/>
          <w:szCs w:val="36"/>
          <w:u w:val="none"/>
        </w:rPr>
      </w:pPr>
      <w:r>
        <w:rPr>
          <w:rFonts w:hint="eastAsia" w:ascii="仿宋" w:hAnsi="仿宋" w:eastAsia="仿宋" w:cs="宋体"/>
          <w:sz w:val="36"/>
          <w:szCs w:val="36"/>
          <w:u w:val="none"/>
        </w:rPr>
        <w:t xml:space="preserve"> </w:t>
      </w:r>
      <w:r>
        <w:rPr>
          <w:rFonts w:hint="eastAsia" w:ascii="仿宋_GB2312" w:hAnsi="仿宋" w:eastAsia="仿宋_GB2312" w:cs="宋体"/>
          <w:sz w:val="36"/>
          <w:szCs w:val="36"/>
          <w:u w:val="none"/>
        </w:rPr>
        <w:t xml:space="preserve"> 申报单位：_________________(盖章)</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cs="宋体"/>
          <w:sz w:val="36"/>
          <w:szCs w:val="36"/>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cs="宋体"/>
          <w:sz w:val="36"/>
          <w:szCs w:val="36"/>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cs="宋体"/>
          <w:sz w:val="36"/>
          <w:szCs w:val="36"/>
          <w:u w:val="none"/>
        </w:rPr>
      </w:pPr>
      <w:r>
        <w:rPr>
          <w:rFonts w:hint="eastAsia" w:ascii="仿宋_GB2312" w:hAnsi="仿宋" w:eastAsia="仿宋_GB2312" w:cs="宋体"/>
          <w:sz w:val="36"/>
          <w:szCs w:val="36"/>
          <w:u w:val="none"/>
        </w:rPr>
        <w:t>填表日期:     年      月     日</w:t>
      </w: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b/>
          <w:sz w:val="32"/>
          <w:szCs w:val="32"/>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b/>
          <w:sz w:val="32"/>
          <w:szCs w:val="32"/>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b/>
          <w:sz w:val="32"/>
          <w:szCs w:val="32"/>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b/>
          <w:sz w:val="32"/>
          <w:szCs w:val="32"/>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b/>
          <w:sz w:val="32"/>
          <w:szCs w:val="32"/>
          <w:u w:val="none"/>
        </w:rPr>
      </w:pPr>
      <w:r>
        <w:rPr>
          <w:rFonts w:ascii="仿宋" w:hAnsi="仿宋" w:eastAsia="仿宋"/>
          <w:b/>
          <w:sz w:val="32"/>
          <w:szCs w:val="32"/>
          <w:u w:val="none"/>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933"/>
        <w:gridCol w:w="1276"/>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方正小标宋简体" w:hAnsi="仿宋" w:eastAsia="方正小标宋简体"/>
                <w:bCs/>
                <w:sz w:val="32"/>
                <w:szCs w:val="32"/>
                <w:u w:val="none"/>
              </w:rPr>
            </w:pPr>
            <w:r>
              <w:rPr>
                <w:rFonts w:hint="eastAsia" w:ascii="方正小标宋简体" w:hAnsi="宋体" w:eastAsia="方正小标宋简体" w:cs="宋体"/>
                <w:bCs/>
                <w:color w:val="000000"/>
                <w:sz w:val="44"/>
                <w:szCs w:val="44"/>
                <w:u w:val="none"/>
              </w:rPr>
              <w:t>深圳市安全教育基地申报审核表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申报</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单位</w:t>
            </w:r>
          </w:p>
        </w:tc>
        <w:tc>
          <w:tcPr>
            <w:tcW w:w="73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地址</w:t>
            </w:r>
          </w:p>
        </w:tc>
        <w:tc>
          <w:tcPr>
            <w:tcW w:w="73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sz w:val="32"/>
                <w:szCs w:val="32"/>
                <w:u w:val="none"/>
              </w:rPr>
              <w:t>联系人</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32"/>
                <w:szCs w:val="32"/>
                <w:u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32"/>
                <w:szCs w:val="32"/>
                <w:u w:val="none"/>
              </w:rPr>
            </w:pPr>
            <w:r>
              <w:rPr>
                <w:rFonts w:hint="eastAsia" w:ascii="仿宋_GB2312" w:hAnsi="仿宋" w:eastAsia="仿宋_GB2312"/>
                <w:b/>
                <w:sz w:val="32"/>
                <w:szCs w:val="32"/>
                <w:u w:val="none"/>
              </w:rPr>
              <w:t>电话</w:t>
            </w:r>
          </w:p>
        </w:tc>
        <w:tc>
          <w:tcPr>
            <w:tcW w:w="3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自评</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得分</w:t>
            </w:r>
          </w:p>
        </w:tc>
        <w:tc>
          <w:tcPr>
            <w:tcW w:w="2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32"/>
                <w:szCs w:val="32"/>
                <w:u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32"/>
                <w:szCs w:val="32"/>
                <w:u w:val="none"/>
              </w:rPr>
            </w:pPr>
            <w:r>
              <w:rPr>
                <w:rFonts w:hint="eastAsia" w:ascii="仿宋_GB2312" w:hAnsi="仿宋" w:eastAsia="仿宋_GB2312"/>
                <w:b/>
                <w:sz w:val="32"/>
                <w:szCs w:val="32"/>
                <w:u w:val="none"/>
              </w:rPr>
              <w:t>考核</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sz w:val="32"/>
                <w:szCs w:val="32"/>
                <w:u w:val="none"/>
              </w:rPr>
            </w:pPr>
            <w:r>
              <w:rPr>
                <w:rFonts w:hint="eastAsia" w:ascii="仿宋_GB2312" w:hAnsi="仿宋" w:eastAsia="仿宋_GB2312"/>
                <w:b/>
                <w:sz w:val="32"/>
                <w:szCs w:val="32"/>
                <w:u w:val="none"/>
              </w:rPr>
              <w:t>得分</w:t>
            </w:r>
          </w:p>
        </w:tc>
        <w:tc>
          <w:tcPr>
            <w:tcW w:w="3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2"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安全</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宣传</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教育</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基地</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基本</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情况</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（突出</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基地</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r>
              <w:rPr>
                <w:rFonts w:hint="eastAsia" w:ascii="仿宋_GB2312" w:hAnsi="仿宋" w:eastAsia="仿宋_GB2312"/>
                <w:b/>
                <w:color w:val="000000"/>
                <w:sz w:val="32"/>
                <w:szCs w:val="32"/>
                <w:u w:val="none"/>
              </w:rPr>
              <w:t>建设</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28"/>
                <w:szCs w:val="28"/>
                <w:u w:val="none"/>
              </w:rPr>
            </w:pPr>
            <w:r>
              <w:rPr>
                <w:rFonts w:hint="eastAsia" w:ascii="仿宋_GB2312" w:hAnsi="仿宋" w:eastAsia="仿宋_GB2312"/>
                <w:b/>
                <w:color w:val="000000"/>
                <w:sz w:val="32"/>
                <w:szCs w:val="32"/>
                <w:u w:val="none"/>
              </w:rPr>
              <w:t>亮点）</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b/>
                <w:color w:val="000000"/>
                <w:sz w:val="32"/>
                <w:szCs w:val="32"/>
                <w:u w:val="none"/>
              </w:rPr>
            </w:pPr>
          </w:p>
        </w:tc>
        <w:tc>
          <w:tcPr>
            <w:tcW w:w="73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wordWrap w:val="0"/>
              <w:overflowPunct/>
              <w:topLinePunct w:val="0"/>
              <w:autoSpaceDE/>
              <w:autoSpaceDN/>
              <w:bidi w:val="0"/>
              <w:adjustRightInd/>
              <w:snapToGrid/>
              <w:spacing w:line="590" w:lineRule="exact"/>
              <w:jc w:val="right"/>
              <w:textAlignment w:val="auto"/>
              <w:outlineLvl w:val="9"/>
              <w:rPr>
                <w:rFonts w:ascii="仿宋" w:hAnsi="仿宋" w:eastAsia="仿宋"/>
                <w:b/>
                <w:sz w:val="28"/>
                <w:szCs w:val="28"/>
                <w:u w:val="none"/>
              </w:rPr>
            </w:pPr>
            <w:r>
              <w:rPr>
                <w:rFonts w:hint="eastAsia" w:ascii="仿宋" w:hAnsi="仿宋" w:eastAsia="仿宋"/>
                <w:b/>
                <w:sz w:val="28"/>
                <w:szCs w:val="28"/>
                <w:u w:val="none"/>
                <w:lang w:val="en-US" w:eastAsia="zh-CN"/>
              </w:rPr>
              <w:t>申报</w:t>
            </w:r>
            <w:r>
              <w:rPr>
                <w:rFonts w:hint="eastAsia" w:ascii="仿宋" w:hAnsi="仿宋" w:eastAsia="仿宋"/>
                <w:b/>
                <w:sz w:val="28"/>
                <w:szCs w:val="28"/>
                <w:u w:val="none"/>
              </w:rPr>
              <w:t>单位：    （盖章）</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r>
              <w:rPr>
                <w:rFonts w:hint="eastAsia" w:ascii="仿宋" w:hAnsi="仿宋" w:eastAsia="仿宋"/>
                <w:b/>
                <w:sz w:val="28"/>
                <w:szCs w:val="28"/>
                <w:u w:val="none"/>
              </w:rPr>
              <w:t xml:space="preserve"> </w:t>
            </w:r>
            <w:r>
              <w:rPr>
                <w:rFonts w:ascii="仿宋" w:hAnsi="仿宋" w:eastAsia="仿宋"/>
                <w:b/>
                <w:sz w:val="28"/>
                <w:szCs w:val="28"/>
                <w:u w:val="none"/>
              </w:rPr>
              <w:t xml:space="preserve">                         </w:t>
            </w:r>
            <w:r>
              <w:rPr>
                <w:rFonts w:hint="eastAsia" w:ascii="仿宋" w:hAnsi="仿宋" w:eastAsia="仿宋"/>
                <w:b/>
                <w:sz w:val="28"/>
                <w:szCs w:val="28"/>
                <w:u w:val="none"/>
              </w:rPr>
              <w:t xml:space="preserve">日期：   </w:t>
            </w:r>
            <w:r>
              <w:rPr>
                <w:rFonts w:ascii="仿宋" w:hAnsi="仿宋" w:eastAsia="仿宋"/>
                <w:b/>
                <w:sz w:val="28"/>
                <w:szCs w:val="28"/>
                <w:u w:val="none"/>
              </w:rPr>
              <w:t xml:space="preserve"> </w:t>
            </w:r>
            <w:r>
              <w:rPr>
                <w:rFonts w:hint="eastAsia" w:ascii="仿宋" w:hAnsi="仿宋" w:eastAsia="仿宋"/>
                <w:b/>
                <w:sz w:val="28"/>
                <w:szCs w:val="28"/>
                <w:u w:val="none"/>
              </w:rPr>
              <w:t xml:space="preserve">年    月 </w:t>
            </w:r>
            <w:r>
              <w:rPr>
                <w:rFonts w:ascii="仿宋" w:hAnsi="仿宋" w:eastAsia="仿宋"/>
                <w:b/>
                <w:sz w:val="28"/>
                <w:szCs w:val="28"/>
                <w:u w:val="none"/>
              </w:rPr>
              <w:t xml:space="preserve">   </w:t>
            </w:r>
            <w:r>
              <w:rPr>
                <w:rFonts w:hint="eastAsia" w:ascii="仿宋" w:hAnsi="仿宋" w:eastAsia="仿宋"/>
                <w:b/>
                <w:sz w:val="28"/>
                <w:szCs w:val="28"/>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eastAsia="仿宋_GB2312"/>
                <w:b/>
                <w:color w:val="000000"/>
                <w:sz w:val="32"/>
                <w:szCs w:val="32"/>
                <w:u w:val="none"/>
                <w:lang w:eastAsia="zh-CN"/>
              </w:rPr>
            </w:pPr>
            <w:r>
              <w:rPr>
                <w:rFonts w:hint="eastAsia" w:ascii="仿宋_GB2312" w:hAnsi="仿宋" w:eastAsia="仿宋_GB2312"/>
                <w:b/>
                <w:color w:val="000000"/>
                <w:sz w:val="32"/>
                <w:szCs w:val="32"/>
                <w:u w:val="none"/>
                <w:lang w:val="en-US" w:eastAsia="zh-CN"/>
              </w:rPr>
              <w:t>市安委会或区安委会成员单位</w:t>
            </w:r>
            <w:r>
              <w:rPr>
                <w:rFonts w:hint="eastAsia" w:ascii="仿宋_GB2312" w:hAnsi="仿宋" w:eastAsia="仿宋_GB2312"/>
                <w:b/>
                <w:color w:val="000000"/>
                <w:sz w:val="32"/>
                <w:szCs w:val="32"/>
                <w:u w:val="none"/>
                <w:lang w:eastAsia="zh-CN"/>
              </w:rPr>
              <w:t>推荐意见</w:t>
            </w:r>
          </w:p>
        </w:tc>
        <w:tc>
          <w:tcPr>
            <w:tcW w:w="73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 w:hAnsi="仿宋" w:eastAsia="仿宋"/>
                <w:b/>
                <w:sz w:val="28"/>
                <w:szCs w:val="28"/>
                <w:u w:val="none"/>
                <w:lang w:val="en-US" w:eastAsia="zh-CN"/>
              </w:rPr>
            </w:pPr>
            <w:r>
              <w:rPr>
                <w:rFonts w:hint="eastAsia" w:ascii="仿宋" w:hAnsi="仿宋" w:eastAsia="仿宋"/>
                <w:b/>
                <w:sz w:val="28"/>
                <w:szCs w:val="28"/>
                <w:u w:val="none"/>
                <w:lang w:val="en-US" w:eastAsia="zh-CN"/>
              </w:rPr>
              <w:t xml:space="preserve">                   </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 w:hAnsi="仿宋" w:eastAsia="仿宋"/>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 w:hAnsi="仿宋" w:eastAsia="仿宋"/>
                <w:b/>
                <w:sz w:val="28"/>
                <w:szCs w:val="28"/>
                <w:u w:val="none"/>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 w:hAnsi="仿宋" w:eastAsia="仿宋"/>
                <w:b/>
                <w:sz w:val="28"/>
                <w:szCs w:val="28"/>
                <w:u w:val="none"/>
                <w:lang w:eastAsia="zh-CN"/>
              </w:rPr>
            </w:pPr>
            <w:r>
              <w:rPr>
                <w:rFonts w:hint="eastAsia" w:ascii="仿宋" w:hAnsi="仿宋" w:eastAsia="仿宋"/>
                <w:b/>
                <w:sz w:val="28"/>
                <w:szCs w:val="28"/>
                <w:u w:val="none"/>
                <w:lang w:val="en-US" w:eastAsia="zh-CN"/>
              </w:rPr>
              <w:t xml:space="preserve">                   </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 w:hAnsi="仿宋" w:eastAsia="仿宋"/>
                <w:b/>
                <w:sz w:val="28"/>
                <w:szCs w:val="28"/>
                <w:u w:val="none"/>
                <w:lang w:val="en-US" w:eastAsia="zh-CN"/>
              </w:rPr>
            </w:pPr>
            <w:r>
              <w:rPr>
                <w:rFonts w:hint="eastAsia" w:ascii="仿宋" w:hAnsi="仿宋" w:eastAsia="仿宋"/>
                <w:b/>
                <w:sz w:val="28"/>
                <w:szCs w:val="28"/>
                <w:u w:val="none"/>
                <w:lang w:val="en-US" w:eastAsia="zh-CN"/>
              </w:rPr>
              <w:t xml:space="preserve">                    </w:t>
            </w:r>
            <w:r>
              <w:rPr>
                <w:rFonts w:hint="eastAsia" w:ascii="仿宋" w:hAnsi="仿宋" w:eastAsia="仿宋"/>
                <w:b/>
                <w:sz w:val="28"/>
                <w:szCs w:val="28"/>
                <w:u w:val="none"/>
                <w:lang w:eastAsia="zh-CN"/>
              </w:rPr>
              <w:t>推荐单位（盖章）</w:t>
            </w:r>
            <w:r>
              <w:rPr>
                <w:rFonts w:hint="eastAsia" w:ascii="仿宋" w:hAnsi="仿宋" w:eastAsia="仿宋"/>
                <w:b/>
                <w:sz w:val="28"/>
                <w:szCs w:val="28"/>
                <w:u w:val="none"/>
                <w:lang w:val="en-US" w:eastAsia="zh-CN"/>
              </w:rPr>
              <w:t xml:space="preserve">                       </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 w:hAnsi="仿宋" w:eastAsia="仿宋"/>
                <w:b/>
                <w:sz w:val="28"/>
                <w:szCs w:val="28"/>
                <w:u w:val="none"/>
                <w:lang w:val="en-US" w:eastAsia="zh-CN"/>
              </w:rPr>
            </w:pPr>
            <w:r>
              <w:rPr>
                <w:rFonts w:hint="eastAsia" w:ascii="仿宋" w:hAnsi="仿宋" w:eastAsia="仿宋"/>
                <w:b/>
                <w:sz w:val="28"/>
                <w:szCs w:val="28"/>
                <w:u w:val="none"/>
                <w:lang w:val="en-US" w:eastAsia="zh-CN"/>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
                <w:b/>
                <w:sz w:val="32"/>
                <w:szCs w:val="32"/>
                <w:u w:val="none"/>
                <w:lang w:eastAsia="zh-CN"/>
              </w:rPr>
            </w:pPr>
            <w:r>
              <w:rPr>
                <w:rFonts w:hint="eastAsia" w:ascii="仿宋_GB2312" w:hAnsi="仿宋"/>
                <w:b/>
                <w:sz w:val="32"/>
                <w:szCs w:val="32"/>
                <w:u w:val="none"/>
                <w:lang w:eastAsia="zh-CN"/>
              </w:rPr>
              <w:t>市应急管理局</w:t>
            </w:r>
          </w:p>
          <w:p>
            <w:pPr>
              <w:keepNext w:val="0"/>
              <w:keepLines w:val="0"/>
              <w:pageBreakBefore w:val="0"/>
              <w:kinsoku/>
              <w:overflowPunct/>
              <w:topLinePunct w:val="0"/>
              <w:autoSpaceDE/>
              <w:autoSpaceDN/>
              <w:bidi w:val="0"/>
              <w:adjustRightInd/>
              <w:snapToGrid/>
              <w:spacing w:line="590" w:lineRule="exact"/>
              <w:ind w:left="316" w:hanging="316" w:hangingChars="100"/>
              <w:jc w:val="both"/>
              <w:textAlignment w:val="auto"/>
              <w:outlineLvl w:val="9"/>
              <w:rPr>
                <w:rFonts w:ascii="仿宋_GB2312" w:hAnsi="仿宋" w:eastAsia="仿宋_GB2312"/>
                <w:b/>
                <w:sz w:val="32"/>
                <w:szCs w:val="32"/>
                <w:u w:val="none"/>
              </w:rPr>
            </w:pPr>
            <w:r>
              <w:rPr>
                <w:rFonts w:hint="eastAsia" w:ascii="仿宋_GB2312" w:hAnsi="仿宋" w:eastAsia="仿宋_GB2312"/>
                <w:b/>
                <w:sz w:val="32"/>
                <w:szCs w:val="32"/>
                <w:u w:val="none"/>
              </w:rPr>
              <w:t>审核意见</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tc>
        <w:tc>
          <w:tcPr>
            <w:tcW w:w="73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ascii="仿宋" w:hAnsi="仿宋" w:eastAsia="仿宋"/>
                <w:b/>
                <w:sz w:val="28"/>
                <w:szCs w:val="28"/>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p>
          <w:p>
            <w:pPr>
              <w:keepNext w:val="0"/>
              <w:keepLines w:val="0"/>
              <w:pageBreakBefore w:val="0"/>
              <w:kinsoku/>
              <w:wordWrap w:val="0"/>
              <w:overflowPunct/>
              <w:topLinePunct w:val="0"/>
              <w:autoSpaceDE/>
              <w:autoSpaceDN/>
              <w:bidi w:val="0"/>
              <w:adjustRightInd/>
              <w:snapToGrid/>
              <w:spacing w:line="590" w:lineRule="exact"/>
              <w:jc w:val="right"/>
              <w:textAlignment w:val="auto"/>
              <w:outlineLvl w:val="9"/>
              <w:rPr>
                <w:rFonts w:ascii="仿宋" w:hAnsi="仿宋" w:eastAsia="仿宋"/>
                <w:b/>
                <w:sz w:val="28"/>
                <w:szCs w:val="28"/>
                <w:u w:val="none"/>
              </w:rPr>
            </w:pPr>
            <w:r>
              <w:rPr>
                <w:rFonts w:hint="eastAsia" w:ascii="仿宋" w:hAnsi="仿宋" w:eastAsia="仿宋"/>
                <w:b/>
                <w:sz w:val="28"/>
                <w:szCs w:val="28"/>
                <w:u w:val="none"/>
              </w:rPr>
              <w:t>深圳市</w:t>
            </w:r>
            <w:r>
              <w:rPr>
                <w:rFonts w:hint="eastAsia" w:ascii="仿宋" w:hAnsi="仿宋" w:eastAsia="仿宋"/>
                <w:b/>
                <w:sz w:val="28"/>
                <w:szCs w:val="28"/>
                <w:u w:val="none"/>
                <w:lang w:eastAsia="zh-CN"/>
              </w:rPr>
              <w:t>应急管理局</w:t>
            </w:r>
            <w:r>
              <w:rPr>
                <w:rFonts w:hint="eastAsia" w:ascii="仿宋" w:hAnsi="仿宋" w:eastAsia="仿宋"/>
                <w:b/>
                <w:sz w:val="28"/>
                <w:szCs w:val="28"/>
                <w:u w:val="none"/>
              </w:rPr>
              <w:t>（盖章）</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 w:hAnsi="仿宋" w:eastAsia="仿宋"/>
                <w:b/>
                <w:sz w:val="28"/>
                <w:szCs w:val="28"/>
                <w:u w:val="none"/>
              </w:rPr>
            </w:pPr>
            <w:r>
              <w:rPr>
                <w:rFonts w:ascii="仿宋" w:hAnsi="仿宋" w:eastAsia="仿宋"/>
                <w:b/>
                <w:sz w:val="28"/>
                <w:szCs w:val="28"/>
                <w:u w:val="none"/>
              </w:rPr>
              <w:t xml:space="preserve">            </w:t>
            </w:r>
            <w:r>
              <w:rPr>
                <w:rFonts w:hint="eastAsia" w:ascii="仿宋" w:hAnsi="仿宋" w:eastAsia="仿宋"/>
                <w:b/>
                <w:sz w:val="28"/>
                <w:szCs w:val="28"/>
                <w:u w:val="none"/>
                <w:lang w:val="en-US" w:eastAsia="zh-CN"/>
              </w:rPr>
              <w:t xml:space="preserve">               </w:t>
            </w:r>
            <w:r>
              <w:rPr>
                <w:rFonts w:hint="eastAsia" w:ascii="仿宋" w:hAnsi="仿宋" w:eastAsia="仿宋"/>
                <w:b/>
                <w:sz w:val="28"/>
                <w:szCs w:val="28"/>
                <w:u w:val="none"/>
              </w:rPr>
              <w:t>日期：   年    月    日</w:t>
            </w:r>
          </w:p>
        </w:tc>
      </w:tr>
    </w:tbl>
    <w:p>
      <w:pPr>
        <w:rPr>
          <w:u w:val="none"/>
        </w:rPr>
      </w:pPr>
    </w:p>
    <w:sectPr>
      <w:headerReference r:id="rId4" w:type="default"/>
      <w:footerReference r:id="rId5" w:type="default"/>
      <w:pgSz w:w="11905" w:h="16838"/>
      <w:pgMar w:top="2098" w:right="1474" w:bottom="1984" w:left="1587" w:header="851" w:footer="1587" w:gutter="0"/>
      <w:pgNumType w:fmt="decimal" w:start="20"/>
      <w:cols w:space="720" w:num="1"/>
      <w:rtlGutter w:val="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AwrL0BAABiAwAADgAAAGRycy9lMm9Eb2MueG1srVPBjtMwEL0j8Q+W&#10;7zTZSqAqaroCrRYhIUBa+ADXsRtLtscau03KB8AfcOLCne/qdzB2k+4Ct9VenPHM+M17M5P19egs&#10;OyiMBnzLrxY1Z8pL6IzftfzL59sXK85iEr4TFrxq+VFFfr15/mw9hEYtoQfbKWQE4mMzhJb3KYWm&#10;qqLslRNxAUF5CmpAJxJdcVd1KAZCd7Za1vWragDsAoJUMZL35hzkm4KvtZLpo9ZRJWZbTtxSObGc&#10;23xWm7VodihCb+REQzyChRPGU9EL1I1Igu3R/AfljESIoNNCgqtAayNV0UBqrup/1Nz1IqiihZoT&#10;w6VN8elg5YfDJ2Smo9lx5oWjEZ1+fD/9/H369Y29zO0ZQmwo6y5QXhrfwJhTJ38kZ1Y9anT5S3oY&#10;xanRx0tz1ZiYzI9Wy9WqppCk2HwhnOr+ecCY3ipwLBstR5peaao4vI/pnDqn5Goebo215BeN9X85&#10;CDN7qsz9zDFbadyOE/EtdEfSQ4tLdXrAr5wNtAQt97SlnNl3nnqc92U2cDa2syG8pIctT5ztA5pd&#10;X3Yr04jh9T4Rt0I5Fz5Xm/jQIIvoaenypjy8l6z7X2P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mgDCsvQEAAGIDAAAOAAAAAAAAAAEAIAAAAB4BAABkcnMvZTJvRG9jLnhtbFBLBQYAAAAA&#10;BgAGAFkBAABN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OEOL4BAABiAwAADgAAAGRycy9lMm9Eb2MueG1srVPNahsxEL4X8g5C&#10;91gbB4JZLIeGkBAobSHtA8haySuQNEKSves+QPsGPfXSe5/Lz9GR7HX6cyu9aEczo2++b2Z2eTs6&#10;S3YqJgOe06tZQ4nyEjrjN5x+/PBwuaAkZeE7YcErTvcq0dvVxavlEFo1hx5spyJBEJ/aIXDa5xxa&#10;xpLslRNpBkF5DGqITmS8xg3rohgQ3Vk2b5obNkDsQgSpUkLv/TFIVxVfayXzO62TysRyitxyPWM9&#10;1+Vkq6VoN1GE3sgTDfEPLJwwHoueoe5FFmQbzV9QzsgICXSeSXAMtDZSVQ2o5qr5Q81zL4KqWrA5&#10;KZzblP4frHy7ex+J6Ti9psQLhyM6fP1y+Pbj8P0zuSntGUJqMes5YF4e72DEMU/+hM6ietTRlS/q&#10;IRjHRu/PzVVjJrI8WswXiwZDEmPTBfHZy/MQU35U4EgxOI04vdpUsXuT8jF1SinVPDwYa+sErf/N&#10;gZjFwwr3I8di5XE9ngStodujHlxcrNND/ETJgEvAqcctpcQ+eexx2ZfJiJOxngzhJT7kNFOyDdFs&#10;+rpbhUYKr7cZuVXKpfCx2okPDrKKPi1d2ZRf7zXr5ddY/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MyOEOL4BAABiAwAADgAAAAAAAAABACAAAAAeAQAAZHJzL2Uyb0RvYy54bWxQSwUGAAAA&#10;AAYABgBZAQAATgU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B26F5"/>
    <w:multiLevelType w:val="singleLevel"/>
    <w:tmpl w:val="FBCB26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12F3F"/>
    <w:rsid w:val="16727478"/>
    <w:rsid w:val="1B314283"/>
    <w:rsid w:val="1D057DAA"/>
    <w:rsid w:val="2F415A33"/>
    <w:rsid w:val="3AC30DB5"/>
    <w:rsid w:val="4BCA1241"/>
    <w:rsid w:val="4F644A8F"/>
    <w:rsid w:val="506A4CD4"/>
    <w:rsid w:val="569F78CC"/>
    <w:rsid w:val="5D477CFB"/>
    <w:rsid w:val="5E6F389B"/>
    <w:rsid w:val="638355E6"/>
    <w:rsid w:val="6547431B"/>
    <w:rsid w:val="6F2D59C3"/>
    <w:rsid w:val="711D57FA"/>
    <w:rsid w:val="7A2D4AC7"/>
    <w:rsid w:val="7BB7112D"/>
    <w:rsid w:val="7F431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link w:val="7"/>
    <w:semiHidden/>
    <w:uiPriority w:val="0"/>
    <w:rPr>
      <w:rFonts w:ascii="Verdana" w:hAnsi="Verdana"/>
      <w:kern w:val="0"/>
      <w:sz w:val="24"/>
      <w:szCs w:val="20"/>
      <w:lang w:eastAsia="en-US"/>
    </w:rPr>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exact"/>
      <w:ind w:firstLine="862" w:firstLineChars="200"/>
    </w:pPr>
    <w:rPr>
      <w:rFonts w:ascii="仿宋" w:hAnsi="仿宋" w:eastAsia="仿宋" w:cs="仿宋"/>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Char Char Char Char Char Char Char Char Char Char Char Char Char Char Char Char Char"/>
    <w:basedOn w:val="1"/>
    <w:link w:val="6"/>
    <w:qFormat/>
    <w:uiPriority w:val="0"/>
    <w:pPr>
      <w:widowControl/>
      <w:spacing w:after="160" w:line="240" w:lineRule="exact"/>
      <w:jc w:val="left"/>
    </w:pPr>
    <w:rPr>
      <w:rFonts w:ascii="Verdana" w:hAnsi="Verdana"/>
      <w:kern w:val="0"/>
      <w:sz w:val="24"/>
      <w:szCs w:val="20"/>
      <w:lang w:eastAsia="en-US"/>
    </w:rPr>
  </w:style>
  <w:style w:type="character" w:styleId="8">
    <w:name w:val="page number"/>
    <w:basedOn w:val="6"/>
    <w:qFormat/>
    <w:uiPriority w:val="0"/>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好饭友</cp:lastModifiedBy>
  <cp:lastPrinted>2020-06-30T02:52:01Z</cp:lastPrinted>
  <dcterms:modified xsi:type="dcterms:W3CDTF">2020-07-03T09:52:45Z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