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ascii="仿宋_GB2312" w:hAnsi="Times New Roman" w:eastAsia="仿宋_GB2312"/>
          <w:color w:val="000000"/>
          <w:kern w:val="0"/>
          <w:sz w:val="32"/>
          <w:szCs w:val="32"/>
        </w:rPr>
      </w:pPr>
      <w:bookmarkStart w:id="23" w:name="_GoBack"/>
      <w:bookmarkEnd w:id="23"/>
    </w:p>
    <w:p>
      <w:pPr>
        <w:spacing w:line="560" w:lineRule="exact"/>
        <w:jc w:val="right"/>
        <w:rPr>
          <w:rFonts w:ascii="仿宋_GB2312" w:hAnsi="Times New Roman" w:eastAsia="仿宋_GB2312"/>
          <w:color w:val="000000"/>
          <w:kern w:val="0"/>
          <w:sz w:val="32"/>
          <w:szCs w:val="32"/>
        </w:rPr>
      </w:pPr>
    </w:p>
    <w:p>
      <w:pPr>
        <w:spacing w:line="560" w:lineRule="exact"/>
        <w:jc w:val="right"/>
        <w:rPr>
          <w:rFonts w:ascii="仿宋_GB2312" w:hAnsi="Times New Roman" w:eastAsia="仿宋_GB2312"/>
          <w:color w:val="000000"/>
          <w:kern w:val="0"/>
          <w:sz w:val="32"/>
          <w:szCs w:val="32"/>
        </w:rPr>
      </w:pPr>
    </w:p>
    <w:p>
      <w:pPr>
        <w:spacing w:after="200" w:line="360" w:lineRule="auto"/>
        <w:jc w:val="left"/>
        <w:rPr>
          <w:rFonts w:ascii="仿宋" w:hAnsi="仿宋" w:eastAsia="仿宋"/>
          <w:sz w:val="32"/>
          <w:szCs w:val="32"/>
        </w:rPr>
      </w:pPr>
    </w:p>
    <w:p>
      <w:pPr>
        <w:spacing w:after="200" w:line="360" w:lineRule="auto"/>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前海深港现代服务业合作区区域集中供冷管理暂行办法（征求</w:t>
      </w:r>
      <w:r>
        <w:rPr>
          <w:rFonts w:asciiTheme="majorEastAsia" w:hAnsiTheme="majorEastAsia" w:eastAsiaTheme="majorEastAsia"/>
          <w:sz w:val="44"/>
          <w:szCs w:val="44"/>
        </w:rPr>
        <w:t>意见稿</w:t>
      </w:r>
      <w:r>
        <w:rPr>
          <w:rFonts w:hint="eastAsia" w:asciiTheme="majorEastAsia" w:hAnsiTheme="majorEastAsia" w:eastAsiaTheme="majorEastAsia"/>
          <w:sz w:val="44"/>
          <w:szCs w:val="44"/>
        </w:rPr>
        <w:t>）</w:t>
      </w:r>
    </w:p>
    <w:p>
      <w:pPr>
        <w:spacing w:after="200" w:line="360" w:lineRule="auto"/>
        <w:jc w:val="center"/>
        <w:rPr>
          <w:rFonts w:asciiTheme="majorEastAsia" w:hAnsiTheme="majorEastAsia" w:eastAsiaTheme="majorEastAsia"/>
          <w:sz w:val="44"/>
          <w:szCs w:val="44"/>
        </w:rPr>
      </w:pPr>
    </w:p>
    <w:p>
      <w:pPr>
        <w:spacing w:after="200" w:line="360" w:lineRule="auto"/>
        <w:jc w:val="center"/>
        <w:rPr>
          <w:rFonts w:ascii="仿宋" w:hAnsi="仿宋" w:eastAsia="仿宋"/>
          <w:b/>
          <w:sz w:val="32"/>
          <w:szCs w:val="32"/>
        </w:rPr>
      </w:pPr>
      <w:r>
        <w:rPr>
          <w:rFonts w:hint="eastAsia" w:ascii="仿宋" w:hAnsi="仿宋" w:eastAsia="仿宋"/>
          <w:b/>
          <w:sz w:val="32"/>
          <w:szCs w:val="32"/>
        </w:rPr>
        <w:t>第一章 总则</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第一条 </w:t>
      </w:r>
      <w:r>
        <w:rPr>
          <w:rFonts w:hint="eastAsia" w:ascii="仿宋" w:hAnsi="仿宋" w:eastAsia="仿宋"/>
          <w:sz w:val="32"/>
          <w:szCs w:val="32"/>
        </w:rPr>
        <w:t>为贯彻落实“低碳、生态、节能、环保”的可持续发展理念，推广应用区域集中供冷系统，规范投资建设和运营管理，维护供冷单位和用户等的合法权益，根据《深圳经济特区前海深港现代服务业合作区条例》、《深圳市前海深港现代服务业合作区管理局暂行办法》等法规规章的规定，结合前海深港现代服务业合作区（以下简称“前海深港合作区”）的实际情况，制定本办法。</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第二条 </w:t>
      </w:r>
      <w:r>
        <w:rPr>
          <w:rFonts w:hint="eastAsia" w:ascii="仿宋" w:hAnsi="仿宋" w:eastAsia="仿宋"/>
          <w:sz w:val="32"/>
          <w:szCs w:val="32"/>
        </w:rPr>
        <w:t>前海深港合作区区域集中供冷系统是前海深港合作区重要的市政公用基础设施，前海深港合作区内的区域集中供冷系统的规划、设计</w:t>
      </w:r>
      <w:r>
        <w:rPr>
          <w:rFonts w:ascii="仿宋" w:hAnsi="仿宋" w:eastAsia="仿宋"/>
          <w:sz w:val="32"/>
          <w:szCs w:val="32"/>
        </w:rPr>
        <w:t>、</w:t>
      </w:r>
      <w:r>
        <w:rPr>
          <w:rFonts w:hint="eastAsia" w:ascii="仿宋" w:hAnsi="仿宋" w:eastAsia="仿宋"/>
          <w:sz w:val="32"/>
          <w:szCs w:val="32"/>
        </w:rPr>
        <w:t>建设、管理、经营和使用均适用本办法。</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第三条 </w:t>
      </w:r>
      <w:r>
        <w:rPr>
          <w:rFonts w:hint="eastAsia" w:ascii="仿宋" w:hAnsi="仿宋" w:eastAsia="仿宋"/>
          <w:sz w:val="32"/>
          <w:szCs w:val="32"/>
        </w:rPr>
        <w:t>本办法所称区域集中供冷系统是指前海深港合作区统一规划、集中向所覆盖区域内各用冷建筑提供冷冻水的空调冷源系统。</w:t>
      </w:r>
    </w:p>
    <w:p>
      <w:pPr>
        <w:spacing w:after="200" w:line="360" w:lineRule="auto"/>
        <w:ind w:firstLine="640" w:firstLineChars="200"/>
        <w:rPr>
          <w:rFonts w:ascii="仿宋" w:hAnsi="仿宋" w:eastAsia="仿宋"/>
          <w:sz w:val="32"/>
          <w:szCs w:val="32"/>
        </w:rPr>
      </w:pPr>
      <w:r>
        <w:rPr>
          <w:rFonts w:hint="eastAsia" w:ascii="仿宋" w:hAnsi="仿宋" w:eastAsia="仿宋"/>
          <w:sz w:val="32"/>
          <w:szCs w:val="32"/>
        </w:rPr>
        <w:t>区域集中供冷系统的供冷设施包括冷站制冷及配套设施、市政供冷管网、供冷计量装置和用冷建筑换热设施等。</w:t>
      </w:r>
    </w:p>
    <w:p>
      <w:pPr>
        <w:spacing w:after="200" w:line="360" w:lineRule="auto"/>
        <w:ind w:firstLine="640" w:firstLineChars="200"/>
        <w:rPr>
          <w:rFonts w:ascii="仿宋" w:hAnsi="仿宋" w:eastAsia="仿宋"/>
          <w:sz w:val="32"/>
          <w:szCs w:val="32"/>
        </w:rPr>
      </w:pPr>
      <w:r>
        <w:rPr>
          <w:rFonts w:hint="eastAsia" w:ascii="仿宋" w:hAnsi="仿宋" w:eastAsia="仿宋"/>
          <w:sz w:val="32"/>
          <w:szCs w:val="32"/>
        </w:rPr>
        <w:t>本办法所称用户，是指用冷建筑的产权单位或物业管理单位。</w:t>
      </w:r>
    </w:p>
    <w:p>
      <w:pPr>
        <w:spacing w:after="200" w:line="360" w:lineRule="auto"/>
        <w:ind w:firstLine="640" w:firstLineChars="200"/>
        <w:rPr>
          <w:rFonts w:ascii="仿宋" w:hAnsi="仿宋" w:eastAsia="仿宋"/>
          <w:sz w:val="32"/>
          <w:szCs w:val="32"/>
        </w:rPr>
      </w:pPr>
      <w:r>
        <w:rPr>
          <w:rFonts w:hint="eastAsia" w:ascii="仿宋" w:hAnsi="仿宋" w:eastAsia="仿宋"/>
          <w:sz w:val="32"/>
          <w:szCs w:val="32"/>
        </w:rPr>
        <w:t>本办法所称供冷单位，是指深圳市前海深港现代服务业合作区管理局通过合法方式授予供冷经营权的，在前海深港合作区从事区域集中供冷系统的规划</w:t>
      </w:r>
      <w:r>
        <w:rPr>
          <w:rFonts w:ascii="仿宋" w:hAnsi="仿宋" w:eastAsia="仿宋"/>
          <w:sz w:val="32"/>
          <w:szCs w:val="32"/>
        </w:rPr>
        <w:t>、设计、</w:t>
      </w:r>
      <w:r>
        <w:rPr>
          <w:rFonts w:hint="eastAsia" w:ascii="仿宋" w:hAnsi="仿宋" w:eastAsia="仿宋"/>
          <w:sz w:val="32"/>
          <w:szCs w:val="32"/>
        </w:rPr>
        <w:t>投资、建设、运营活动，并向用户提供相关服务的企业。</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第四条 </w:t>
      </w:r>
      <w:r>
        <w:rPr>
          <w:rFonts w:hint="eastAsia" w:ascii="仿宋" w:hAnsi="仿宋" w:eastAsia="仿宋"/>
          <w:sz w:val="32"/>
          <w:szCs w:val="32"/>
        </w:rPr>
        <w:t>前海深港合作区专项规划中含有区域集中供冷系统的新建、改建、扩建项目（不包括居住类建筑项目）的空调冷源，均在《土地使用权出让合同书》中予以约定。</w:t>
      </w:r>
    </w:p>
    <w:p>
      <w:pPr>
        <w:spacing w:after="200" w:line="360" w:lineRule="auto"/>
        <w:ind w:firstLine="640" w:firstLineChars="200"/>
        <w:rPr>
          <w:rFonts w:ascii="仿宋" w:hAnsi="仿宋" w:eastAsia="仿宋"/>
          <w:sz w:val="32"/>
          <w:szCs w:val="32"/>
        </w:rPr>
      </w:pPr>
      <w:r>
        <w:rPr>
          <w:rFonts w:hint="eastAsia" w:ascii="仿宋" w:hAnsi="仿宋" w:eastAsia="仿宋"/>
          <w:sz w:val="32"/>
          <w:szCs w:val="32"/>
        </w:rPr>
        <w:t>前海深港合作区规划建设的地铁车站和地下步行通道应优先采用区域集中供冷冷源。</w:t>
      </w:r>
    </w:p>
    <w:p>
      <w:pPr>
        <w:spacing w:after="200" w:line="360" w:lineRule="auto"/>
        <w:ind w:firstLine="482" w:firstLineChars="200"/>
        <w:rPr>
          <w:rFonts w:ascii="仿宋" w:hAnsi="仿宋" w:eastAsia="仿宋"/>
          <w:sz w:val="32"/>
          <w:szCs w:val="32"/>
        </w:rPr>
      </w:pPr>
      <w:r>
        <w:rPr>
          <w:rFonts w:hint="eastAsia" w:ascii="楷体_GB2312" w:hAnsi="仿宋" w:eastAsia="楷体_GB2312"/>
          <w:b/>
          <w:sz w:val="24"/>
        </w:rPr>
        <w:t>【注释】</w:t>
      </w:r>
      <w:r>
        <w:rPr>
          <w:rFonts w:hint="eastAsia" w:ascii="楷体_GB2312" w:hAnsi="仿宋" w:eastAsia="楷体_GB2312"/>
          <w:sz w:val="24"/>
        </w:rPr>
        <w:t>《前海合作区集中供冷经营权授予、运营、监督管理等机制研究课题》，对规划轨道</w:t>
      </w:r>
      <w:r>
        <w:rPr>
          <w:rFonts w:ascii="楷体_GB2312" w:hAnsi="仿宋" w:eastAsia="楷体_GB2312"/>
          <w:sz w:val="24"/>
        </w:rPr>
        <w:t>、地下步行通道用冷进行了研究，由于前海高强度</w:t>
      </w:r>
      <w:r>
        <w:rPr>
          <w:rFonts w:hint="eastAsia" w:ascii="楷体_GB2312" w:hAnsi="仿宋" w:eastAsia="楷体_GB2312"/>
          <w:sz w:val="24"/>
        </w:rPr>
        <w:t>、</w:t>
      </w:r>
      <w:r>
        <w:rPr>
          <w:rFonts w:ascii="楷体_GB2312" w:hAnsi="仿宋" w:eastAsia="楷体_GB2312"/>
          <w:sz w:val="24"/>
        </w:rPr>
        <w:t>高密度、小街区</w:t>
      </w:r>
      <w:r>
        <w:rPr>
          <w:rFonts w:hint="eastAsia" w:ascii="楷体_GB2312" w:hAnsi="仿宋" w:eastAsia="楷体_GB2312"/>
          <w:sz w:val="24"/>
        </w:rPr>
        <w:t>、</w:t>
      </w:r>
      <w:r>
        <w:rPr>
          <w:rFonts w:ascii="楷体_GB2312" w:hAnsi="仿宋" w:eastAsia="楷体_GB2312"/>
          <w:sz w:val="24"/>
        </w:rPr>
        <w:t>小尺度规划路网，规划轨道控制预留受</w:t>
      </w:r>
      <w:r>
        <w:rPr>
          <w:rFonts w:hint="eastAsia" w:ascii="楷体_GB2312" w:hAnsi="仿宋" w:eastAsia="楷体_GB2312"/>
          <w:sz w:val="24"/>
        </w:rPr>
        <w:t>道路</w:t>
      </w:r>
      <w:r>
        <w:rPr>
          <w:rFonts w:ascii="楷体_GB2312" w:hAnsi="仿宋" w:eastAsia="楷体_GB2312"/>
          <w:sz w:val="24"/>
        </w:rPr>
        <w:t>红线用地条件限制，</w:t>
      </w:r>
      <w:r>
        <w:rPr>
          <w:rFonts w:hint="eastAsia" w:ascii="楷体_GB2312" w:hAnsi="仿宋" w:eastAsia="楷体_GB2312"/>
          <w:sz w:val="24"/>
        </w:rPr>
        <w:t>轨道</w:t>
      </w:r>
      <w:r>
        <w:rPr>
          <w:rFonts w:ascii="楷体_GB2312" w:hAnsi="仿宋" w:eastAsia="楷体_GB2312"/>
          <w:sz w:val="24"/>
        </w:rPr>
        <w:t>风亭、出入口等均采取附建于周边建筑模式</w:t>
      </w:r>
      <w:r>
        <w:rPr>
          <w:rFonts w:hint="eastAsia" w:ascii="楷体_GB2312" w:hAnsi="仿宋" w:eastAsia="楷体_GB2312"/>
          <w:sz w:val="24"/>
        </w:rPr>
        <w:t>。因此</w:t>
      </w:r>
      <w:r>
        <w:rPr>
          <w:rFonts w:ascii="楷体_GB2312" w:hAnsi="仿宋" w:eastAsia="楷体_GB2312"/>
          <w:sz w:val="24"/>
        </w:rPr>
        <w:t>，独立占地布局冷却塔存在极大困难，</w:t>
      </w:r>
      <w:r>
        <w:rPr>
          <w:rFonts w:hint="eastAsia" w:ascii="楷体_GB2312" w:hAnsi="仿宋" w:eastAsia="楷体_GB2312"/>
          <w:sz w:val="24"/>
        </w:rPr>
        <w:t>且</w:t>
      </w:r>
      <w:r>
        <w:rPr>
          <w:rFonts w:ascii="楷体_GB2312" w:hAnsi="仿宋" w:eastAsia="楷体_GB2312"/>
          <w:sz w:val="24"/>
        </w:rPr>
        <w:t>对城市景观影响极大，采用集中供冷</w:t>
      </w:r>
      <w:r>
        <w:rPr>
          <w:rFonts w:hint="eastAsia" w:ascii="楷体_GB2312" w:hAnsi="仿宋" w:eastAsia="楷体_GB2312"/>
          <w:sz w:val="24"/>
        </w:rPr>
        <w:t>合理</w:t>
      </w:r>
      <w:r>
        <w:rPr>
          <w:rFonts w:ascii="楷体_GB2312" w:hAnsi="仿宋" w:eastAsia="楷体_GB2312"/>
          <w:sz w:val="24"/>
        </w:rPr>
        <w:t>、可行</w:t>
      </w:r>
      <w:r>
        <w:rPr>
          <w:rFonts w:hint="eastAsia" w:ascii="楷体_GB2312" w:hAnsi="仿宋" w:eastAsia="楷体_GB2312"/>
          <w:sz w:val="24"/>
        </w:rPr>
        <w:t>；</w:t>
      </w:r>
      <w:r>
        <w:rPr>
          <w:rFonts w:ascii="楷体_GB2312" w:hAnsi="仿宋" w:eastAsia="楷体_GB2312"/>
          <w:sz w:val="24"/>
        </w:rPr>
        <w:t>地下步行通道采用集中供冷，</w:t>
      </w:r>
      <w:r>
        <w:rPr>
          <w:rFonts w:hint="eastAsia" w:ascii="楷体_GB2312" w:hAnsi="仿宋" w:eastAsia="楷体_GB2312"/>
          <w:sz w:val="24"/>
        </w:rPr>
        <w:t>对提高步行</w:t>
      </w:r>
      <w:r>
        <w:rPr>
          <w:rFonts w:ascii="楷体_GB2312" w:hAnsi="仿宋" w:eastAsia="楷体_GB2312"/>
          <w:sz w:val="24"/>
        </w:rPr>
        <w:t>环境舒适性、</w:t>
      </w:r>
      <w:r>
        <w:rPr>
          <w:rFonts w:hint="eastAsia" w:ascii="楷体_GB2312" w:hAnsi="仿宋" w:eastAsia="楷体_GB2312"/>
          <w:sz w:val="24"/>
        </w:rPr>
        <w:t>提高</w:t>
      </w:r>
      <w:r>
        <w:rPr>
          <w:rFonts w:ascii="楷体_GB2312" w:hAnsi="仿宋" w:eastAsia="楷体_GB2312"/>
          <w:sz w:val="24"/>
        </w:rPr>
        <w:t>行人</w:t>
      </w:r>
      <w:r>
        <w:rPr>
          <w:rFonts w:hint="eastAsia" w:ascii="楷体_GB2312" w:hAnsi="仿宋" w:eastAsia="楷体_GB2312"/>
          <w:sz w:val="24"/>
        </w:rPr>
        <w:t>公共交通</w:t>
      </w:r>
      <w:r>
        <w:rPr>
          <w:rFonts w:ascii="楷体_GB2312" w:hAnsi="仿宋" w:eastAsia="楷体_GB2312"/>
          <w:sz w:val="24"/>
        </w:rPr>
        <w:t>出行</w:t>
      </w:r>
      <w:r>
        <w:rPr>
          <w:rFonts w:hint="eastAsia" w:ascii="楷体_GB2312" w:hAnsi="仿宋" w:eastAsia="楷体_GB2312"/>
          <w:sz w:val="24"/>
        </w:rPr>
        <w:t>均有重要</w:t>
      </w:r>
      <w:r>
        <w:rPr>
          <w:rFonts w:ascii="楷体_GB2312" w:hAnsi="仿宋" w:eastAsia="楷体_GB2312"/>
          <w:sz w:val="24"/>
        </w:rPr>
        <w:t>作用。</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第五条 </w:t>
      </w:r>
      <w:r>
        <w:rPr>
          <w:rFonts w:hint="eastAsia" w:ascii="仿宋" w:hAnsi="仿宋" w:eastAsia="仿宋"/>
          <w:sz w:val="32"/>
          <w:szCs w:val="32"/>
        </w:rPr>
        <w:t>深圳市前海深港现代服务业合作区管理局是区域集中供冷的主管部门（以下简称“主管部门”），负责实施本区区域集中供冷项目经营权授予及监督管理工作。</w:t>
      </w:r>
    </w:p>
    <w:p>
      <w:pPr>
        <w:spacing w:after="200" w:line="360" w:lineRule="auto"/>
        <w:ind w:firstLine="640" w:firstLineChars="200"/>
        <w:rPr>
          <w:rFonts w:ascii="仿宋" w:hAnsi="仿宋" w:eastAsia="仿宋"/>
          <w:sz w:val="32"/>
          <w:szCs w:val="32"/>
        </w:rPr>
      </w:pPr>
      <w:r>
        <w:rPr>
          <w:rFonts w:hint="eastAsia" w:ascii="仿宋" w:hAnsi="仿宋" w:eastAsia="仿宋"/>
          <w:sz w:val="32"/>
          <w:szCs w:val="32"/>
        </w:rPr>
        <w:t>遵循公开、公平、公共利益优先、有效配置资源的原则，鼓励通过公平竞争的方式引进社会资本以各种形式投资、建设、运营前海合作区区域集中供冷系统。</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第六条 </w:t>
      </w:r>
      <w:r>
        <w:rPr>
          <w:rFonts w:hint="eastAsia" w:ascii="仿宋" w:hAnsi="仿宋" w:eastAsia="仿宋"/>
          <w:sz w:val="32"/>
          <w:szCs w:val="32"/>
        </w:rPr>
        <w:t>主管部门主要职责如下：</w:t>
      </w:r>
    </w:p>
    <w:p>
      <w:pPr>
        <w:pStyle w:val="13"/>
        <w:numPr>
          <w:ilvl w:val="0"/>
          <w:numId w:val="1"/>
        </w:numPr>
        <w:tabs>
          <w:tab w:val="left" w:pos="1843"/>
        </w:tabs>
        <w:spacing w:after="200" w:line="360" w:lineRule="auto"/>
        <w:ind w:left="0" w:firstLine="782"/>
        <w:rPr>
          <w:rFonts w:ascii="仿宋" w:hAnsi="仿宋" w:eastAsia="仿宋"/>
          <w:sz w:val="32"/>
          <w:szCs w:val="32"/>
          <w:lang w:val="en-US" w:eastAsia="zh-CN"/>
        </w:rPr>
      </w:pPr>
      <w:r>
        <w:rPr>
          <w:rFonts w:hint="eastAsia" w:ascii="仿宋" w:hAnsi="仿宋" w:eastAsia="仿宋"/>
          <w:sz w:val="32"/>
          <w:szCs w:val="32"/>
          <w:lang w:val="en-US" w:eastAsia="zh-CN"/>
        </w:rPr>
        <w:t>负责组织编制前海深港合作区区域集中供冷系统的专项规划；</w:t>
      </w:r>
    </w:p>
    <w:p>
      <w:pPr>
        <w:pStyle w:val="13"/>
        <w:numPr>
          <w:ilvl w:val="0"/>
          <w:numId w:val="1"/>
        </w:numPr>
        <w:tabs>
          <w:tab w:val="left" w:pos="1843"/>
        </w:tabs>
        <w:spacing w:after="200" w:line="360" w:lineRule="auto"/>
        <w:ind w:left="0" w:firstLine="782"/>
        <w:rPr>
          <w:rFonts w:ascii="仿宋" w:hAnsi="仿宋" w:eastAsia="仿宋"/>
          <w:sz w:val="32"/>
          <w:szCs w:val="32"/>
          <w:lang w:val="en-US" w:eastAsia="zh-CN"/>
        </w:rPr>
      </w:pPr>
      <w:r>
        <w:rPr>
          <w:rFonts w:hint="eastAsia" w:ascii="仿宋" w:hAnsi="仿宋" w:eastAsia="仿宋"/>
          <w:sz w:val="32"/>
          <w:szCs w:val="32"/>
          <w:lang w:val="en-US" w:eastAsia="zh-CN"/>
        </w:rPr>
        <w:t>负责制定</w:t>
      </w:r>
      <w:r>
        <w:rPr>
          <w:rFonts w:ascii="仿宋" w:hAnsi="仿宋" w:eastAsia="仿宋"/>
          <w:sz w:val="32"/>
          <w:szCs w:val="32"/>
          <w:lang w:val="en-US" w:eastAsia="zh-CN"/>
        </w:rPr>
        <w:t>前海深港合作区区域集中供冷运营监督管理实施细则</w:t>
      </w:r>
      <w:r>
        <w:rPr>
          <w:rFonts w:hint="eastAsia" w:ascii="仿宋" w:hAnsi="仿宋" w:eastAsia="仿宋"/>
          <w:sz w:val="32"/>
          <w:szCs w:val="32"/>
          <w:lang w:val="en-US" w:eastAsia="zh-CN"/>
        </w:rPr>
        <w:t>；</w:t>
      </w:r>
    </w:p>
    <w:p>
      <w:pPr>
        <w:pStyle w:val="13"/>
        <w:numPr>
          <w:ilvl w:val="0"/>
          <w:numId w:val="1"/>
        </w:numPr>
        <w:tabs>
          <w:tab w:val="left" w:pos="1843"/>
        </w:tabs>
        <w:spacing w:after="200" w:line="360" w:lineRule="auto"/>
        <w:ind w:left="0" w:firstLine="782"/>
        <w:rPr>
          <w:rFonts w:ascii="仿宋" w:hAnsi="仿宋" w:eastAsia="仿宋"/>
          <w:sz w:val="32"/>
          <w:szCs w:val="32"/>
          <w:lang w:val="en-US" w:eastAsia="zh-CN"/>
        </w:rPr>
      </w:pPr>
      <w:r>
        <w:rPr>
          <w:rFonts w:hint="eastAsia" w:ascii="仿宋" w:hAnsi="仿宋" w:eastAsia="仿宋"/>
          <w:sz w:val="32"/>
          <w:szCs w:val="32"/>
          <w:lang w:val="en-US" w:eastAsia="zh-CN"/>
        </w:rPr>
        <w:t>负责指导、协调、落实前海深港合作区区域集中供冷涉及招商引资、项目立项、土地出让、规划设计、建设及验收等环节的相关事项；</w:t>
      </w:r>
    </w:p>
    <w:p>
      <w:pPr>
        <w:pStyle w:val="13"/>
        <w:numPr>
          <w:ilvl w:val="0"/>
          <w:numId w:val="1"/>
        </w:numPr>
        <w:tabs>
          <w:tab w:val="left" w:pos="1843"/>
        </w:tabs>
        <w:spacing w:after="200" w:line="360" w:lineRule="auto"/>
        <w:ind w:left="0" w:firstLine="782"/>
        <w:rPr>
          <w:rFonts w:ascii="仿宋" w:hAnsi="仿宋" w:eastAsia="仿宋"/>
          <w:sz w:val="32"/>
          <w:szCs w:val="32"/>
          <w:lang w:val="en-US" w:eastAsia="zh-CN"/>
        </w:rPr>
      </w:pPr>
      <w:r>
        <w:rPr>
          <w:rFonts w:hint="eastAsia" w:ascii="仿宋" w:hAnsi="仿宋" w:eastAsia="仿宋"/>
          <w:sz w:val="32"/>
          <w:szCs w:val="32"/>
          <w:lang w:val="en-US" w:eastAsia="zh-CN"/>
        </w:rPr>
        <w:t>审定区域集中供冷系统的实施方案、建设计划、供冷单位与用户的供</w:t>
      </w:r>
      <w:r>
        <w:rPr>
          <w:rFonts w:ascii="仿宋" w:hAnsi="仿宋" w:eastAsia="仿宋"/>
          <w:sz w:val="32"/>
          <w:szCs w:val="32"/>
          <w:lang w:val="en-US" w:eastAsia="zh-CN"/>
        </w:rPr>
        <w:t>用冷合同</w:t>
      </w:r>
      <w:r>
        <w:rPr>
          <w:rFonts w:hint="eastAsia" w:ascii="仿宋" w:hAnsi="仿宋" w:eastAsia="仿宋"/>
          <w:sz w:val="32"/>
          <w:szCs w:val="32"/>
          <w:lang w:val="en-US" w:eastAsia="zh-CN"/>
        </w:rPr>
        <w:t>示范文本等；</w:t>
      </w:r>
    </w:p>
    <w:p>
      <w:pPr>
        <w:pStyle w:val="13"/>
        <w:numPr>
          <w:ilvl w:val="0"/>
          <w:numId w:val="1"/>
        </w:numPr>
        <w:tabs>
          <w:tab w:val="left" w:pos="1843"/>
        </w:tabs>
        <w:spacing w:after="200" w:line="360" w:lineRule="auto"/>
        <w:ind w:left="0" w:firstLine="782"/>
        <w:rPr>
          <w:rFonts w:ascii="仿宋" w:hAnsi="仿宋" w:eastAsia="仿宋"/>
          <w:sz w:val="32"/>
          <w:szCs w:val="32"/>
          <w:lang w:val="en-US" w:eastAsia="zh-CN"/>
        </w:rPr>
      </w:pPr>
      <w:r>
        <w:rPr>
          <w:rFonts w:hint="eastAsia" w:ascii="仿宋" w:hAnsi="仿宋" w:eastAsia="仿宋"/>
          <w:sz w:val="32"/>
          <w:szCs w:val="32"/>
          <w:lang w:val="en-US" w:eastAsia="zh-CN"/>
        </w:rPr>
        <w:t>负责区域集中供冷系统市政供冷管网及冷站土建工程的投资；</w:t>
      </w:r>
    </w:p>
    <w:p>
      <w:pPr>
        <w:pStyle w:val="13"/>
        <w:numPr>
          <w:ilvl w:val="0"/>
          <w:numId w:val="1"/>
        </w:numPr>
        <w:tabs>
          <w:tab w:val="left" w:pos="1843"/>
        </w:tabs>
        <w:spacing w:after="200" w:line="360" w:lineRule="auto"/>
        <w:ind w:left="0" w:firstLine="782"/>
        <w:rPr>
          <w:rFonts w:ascii="仿宋" w:hAnsi="仿宋" w:eastAsia="仿宋"/>
          <w:sz w:val="32"/>
          <w:szCs w:val="32"/>
          <w:lang w:val="en-US" w:eastAsia="zh-CN"/>
        </w:rPr>
      </w:pPr>
      <w:r>
        <w:rPr>
          <w:rFonts w:hint="eastAsia" w:ascii="仿宋" w:hAnsi="仿宋" w:eastAsia="仿宋"/>
          <w:sz w:val="32"/>
          <w:szCs w:val="32"/>
          <w:lang w:val="en-US" w:eastAsia="zh-CN"/>
        </w:rPr>
        <w:t>监督检查区域集中供冷系统的投资、建设、运营、维护、服务等情况；</w:t>
      </w:r>
    </w:p>
    <w:p>
      <w:pPr>
        <w:pStyle w:val="13"/>
        <w:numPr>
          <w:ilvl w:val="0"/>
          <w:numId w:val="1"/>
        </w:numPr>
        <w:tabs>
          <w:tab w:val="left" w:pos="1843"/>
        </w:tabs>
        <w:spacing w:after="200" w:line="360" w:lineRule="auto"/>
        <w:ind w:left="0" w:firstLine="782"/>
        <w:rPr>
          <w:rFonts w:ascii="仿宋" w:hAnsi="仿宋" w:eastAsia="仿宋"/>
          <w:sz w:val="32"/>
          <w:szCs w:val="32"/>
          <w:lang w:val="en-US" w:eastAsia="zh-CN"/>
        </w:rPr>
      </w:pPr>
      <w:r>
        <w:rPr>
          <w:rFonts w:hint="eastAsia" w:ascii="仿宋" w:hAnsi="仿宋" w:eastAsia="仿宋"/>
          <w:sz w:val="32"/>
          <w:szCs w:val="32"/>
          <w:lang w:val="en-US" w:eastAsia="zh-CN"/>
        </w:rPr>
        <w:t>负责</w:t>
      </w:r>
      <w:r>
        <w:rPr>
          <w:rFonts w:ascii="仿宋" w:hAnsi="仿宋" w:eastAsia="仿宋"/>
          <w:sz w:val="32"/>
          <w:szCs w:val="32"/>
          <w:lang w:val="en-US" w:eastAsia="zh-CN"/>
        </w:rPr>
        <w:t>开展区域集中供冷整体效能评估</w:t>
      </w:r>
      <w:r>
        <w:rPr>
          <w:rFonts w:hint="eastAsia" w:ascii="仿宋" w:hAnsi="仿宋" w:eastAsia="仿宋"/>
          <w:sz w:val="32"/>
          <w:szCs w:val="32"/>
          <w:lang w:val="en-US" w:eastAsia="zh-CN"/>
        </w:rPr>
        <w:t>；</w:t>
      </w:r>
    </w:p>
    <w:p>
      <w:pPr>
        <w:pStyle w:val="13"/>
        <w:numPr>
          <w:ilvl w:val="0"/>
          <w:numId w:val="1"/>
        </w:numPr>
        <w:tabs>
          <w:tab w:val="left" w:pos="1843"/>
        </w:tabs>
        <w:spacing w:after="200" w:line="360" w:lineRule="auto"/>
        <w:ind w:left="0" w:firstLine="782"/>
        <w:rPr>
          <w:rFonts w:ascii="仿宋" w:hAnsi="仿宋" w:eastAsia="仿宋"/>
          <w:sz w:val="32"/>
          <w:szCs w:val="32"/>
          <w:lang w:val="en-US" w:eastAsia="zh-CN"/>
        </w:rPr>
      </w:pPr>
      <w:r>
        <w:rPr>
          <w:rFonts w:hint="eastAsia" w:ascii="仿宋" w:hAnsi="仿宋" w:eastAsia="仿宋"/>
          <w:sz w:val="32"/>
          <w:szCs w:val="32"/>
          <w:lang w:val="en-US" w:eastAsia="zh-CN"/>
        </w:rPr>
        <w:t>负责对供冷单位进行考核；</w:t>
      </w:r>
    </w:p>
    <w:p>
      <w:pPr>
        <w:pStyle w:val="13"/>
        <w:numPr>
          <w:ilvl w:val="0"/>
          <w:numId w:val="1"/>
        </w:numPr>
        <w:tabs>
          <w:tab w:val="left" w:pos="1843"/>
        </w:tabs>
        <w:spacing w:after="200" w:line="360" w:lineRule="auto"/>
        <w:ind w:left="0" w:firstLine="782"/>
        <w:rPr>
          <w:rFonts w:ascii="仿宋" w:hAnsi="仿宋" w:eastAsia="仿宋"/>
          <w:sz w:val="32"/>
          <w:szCs w:val="32"/>
          <w:lang w:val="en-US" w:eastAsia="zh-CN"/>
        </w:rPr>
      </w:pPr>
      <w:r>
        <w:rPr>
          <w:rFonts w:hint="eastAsia" w:ascii="仿宋" w:hAnsi="仿宋" w:eastAsia="仿宋"/>
          <w:sz w:val="32"/>
          <w:szCs w:val="32"/>
          <w:lang w:val="en-US" w:eastAsia="zh-CN"/>
        </w:rPr>
        <w:t>负责对供冷收费进行监督。</w:t>
      </w:r>
    </w:p>
    <w:p>
      <w:pPr>
        <w:spacing w:after="200" w:line="360" w:lineRule="auto"/>
        <w:ind w:firstLine="482" w:firstLineChars="200"/>
        <w:rPr>
          <w:rFonts w:ascii="楷体_GB2312" w:hAnsi="仿宋" w:eastAsia="楷体_GB2312"/>
          <w:b/>
          <w:sz w:val="24"/>
        </w:rPr>
      </w:pPr>
      <w:r>
        <w:rPr>
          <w:rFonts w:hint="eastAsia" w:ascii="楷体_GB2312" w:hAnsi="仿宋" w:eastAsia="楷体_GB2312"/>
          <w:b/>
          <w:sz w:val="24"/>
        </w:rPr>
        <w:t>【注释】</w:t>
      </w:r>
      <w:r>
        <w:rPr>
          <w:rFonts w:hint="eastAsia" w:ascii="楷体_GB2312" w:hAnsi="仿宋" w:eastAsia="楷体_GB2312"/>
          <w:sz w:val="24"/>
        </w:rPr>
        <w:t>为</w:t>
      </w:r>
      <w:r>
        <w:rPr>
          <w:rFonts w:ascii="楷体_GB2312" w:hAnsi="仿宋" w:eastAsia="楷体_GB2312"/>
          <w:sz w:val="24"/>
        </w:rPr>
        <w:t>进一步落实前海绿色、低碳发展目标，</w:t>
      </w:r>
      <w:r>
        <w:rPr>
          <w:rFonts w:hint="eastAsia" w:ascii="楷体_GB2312" w:hAnsi="仿宋" w:eastAsia="楷体_GB2312"/>
          <w:sz w:val="24"/>
        </w:rPr>
        <w:t>保持前海</w:t>
      </w:r>
      <w:r>
        <w:rPr>
          <w:rFonts w:ascii="楷体_GB2312" w:hAnsi="仿宋" w:eastAsia="楷体_GB2312"/>
          <w:sz w:val="24"/>
        </w:rPr>
        <w:t>区域集中供冷可持续、</w:t>
      </w:r>
      <w:r>
        <w:rPr>
          <w:rFonts w:hint="eastAsia" w:ascii="楷体_GB2312" w:hAnsi="仿宋" w:eastAsia="楷体_GB2312"/>
          <w:sz w:val="24"/>
        </w:rPr>
        <w:t>健康</w:t>
      </w:r>
      <w:r>
        <w:rPr>
          <w:rFonts w:ascii="楷体_GB2312" w:hAnsi="仿宋" w:eastAsia="楷体_GB2312"/>
          <w:sz w:val="24"/>
        </w:rPr>
        <w:t>发展，保障各方权益，</w:t>
      </w:r>
      <w:r>
        <w:rPr>
          <w:rFonts w:hint="eastAsia" w:ascii="楷体_GB2312" w:hAnsi="仿宋" w:eastAsia="楷体_GB2312"/>
          <w:sz w:val="24"/>
        </w:rPr>
        <w:t>系统</w:t>
      </w:r>
      <w:r>
        <w:rPr>
          <w:rFonts w:ascii="楷体_GB2312" w:hAnsi="仿宋" w:eastAsia="楷体_GB2312"/>
          <w:sz w:val="24"/>
        </w:rPr>
        <w:t>评估</w:t>
      </w:r>
      <w:r>
        <w:rPr>
          <w:rFonts w:hint="eastAsia" w:ascii="楷体_GB2312" w:hAnsi="仿宋" w:eastAsia="楷体_GB2312"/>
          <w:sz w:val="24"/>
        </w:rPr>
        <w:t>前海</w:t>
      </w:r>
      <w:r>
        <w:rPr>
          <w:rFonts w:ascii="楷体_GB2312" w:hAnsi="仿宋" w:eastAsia="楷体_GB2312"/>
          <w:sz w:val="24"/>
        </w:rPr>
        <w:t>区域集中供冷社会、经济、环境效益</w:t>
      </w:r>
      <w:r>
        <w:rPr>
          <w:rFonts w:hint="eastAsia" w:ascii="楷体_GB2312" w:hAnsi="仿宋" w:eastAsia="楷体_GB2312"/>
          <w:sz w:val="24"/>
        </w:rPr>
        <w:t>、</w:t>
      </w:r>
      <w:r>
        <w:rPr>
          <w:rFonts w:ascii="楷体_GB2312" w:hAnsi="仿宋" w:eastAsia="楷体_GB2312"/>
          <w:sz w:val="24"/>
        </w:rPr>
        <w:t>运管水平等内容，</w:t>
      </w:r>
      <w:r>
        <w:rPr>
          <w:rFonts w:hint="eastAsia" w:ascii="楷体_GB2312" w:hAnsi="仿宋" w:eastAsia="楷体_GB2312"/>
          <w:sz w:val="24"/>
        </w:rPr>
        <w:t>依据《前海合作区集中供冷经营权授予、运营、监督管理等机制研究课题》</w:t>
      </w:r>
      <w:r>
        <w:rPr>
          <w:rFonts w:ascii="楷体_GB2312" w:hAnsi="仿宋" w:eastAsia="楷体_GB2312"/>
          <w:sz w:val="24"/>
        </w:rPr>
        <w:t>成果，增加了第（</w:t>
      </w:r>
      <w:r>
        <w:rPr>
          <w:rFonts w:hint="eastAsia" w:ascii="楷体_GB2312" w:hAnsi="仿宋" w:eastAsia="楷体_GB2312"/>
          <w:sz w:val="24"/>
        </w:rPr>
        <w:t>七</w:t>
      </w:r>
      <w:r>
        <w:rPr>
          <w:rFonts w:ascii="楷体_GB2312" w:hAnsi="仿宋" w:eastAsia="楷体_GB2312"/>
          <w:sz w:val="24"/>
        </w:rPr>
        <w:t>）</w:t>
      </w:r>
      <w:r>
        <w:rPr>
          <w:rFonts w:hint="eastAsia" w:ascii="楷体_GB2312" w:hAnsi="仿宋" w:eastAsia="楷体_GB2312"/>
          <w:sz w:val="24"/>
        </w:rPr>
        <w:t>款，</w:t>
      </w:r>
      <w:r>
        <w:rPr>
          <w:rFonts w:ascii="楷体_GB2312" w:hAnsi="仿宋" w:eastAsia="楷体_GB2312"/>
          <w:sz w:val="24"/>
        </w:rPr>
        <w:t>主管部门负责开展区域集中供冷整体效能评估</w:t>
      </w:r>
      <w:r>
        <w:rPr>
          <w:rFonts w:hint="eastAsia" w:ascii="楷体_GB2312" w:hAnsi="仿宋" w:eastAsia="楷体_GB2312"/>
          <w:sz w:val="24"/>
        </w:rPr>
        <w:t>的</w:t>
      </w:r>
      <w:r>
        <w:rPr>
          <w:rFonts w:ascii="楷体_GB2312" w:hAnsi="仿宋" w:eastAsia="楷体_GB2312"/>
          <w:sz w:val="24"/>
        </w:rPr>
        <w:t>职责。</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第七条 </w:t>
      </w:r>
      <w:r>
        <w:rPr>
          <w:rFonts w:hint="eastAsia" w:ascii="仿宋" w:hAnsi="仿宋" w:eastAsia="仿宋"/>
          <w:sz w:val="32"/>
          <w:szCs w:val="32"/>
        </w:rPr>
        <w:t>供冷单位主要职责如下：</w:t>
      </w:r>
    </w:p>
    <w:p>
      <w:pPr>
        <w:pStyle w:val="13"/>
        <w:numPr>
          <w:ilvl w:val="0"/>
          <w:numId w:val="2"/>
        </w:numPr>
        <w:tabs>
          <w:tab w:val="left" w:pos="1560"/>
        </w:tabs>
        <w:spacing w:after="200" w:line="360" w:lineRule="auto"/>
        <w:ind w:left="0" w:firstLine="567"/>
        <w:rPr>
          <w:rFonts w:ascii="仿宋" w:hAnsi="仿宋" w:eastAsia="仿宋"/>
          <w:sz w:val="32"/>
          <w:szCs w:val="32"/>
          <w:lang w:val="en-US" w:eastAsia="zh-CN"/>
        </w:rPr>
      </w:pPr>
      <w:r>
        <w:rPr>
          <w:rFonts w:hint="eastAsia" w:ascii="仿宋" w:hAnsi="仿宋" w:eastAsia="仿宋"/>
          <w:sz w:val="32"/>
          <w:szCs w:val="32"/>
          <w:lang w:val="en-US" w:eastAsia="zh-CN"/>
        </w:rPr>
        <w:t>负责落实前海深港合作区区域集中供冷系统的专项规划，确保向用户及时供冷；</w:t>
      </w:r>
    </w:p>
    <w:p>
      <w:pPr>
        <w:pStyle w:val="13"/>
        <w:numPr>
          <w:ilvl w:val="0"/>
          <w:numId w:val="2"/>
        </w:numPr>
        <w:tabs>
          <w:tab w:val="left" w:pos="1560"/>
        </w:tabs>
        <w:spacing w:after="200" w:line="360" w:lineRule="auto"/>
        <w:ind w:left="0" w:firstLine="567"/>
        <w:rPr>
          <w:rFonts w:ascii="仿宋" w:hAnsi="仿宋" w:eastAsia="仿宋"/>
          <w:sz w:val="32"/>
          <w:szCs w:val="32"/>
          <w:lang w:val="en-US" w:eastAsia="zh-CN"/>
        </w:rPr>
      </w:pPr>
      <w:r>
        <w:rPr>
          <w:rFonts w:hint="eastAsia" w:ascii="仿宋" w:hAnsi="仿宋" w:eastAsia="仿宋"/>
          <w:sz w:val="32"/>
          <w:szCs w:val="32"/>
          <w:lang w:val="en-US" w:eastAsia="zh-CN"/>
        </w:rPr>
        <w:t>制订区域集中供冷系统的实施方案、建设计划、供冷单位与用户的供用冷合同示范文本；</w:t>
      </w:r>
    </w:p>
    <w:p>
      <w:pPr>
        <w:pStyle w:val="13"/>
        <w:numPr>
          <w:ilvl w:val="0"/>
          <w:numId w:val="2"/>
        </w:numPr>
        <w:tabs>
          <w:tab w:val="left" w:pos="1560"/>
        </w:tabs>
        <w:spacing w:after="200" w:line="360" w:lineRule="auto"/>
        <w:ind w:left="0" w:firstLine="567"/>
        <w:rPr>
          <w:rFonts w:ascii="仿宋" w:hAnsi="仿宋" w:eastAsia="仿宋"/>
          <w:sz w:val="32"/>
          <w:szCs w:val="32"/>
          <w:lang w:val="en-US" w:eastAsia="zh-CN"/>
        </w:rPr>
      </w:pPr>
      <w:r>
        <w:rPr>
          <w:rFonts w:hint="eastAsia" w:ascii="仿宋" w:hAnsi="仿宋" w:eastAsia="仿宋"/>
          <w:sz w:val="32"/>
          <w:szCs w:val="32"/>
          <w:lang w:val="en-US" w:eastAsia="zh-CN"/>
        </w:rPr>
        <w:t>负责冷站制冷及配套设施、供冷计量装置、用冷建筑换热设施的投资与建设；</w:t>
      </w:r>
    </w:p>
    <w:p>
      <w:pPr>
        <w:pStyle w:val="13"/>
        <w:numPr>
          <w:ilvl w:val="0"/>
          <w:numId w:val="2"/>
        </w:numPr>
        <w:tabs>
          <w:tab w:val="left" w:pos="1560"/>
        </w:tabs>
        <w:spacing w:after="200" w:line="360" w:lineRule="auto"/>
        <w:ind w:left="0" w:firstLine="567"/>
        <w:rPr>
          <w:rFonts w:ascii="仿宋" w:hAnsi="仿宋" w:eastAsia="仿宋"/>
          <w:sz w:val="32"/>
          <w:szCs w:val="32"/>
          <w:lang w:val="en-US" w:eastAsia="zh-CN"/>
        </w:rPr>
      </w:pPr>
      <w:r>
        <w:rPr>
          <w:rFonts w:hint="eastAsia" w:ascii="仿宋" w:hAnsi="仿宋" w:eastAsia="仿宋"/>
          <w:sz w:val="32"/>
          <w:szCs w:val="32"/>
          <w:lang w:val="en-US" w:eastAsia="zh-CN"/>
        </w:rPr>
        <w:t>负责供冷设施（用冷建筑用地红线内的供冷管道、换热设备用房以及用户末端设备除外）的维护与管理、</w:t>
      </w:r>
      <w:r>
        <w:rPr>
          <w:rFonts w:ascii="仿宋" w:hAnsi="仿宋" w:eastAsia="仿宋"/>
          <w:sz w:val="32"/>
          <w:szCs w:val="32"/>
          <w:lang w:val="en-US" w:eastAsia="zh-CN"/>
        </w:rPr>
        <w:t>确保安全生产</w:t>
      </w:r>
      <w:r>
        <w:rPr>
          <w:rFonts w:hint="eastAsia" w:ascii="仿宋" w:hAnsi="仿宋" w:eastAsia="仿宋"/>
          <w:sz w:val="32"/>
          <w:szCs w:val="32"/>
          <w:lang w:val="en-US" w:eastAsia="zh-CN"/>
        </w:rPr>
        <w:t>；</w:t>
      </w:r>
    </w:p>
    <w:p>
      <w:pPr>
        <w:pStyle w:val="13"/>
        <w:numPr>
          <w:ilvl w:val="0"/>
          <w:numId w:val="2"/>
        </w:numPr>
        <w:tabs>
          <w:tab w:val="left" w:pos="1560"/>
        </w:tabs>
        <w:spacing w:after="200" w:line="360" w:lineRule="auto"/>
        <w:ind w:left="0" w:firstLine="567"/>
        <w:rPr>
          <w:rFonts w:ascii="仿宋" w:hAnsi="仿宋" w:eastAsia="仿宋"/>
          <w:sz w:val="32"/>
          <w:szCs w:val="32"/>
          <w:lang w:val="en-US" w:eastAsia="zh-CN"/>
        </w:rPr>
      </w:pPr>
      <w:r>
        <w:rPr>
          <w:rFonts w:hint="eastAsia" w:ascii="仿宋" w:hAnsi="仿宋" w:eastAsia="仿宋"/>
          <w:sz w:val="32"/>
          <w:szCs w:val="32"/>
          <w:lang w:val="en-US" w:eastAsia="zh-CN"/>
        </w:rPr>
        <w:t>为用户（按合同）提供不间断、安全、可靠、高效的供冷服务；</w:t>
      </w:r>
    </w:p>
    <w:p>
      <w:pPr>
        <w:pStyle w:val="13"/>
        <w:numPr>
          <w:ilvl w:val="0"/>
          <w:numId w:val="2"/>
        </w:numPr>
        <w:tabs>
          <w:tab w:val="left" w:pos="1560"/>
        </w:tabs>
        <w:spacing w:after="200" w:line="360" w:lineRule="auto"/>
        <w:ind w:left="0" w:firstLine="567"/>
        <w:rPr>
          <w:rFonts w:ascii="仿宋" w:hAnsi="仿宋" w:eastAsia="仿宋"/>
          <w:sz w:val="32"/>
          <w:szCs w:val="32"/>
          <w:lang w:val="en-US" w:eastAsia="zh-CN"/>
        </w:rPr>
      </w:pPr>
      <w:r>
        <w:rPr>
          <w:rFonts w:hint="eastAsia" w:ascii="仿宋" w:hAnsi="仿宋" w:eastAsia="仿宋"/>
          <w:sz w:val="32"/>
          <w:szCs w:val="32"/>
          <w:lang w:val="en-US" w:eastAsia="zh-CN"/>
        </w:rPr>
        <w:t>持续对区域集中供冷系统进行必要的节能改造和技术更新，确保供冷服务能够持续满足规划要求；</w:t>
      </w:r>
    </w:p>
    <w:p>
      <w:pPr>
        <w:pStyle w:val="13"/>
        <w:numPr>
          <w:ilvl w:val="0"/>
          <w:numId w:val="2"/>
        </w:numPr>
        <w:tabs>
          <w:tab w:val="left" w:pos="1560"/>
        </w:tabs>
        <w:spacing w:after="200" w:line="360" w:lineRule="auto"/>
        <w:ind w:left="0" w:firstLine="567"/>
        <w:rPr>
          <w:rFonts w:ascii="仿宋" w:hAnsi="仿宋" w:eastAsia="仿宋"/>
          <w:sz w:val="32"/>
          <w:szCs w:val="32"/>
          <w:lang w:val="en-US" w:eastAsia="zh-CN"/>
        </w:rPr>
      </w:pPr>
      <w:r>
        <w:rPr>
          <w:rFonts w:hint="eastAsia" w:ascii="仿宋" w:hAnsi="仿宋" w:eastAsia="仿宋"/>
          <w:sz w:val="32"/>
          <w:szCs w:val="32"/>
          <w:lang w:val="en-US" w:eastAsia="zh-CN"/>
        </w:rPr>
        <w:t>与用户签订供用冷合同；</w:t>
      </w:r>
    </w:p>
    <w:p>
      <w:pPr>
        <w:pStyle w:val="13"/>
        <w:numPr>
          <w:ilvl w:val="0"/>
          <w:numId w:val="2"/>
        </w:numPr>
        <w:tabs>
          <w:tab w:val="left" w:pos="1560"/>
        </w:tabs>
        <w:spacing w:after="200" w:line="360" w:lineRule="auto"/>
        <w:ind w:left="0" w:firstLine="567"/>
        <w:rPr>
          <w:rFonts w:ascii="仿宋" w:hAnsi="仿宋" w:eastAsia="仿宋"/>
          <w:sz w:val="32"/>
          <w:szCs w:val="32"/>
          <w:lang w:val="en-US" w:eastAsia="zh-CN"/>
        </w:rPr>
      </w:pPr>
      <w:r>
        <w:rPr>
          <w:rFonts w:hint="eastAsia" w:ascii="仿宋" w:hAnsi="仿宋" w:eastAsia="仿宋"/>
          <w:sz w:val="32"/>
          <w:szCs w:val="32"/>
          <w:lang w:val="en-US" w:eastAsia="zh-CN"/>
        </w:rPr>
        <w:t>主管部门赋予的其他职责。</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第八条 </w:t>
      </w:r>
      <w:r>
        <w:rPr>
          <w:rFonts w:hint="eastAsia" w:ascii="仿宋" w:hAnsi="仿宋" w:eastAsia="仿宋"/>
          <w:sz w:val="32"/>
          <w:szCs w:val="32"/>
        </w:rPr>
        <w:t>用冷建筑用地红线内的供冷管道由用冷建筑的开发建设单位负责投资与建设。</w:t>
      </w:r>
    </w:p>
    <w:p>
      <w:pPr>
        <w:spacing w:after="200" w:line="360" w:lineRule="auto"/>
        <w:ind w:firstLine="640" w:firstLineChars="200"/>
        <w:rPr>
          <w:rFonts w:ascii="仿宋" w:hAnsi="仿宋" w:eastAsia="仿宋"/>
          <w:sz w:val="32"/>
          <w:szCs w:val="32"/>
        </w:rPr>
      </w:pPr>
      <w:r>
        <w:rPr>
          <w:rFonts w:hint="eastAsia" w:ascii="仿宋" w:hAnsi="仿宋" w:eastAsia="仿宋"/>
          <w:sz w:val="32"/>
          <w:szCs w:val="32"/>
        </w:rPr>
        <w:t>用冷建筑的开发建设单位应当提供独立的专用换热设备用房及配套的电源、水源等，并按照相关技术要求协调技术接口。</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第九条 </w:t>
      </w:r>
      <w:r>
        <w:rPr>
          <w:rFonts w:hint="eastAsia" w:ascii="仿宋" w:hAnsi="仿宋" w:eastAsia="仿宋"/>
          <w:sz w:val="32"/>
          <w:szCs w:val="32"/>
        </w:rPr>
        <w:t>用户应当按照供用冷合同的约定规范用冷及付费。</w:t>
      </w:r>
    </w:p>
    <w:p>
      <w:pPr>
        <w:spacing w:after="200" w:line="360" w:lineRule="auto"/>
        <w:ind w:firstLine="640" w:firstLineChars="200"/>
        <w:rPr>
          <w:rFonts w:ascii="仿宋" w:hAnsi="仿宋" w:eastAsia="仿宋"/>
          <w:sz w:val="32"/>
          <w:szCs w:val="32"/>
        </w:rPr>
      </w:pPr>
      <w:r>
        <w:rPr>
          <w:rFonts w:hint="eastAsia" w:ascii="仿宋" w:hAnsi="仿宋" w:eastAsia="仿宋"/>
          <w:sz w:val="32"/>
          <w:szCs w:val="32"/>
        </w:rPr>
        <w:t>用户负责用冷建筑用地红线内供冷管道、换热设备用房及配套的电源、水源以及用户末端设备等的维护与管理，并应为供冷单位维护、管理供冷计量装置和用冷建筑换热设施，检查和监督用冷建筑用地红线内供冷管道的维护管理情况提供便利。</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第十条 </w:t>
      </w:r>
      <w:r>
        <w:rPr>
          <w:rFonts w:hint="eastAsia" w:ascii="仿宋" w:hAnsi="仿宋" w:eastAsia="仿宋"/>
          <w:sz w:val="32"/>
          <w:szCs w:val="32"/>
        </w:rPr>
        <w:t>供冷单位、用户使用的供冷计量装置应当经法定检测机构检测合格。</w:t>
      </w:r>
    </w:p>
    <w:p>
      <w:pPr>
        <w:spacing w:after="200" w:line="360" w:lineRule="auto"/>
        <w:jc w:val="center"/>
        <w:rPr>
          <w:rFonts w:ascii="仿宋" w:hAnsi="仿宋" w:eastAsia="仿宋"/>
          <w:b/>
          <w:sz w:val="32"/>
          <w:szCs w:val="32"/>
        </w:rPr>
      </w:pPr>
      <w:r>
        <w:rPr>
          <w:rFonts w:hint="eastAsia" w:ascii="仿宋" w:hAnsi="仿宋" w:eastAsia="仿宋"/>
          <w:b/>
          <w:sz w:val="32"/>
          <w:szCs w:val="32"/>
        </w:rPr>
        <w:t>第二章 供冷单位</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第十一条 </w:t>
      </w:r>
      <w:r>
        <w:rPr>
          <w:rFonts w:hint="eastAsia" w:ascii="仿宋" w:hAnsi="仿宋" w:eastAsia="仿宋"/>
          <w:sz w:val="32"/>
          <w:szCs w:val="32"/>
        </w:rPr>
        <w:t>企业取得主管部门授予的供冷经营权后，方可作为供冷单位，从事区域集中供冷系统的投资、建设、运营、服务等活动。</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第十二条 </w:t>
      </w:r>
      <w:r>
        <w:rPr>
          <w:rFonts w:hint="eastAsia" w:ascii="仿宋" w:hAnsi="仿宋" w:eastAsia="仿宋"/>
          <w:sz w:val="32"/>
          <w:szCs w:val="32"/>
        </w:rPr>
        <w:t>主管部门应当采取招标、拍卖等公平竞争的方式，按照有关法律、法规的规定，公开、公平、公正地将冷站的经营权授予符合条件的申请人；或者依据《深圳经济特区前海深港现代服务业合作区条例》（修订案）的规定直接授予下属公司经营权。</w:t>
      </w:r>
    </w:p>
    <w:p>
      <w:pPr>
        <w:autoSpaceDE w:val="0"/>
        <w:autoSpaceDN w:val="0"/>
        <w:adjustRightInd w:val="0"/>
        <w:spacing w:line="580" w:lineRule="exact"/>
        <w:ind w:firstLine="645"/>
        <w:rPr>
          <w:rFonts w:ascii="楷体_GB2312" w:hAnsi="仿宋" w:eastAsia="楷体_GB2312"/>
          <w:sz w:val="24"/>
        </w:rPr>
      </w:pPr>
      <w:r>
        <w:rPr>
          <w:rFonts w:hint="eastAsia" w:ascii="楷体_GB2312" w:hAnsi="仿宋" w:eastAsia="楷体_GB2312"/>
          <w:b/>
          <w:sz w:val="24"/>
        </w:rPr>
        <w:t>【注释】</w:t>
      </w:r>
      <w:r>
        <w:rPr>
          <w:rFonts w:hint="eastAsia" w:ascii="楷体_GB2312" w:hAnsi="仿宋" w:eastAsia="楷体_GB2312"/>
          <w:sz w:val="24"/>
        </w:rPr>
        <w:t>依据《深圳经济特区前海深港现代服务业合作区条例》（修订案）第二十一条【下属公司】前海管理机构可以依法设立下属公司，负责前海合作区内的土地一级开发、基础设施和公共服务设施的建设及运营、园区管理服务的组织实施。因此</w:t>
      </w:r>
      <w:r>
        <w:rPr>
          <w:rFonts w:ascii="楷体_GB2312" w:hAnsi="仿宋" w:eastAsia="楷体_GB2312"/>
          <w:sz w:val="24"/>
        </w:rPr>
        <w:t>，</w:t>
      </w:r>
      <w:r>
        <w:rPr>
          <w:rFonts w:hint="eastAsia" w:ascii="楷体_GB2312" w:hAnsi="仿宋" w:eastAsia="楷体_GB2312"/>
          <w:sz w:val="24"/>
        </w:rPr>
        <w:t>本</w:t>
      </w:r>
      <w:r>
        <w:rPr>
          <w:rFonts w:ascii="楷体_GB2312" w:hAnsi="仿宋" w:eastAsia="楷体_GB2312"/>
          <w:sz w:val="24"/>
        </w:rPr>
        <w:t>办法增加了</w:t>
      </w:r>
      <w:r>
        <w:rPr>
          <w:rFonts w:hint="eastAsia" w:ascii="楷体_GB2312" w:hAnsi="仿宋" w:eastAsia="楷体_GB2312"/>
          <w:sz w:val="24"/>
        </w:rPr>
        <w:t>授予</w:t>
      </w:r>
      <w:r>
        <w:rPr>
          <w:rFonts w:ascii="楷体_GB2312" w:hAnsi="仿宋" w:eastAsia="楷体_GB2312"/>
          <w:sz w:val="24"/>
        </w:rPr>
        <w:t>下属公司</w:t>
      </w:r>
      <w:r>
        <w:rPr>
          <w:rFonts w:hint="eastAsia" w:ascii="楷体_GB2312" w:hAnsi="仿宋" w:eastAsia="楷体_GB2312"/>
          <w:sz w:val="24"/>
        </w:rPr>
        <w:t>经营权</w:t>
      </w:r>
      <w:r>
        <w:rPr>
          <w:rFonts w:ascii="楷体_GB2312" w:hAnsi="仿宋" w:eastAsia="楷体_GB2312"/>
          <w:sz w:val="24"/>
        </w:rPr>
        <w:t>的</w:t>
      </w:r>
      <w:r>
        <w:rPr>
          <w:rFonts w:hint="eastAsia" w:ascii="楷体_GB2312" w:hAnsi="仿宋" w:eastAsia="楷体_GB2312"/>
          <w:sz w:val="24"/>
        </w:rPr>
        <w:t>规定</w:t>
      </w:r>
      <w:r>
        <w:rPr>
          <w:rFonts w:ascii="楷体_GB2312" w:hAnsi="仿宋" w:eastAsia="楷体_GB2312"/>
          <w:sz w:val="24"/>
        </w:rPr>
        <w:t>。</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第十三条 </w:t>
      </w:r>
      <w:r>
        <w:rPr>
          <w:rFonts w:hint="eastAsia" w:ascii="仿宋" w:hAnsi="仿宋" w:eastAsia="仿宋"/>
          <w:sz w:val="32"/>
          <w:szCs w:val="32"/>
        </w:rPr>
        <w:t>通过招标、拍卖等方式不能确定供冷单位时，主管部门也可以采取招募方式确定供冷单位。</w:t>
      </w:r>
    </w:p>
    <w:p>
      <w:pPr>
        <w:spacing w:after="200" w:line="360" w:lineRule="auto"/>
        <w:ind w:firstLine="640" w:firstLineChars="200"/>
        <w:rPr>
          <w:rFonts w:ascii="仿宋" w:hAnsi="仿宋" w:eastAsia="仿宋"/>
          <w:sz w:val="32"/>
          <w:szCs w:val="32"/>
        </w:rPr>
      </w:pPr>
      <w:r>
        <w:rPr>
          <w:rFonts w:hint="eastAsia" w:ascii="仿宋" w:hAnsi="仿宋" w:eastAsia="仿宋"/>
          <w:sz w:val="32"/>
          <w:szCs w:val="32"/>
        </w:rPr>
        <w:t>前款所称招募，是指主管部门将拟授权经营的冷站公告后，由主管部门或者其委托的机构向申请人发出邀请，通过审慎调查和意向谈判，确定供冷单位候选人，提交专门设立的评审委员会确定优先谈判对象，通过谈判确定供冷单位。</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第十四条 </w:t>
      </w:r>
      <w:r>
        <w:rPr>
          <w:rFonts w:hint="eastAsia" w:ascii="仿宋" w:hAnsi="仿宋" w:eastAsia="仿宋"/>
          <w:sz w:val="32"/>
          <w:szCs w:val="32"/>
        </w:rPr>
        <w:t>通过招募方式确定供冷单位的，主管部门应当事先制定招募的条件和程序并予以公告。</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第十五条 </w:t>
      </w:r>
      <w:r>
        <w:rPr>
          <w:rFonts w:hint="eastAsia" w:ascii="仿宋" w:hAnsi="仿宋" w:eastAsia="仿宋"/>
          <w:sz w:val="32"/>
          <w:szCs w:val="32"/>
        </w:rPr>
        <w:t>依据《深圳经济特区前海深港现代服务业合作区条例》（修订案）的规定直接授予下属公司经营权的，应当予以公告。</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第十六条 </w:t>
      </w:r>
      <w:r>
        <w:rPr>
          <w:rFonts w:hint="eastAsia" w:ascii="仿宋" w:hAnsi="仿宋" w:eastAsia="仿宋"/>
          <w:sz w:val="32"/>
          <w:szCs w:val="32"/>
        </w:rPr>
        <w:t>主管部门可以采取下列形式授予经营权：</w:t>
      </w:r>
    </w:p>
    <w:p>
      <w:pPr>
        <w:spacing w:after="200" w:line="360" w:lineRule="auto"/>
        <w:ind w:firstLine="640" w:firstLineChars="200"/>
        <w:rPr>
          <w:rFonts w:ascii="仿宋" w:hAnsi="仿宋" w:eastAsia="仿宋"/>
          <w:sz w:val="32"/>
          <w:szCs w:val="32"/>
        </w:rPr>
      </w:pPr>
      <w:r>
        <w:rPr>
          <w:rFonts w:hint="eastAsia" w:ascii="仿宋" w:hAnsi="仿宋" w:eastAsia="仿宋"/>
          <w:sz w:val="32"/>
          <w:szCs w:val="32"/>
        </w:rPr>
        <w:t>（一）在一定期限内，将冷站授予供冷单位建设、经营，期限届满后无偿移交给主管部门；</w:t>
      </w:r>
    </w:p>
    <w:p>
      <w:pPr>
        <w:spacing w:after="200" w:line="360" w:lineRule="auto"/>
        <w:ind w:firstLine="640" w:firstLineChars="200"/>
        <w:rPr>
          <w:rFonts w:ascii="仿宋" w:hAnsi="仿宋" w:eastAsia="仿宋"/>
          <w:sz w:val="32"/>
          <w:szCs w:val="32"/>
        </w:rPr>
      </w:pPr>
      <w:r>
        <w:rPr>
          <w:rFonts w:hint="eastAsia" w:ascii="仿宋" w:hAnsi="仿宋" w:eastAsia="仿宋"/>
          <w:sz w:val="32"/>
          <w:szCs w:val="32"/>
        </w:rPr>
        <w:t>（二）在一定期限内，将冷站移交供冷单位经营，期限届满后无偿移交给主管部门；</w:t>
      </w:r>
    </w:p>
    <w:p>
      <w:pPr>
        <w:spacing w:after="200" w:line="360" w:lineRule="auto"/>
        <w:ind w:firstLine="640" w:firstLineChars="200"/>
        <w:rPr>
          <w:rFonts w:ascii="仿宋" w:hAnsi="仿宋" w:eastAsia="仿宋"/>
          <w:sz w:val="32"/>
          <w:szCs w:val="32"/>
        </w:rPr>
      </w:pPr>
      <w:r>
        <w:rPr>
          <w:rFonts w:hint="eastAsia" w:ascii="仿宋" w:hAnsi="仿宋" w:eastAsia="仿宋"/>
          <w:sz w:val="32"/>
          <w:szCs w:val="32"/>
        </w:rPr>
        <w:t>（三）在一定期限内，委托供冷单位提供供冷服务；</w:t>
      </w:r>
    </w:p>
    <w:p>
      <w:pPr>
        <w:spacing w:after="200" w:line="360" w:lineRule="auto"/>
        <w:ind w:firstLine="640" w:firstLineChars="200"/>
        <w:rPr>
          <w:rFonts w:ascii="仿宋" w:hAnsi="仿宋" w:eastAsia="仿宋"/>
          <w:sz w:val="32"/>
          <w:szCs w:val="32"/>
        </w:rPr>
      </w:pPr>
      <w:r>
        <w:rPr>
          <w:rFonts w:hint="eastAsia" w:ascii="仿宋" w:hAnsi="仿宋" w:eastAsia="仿宋"/>
          <w:sz w:val="32"/>
          <w:szCs w:val="32"/>
        </w:rPr>
        <w:t>（四）按照《深圳经济特区前海深港现代服务业合作区条例》（修订案）的规定，直接授予下属公司经营权；</w:t>
      </w:r>
    </w:p>
    <w:p>
      <w:pPr>
        <w:spacing w:after="200"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法律、法规规定的其他方式。</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第十七条 </w:t>
      </w:r>
      <w:r>
        <w:rPr>
          <w:rFonts w:hint="eastAsia" w:ascii="仿宋" w:hAnsi="仿宋" w:eastAsia="仿宋"/>
          <w:sz w:val="32"/>
          <w:szCs w:val="32"/>
        </w:rPr>
        <w:t>主管部门应当与依法确定的供冷单位签署供冷经营权授予协议，明确授权范围、经营期限、双方的权利与义务，以及供冷单位在投资建设、运营活动中的考核标准、奖惩机制、法律责任、退出机制等事宜。</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第十八条 </w:t>
      </w:r>
      <w:r>
        <w:rPr>
          <w:rFonts w:hint="eastAsia" w:ascii="仿宋" w:hAnsi="仿宋" w:eastAsia="仿宋"/>
          <w:sz w:val="32"/>
          <w:szCs w:val="32"/>
        </w:rPr>
        <w:t>经营期限根据前海深港合作区区域集中供冷系统的推广、运营实际需要，及供冷单位的投资回报周期确定，但最长不得超过三十年。</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第十九条 </w:t>
      </w:r>
      <w:r>
        <w:rPr>
          <w:rFonts w:hint="eastAsia" w:ascii="仿宋" w:hAnsi="仿宋" w:eastAsia="仿宋"/>
          <w:sz w:val="32"/>
          <w:szCs w:val="32"/>
        </w:rPr>
        <w:t>经营期限届满后，主管部门可优先考虑经考核优秀的供冷单位继续作为前海合作区供冷系统的供冷单位，也可按照本办法的规定，重新确定供冷单位。供冷单位的重新确定应当于经营期限届满六个月前完成。</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第二十条 </w:t>
      </w:r>
      <w:r>
        <w:rPr>
          <w:rFonts w:hint="eastAsia" w:ascii="仿宋" w:hAnsi="仿宋" w:eastAsia="仿宋"/>
          <w:sz w:val="32"/>
          <w:szCs w:val="32"/>
        </w:rPr>
        <w:t>主管部门可以征收供冷经营权使用费。</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第二十一条 </w:t>
      </w:r>
      <w:r>
        <w:rPr>
          <w:rFonts w:hint="eastAsia" w:ascii="仿宋" w:hAnsi="仿宋" w:eastAsia="仿宋"/>
          <w:sz w:val="32"/>
          <w:szCs w:val="32"/>
        </w:rPr>
        <w:t>供冷单位依照本办法及供冷经营权授予协议的规定承担职责并履行义务。</w:t>
      </w:r>
    </w:p>
    <w:p>
      <w:pPr>
        <w:spacing w:after="200" w:line="360" w:lineRule="auto"/>
        <w:jc w:val="center"/>
        <w:rPr>
          <w:rFonts w:ascii="仿宋" w:hAnsi="仿宋" w:eastAsia="仿宋"/>
          <w:b/>
          <w:sz w:val="32"/>
          <w:szCs w:val="32"/>
        </w:rPr>
      </w:pPr>
      <w:bookmarkStart w:id="0" w:name="_Toc398654229"/>
      <w:bookmarkStart w:id="1" w:name="_Toc402857420"/>
      <w:bookmarkStart w:id="2" w:name="_Toc400699810"/>
      <w:bookmarkStart w:id="3" w:name="_Toc400647790"/>
      <w:r>
        <w:rPr>
          <w:rFonts w:hint="eastAsia" w:ascii="仿宋" w:hAnsi="仿宋" w:eastAsia="仿宋"/>
          <w:b/>
          <w:sz w:val="32"/>
          <w:szCs w:val="32"/>
        </w:rPr>
        <w:t>第三章 供冷规划与建设</w:t>
      </w:r>
      <w:bookmarkEnd w:id="0"/>
      <w:bookmarkEnd w:id="1"/>
      <w:bookmarkEnd w:id="2"/>
      <w:bookmarkEnd w:id="3"/>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第二十二条 </w:t>
      </w:r>
      <w:r>
        <w:rPr>
          <w:rFonts w:hint="eastAsia" w:ascii="仿宋" w:hAnsi="仿宋" w:eastAsia="仿宋"/>
          <w:sz w:val="32"/>
          <w:szCs w:val="32"/>
        </w:rPr>
        <w:t>主管部门应当根据《前海深港现代服务业合作区总体发展规划》，编制前海深港合作区区域集中供冷专项规划并组织实施。</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第二十三条 </w:t>
      </w:r>
      <w:r>
        <w:rPr>
          <w:rFonts w:hint="eastAsia" w:ascii="仿宋" w:hAnsi="仿宋" w:eastAsia="仿宋"/>
          <w:sz w:val="32"/>
          <w:szCs w:val="32"/>
        </w:rPr>
        <w:t>任何单位和个人不得擅自占用按照区域集中供冷系统专项规划预留的供冷设施用地和市政供冷管网路由。</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第二十四条 </w:t>
      </w:r>
      <w:r>
        <w:rPr>
          <w:rFonts w:hint="eastAsia" w:ascii="仿宋" w:hAnsi="仿宋" w:eastAsia="仿宋"/>
          <w:sz w:val="32"/>
          <w:szCs w:val="32"/>
        </w:rPr>
        <w:t>供冷设施的建设，需符合区域集中供冷系统专项规划，严格执行国家及地方有关标准和技术规范。</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第二十五条 </w:t>
      </w:r>
      <w:r>
        <w:rPr>
          <w:rFonts w:hint="eastAsia" w:ascii="仿宋" w:hAnsi="仿宋" w:eastAsia="仿宋"/>
          <w:sz w:val="32"/>
          <w:szCs w:val="32"/>
        </w:rPr>
        <w:t>区域集中供冷系统的建设应当结合前海深港合作区周边能源条件，在确保可实施性的前提下采用能源综合利用技术；区域集中供冷系统应当采用能源效率高、技术先进的设备，应当与其他基础设施同步建设。</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第二十六条 </w:t>
      </w:r>
      <w:r>
        <w:rPr>
          <w:rFonts w:hint="eastAsia" w:ascii="仿宋" w:hAnsi="仿宋" w:eastAsia="仿宋"/>
          <w:sz w:val="32"/>
          <w:szCs w:val="32"/>
        </w:rPr>
        <w:t>主管部门可以</w:t>
      </w:r>
      <w:bookmarkStart w:id="4" w:name="OLE_LINK1"/>
      <w:bookmarkStart w:id="5" w:name="OLE_LINK2"/>
      <w:r>
        <w:rPr>
          <w:rFonts w:hint="eastAsia" w:ascii="仿宋" w:hAnsi="仿宋" w:eastAsia="仿宋"/>
          <w:sz w:val="32"/>
          <w:szCs w:val="32"/>
        </w:rPr>
        <w:t>依法授权深圳市前海开发投资控股有限公司负责区域集中供冷系统市政供冷管网以及附建于绿地下冷站土建部分的建设，建设完成后，其产权属于主管部门。</w:t>
      </w:r>
      <w:bookmarkEnd w:id="4"/>
      <w:bookmarkEnd w:id="5"/>
    </w:p>
    <w:p>
      <w:pPr>
        <w:spacing w:after="200" w:line="360" w:lineRule="auto"/>
        <w:ind w:firstLine="640" w:firstLineChars="200"/>
        <w:rPr>
          <w:rFonts w:ascii="仿宋" w:hAnsi="仿宋" w:eastAsia="仿宋"/>
          <w:sz w:val="32"/>
          <w:szCs w:val="32"/>
        </w:rPr>
      </w:pPr>
      <w:r>
        <w:rPr>
          <w:rFonts w:hint="eastAsia" w:ascii="仿宋" w:hAnsi="仿宋" w:eastAsia="仿宋"/>
          <w:sz w:val="32"/>
          <w:szCs w:val="32"/>
        </w:rPr>
        <w:t>主管部门优先</w:t>
      </w:r>
      <w:r>
        <w:rPr>
          <w:rFonts w:ascii="仿宋" w:hAnsi="仿宋" w:eastAsia="仿宋"/>
          <w:sz w:val="32"/>
          <w:szCs w:val="32"/>
        </w:rPr>
        <w:t>采用无偿</w:t>
      </w:r>
      <w:r>
        <w:rPr>
          <w:rFonts w:hint="eastAsia" w:ascii="仿宋" w:hAnsi="仿宋" w:eastAsia="仿宋"/>
          <w:sz w:val="32"/>
          <w:szCs w:val="32"/>
        </w:rPr>
        <w:t>方式，在</w:t>
      </w:r>
      <w:r>
        <w:rPr>
          <w:rFonts w:ascii="仿宋" w:hAnsi="仿宋" w:eastAsia="仿宋"/>
          <w:sz w:val="32"/>
          <w:szCs w:val="32"/>
        </w:rPr>
        <w:t>授予</w:t>
      </w:r>
      <w:r>
        <w:rPr>
          <w:rFonts w:hint="eastAsia" w:ascii="仿宋" w:hAnsi="仿宋" w:eastAsia="仿宋"/>
          <w:sz w:val="32"/>
          <w:szCs w:val="32"/>
        </w:rPr>
        <w:t>供冷经营权</w:t>
      </w:r>
      <w:r>
        <w:rPr>
          <w:rFonts w:ascii="仿宋" w:hAnsi="仿宋" w:eastAsia="仿宋"/>
          <w:sz w:val="32"/>
          <w:szCs w:val="32"/>
        </w:rPr>
        <w:t>时</w:t>
      </w:r>
      <w:r>
        <w:rPr>
          <w:rFonts w:hint="eastAsia" w:ascii="仿宋" w:hAnsi="仿宋" w:eastAsia="仿宋"/>
          <w:sz w:val="32"/>
          <w:szCs w:val="32"/>
        </w:rPr>
        <w:t>，</w:t>
      </w:r>
      <w:r>
        <w:rPr>
          <w:rFonts w:ascii="仿宋" w:hAnsi="仿宋" w:eastAsia="仿宋"/>
          <w:sz w:val="32"/>
          <w:szCs w:val="32"/>
        </w:rPr>
        <w:t>同步</w:t>
      </w:r>
      <w:r>
        <w:rPr>
          <w:rFonts w:hint="eastAsia" w:ascii="仿宋" w:hAnsi="仿宋" w:eastAsia="仿宋"/>
          <w:sz w:val="32"/>
          <w:szCs w:val="32"/>
        </w:rPr>
        <w:t>将冷站土建及一次管网使用权提供给供冷单位使用，供冷</w:t>
      </w:r>
      <w:r>
        <w:rPr>
          <w:rFonts w:ascii="仿宋" w:hAnsi="仿宋" w:eastAsia="仿宋"/>
          <w:sz w:val="32"/>
          <w:szCs w:val="32"/>
        </w:rPr>
        <w:t>单位负责</w:t>
      </w:r>
      <w:r>
        <w:rPr>
          <w:rFonts w:hint="eastAsia" w:ascii="仿宋" w:hAnsi="仿宋" w:eastAsia="仿宋"/>
          <w:sz w:val="32"/>
          <w:szCs w:val="32"/>
        </w:rPr>
        <w:t>冷站土建、一次管网的维护与管理职责，并承担相关费用。</w:t>
      </w:r>
    </w:p>
    <w:p>
      <w:pPr>
        <w:spacing w:after="200" w:line="360" w:lineRule="auto"/>
        <w:ind w:firstLine="482" w:firstLineChars="200"/>
        <w:rPr>
          <w:rFonts w:ascii="仿宋" w:hAnsi="仿宋" w:eastAsia="仿宋"/>
          <w:sz w:val="32"/>
          <w:szCs w:val="32"/>
        </w:rPr>
      </w:pPr>
      <w:r>
        <w:rPr>
          <w:rFonts w:hint="eastAsia" w:ascii="楷体_GB2312" w:hAnsi="仿宋" w:eastAsia="楷体_GB2312"/>
          <w:b/>
          <w:sz w:val="24"/>
        </w:rPr>
        <w:t>【注释】</w:t>
      </w:r>
      <w:r>
        <w:rPr>
          <w:rFonts w:ascii="楷体_GB2312" w:hAnsi="仿宋" w:eastAsia="楷体_GB2312"/>
          <w:sz w:val="24"/>
        </w:rPr>
        <w:t>前海</w:t>
      </w:r>
      <w:r>
        <w:rPr>
          <w:rFonts w:hint="eastAsia" w:ascii="楷体_GB2312" w:hAnsi="仿宋" w:eastAsia="楷体_GB2312"/>
          <w:sz w:val="24"/>
        </w:rPr>
        <w:t>为保障</w:t>
      </w:r>
      <w:r>
        <w:rPr>
          <w:rFonts w:ascii="楷体_GB2312" w:hAnsi="仿宋" w:eastAsia="楷体_GB2312"/>
          <w:sz w:val="24"/>
        </w:rPr>
        <w:t>区域集中供冷</w:t>
      </w:r>
      <w:r>
        <w:rPr>
          <w:rFonts w:hint="eastAsia" w:ascii="楷体_GB2312" w:hAnsi="仿宋" w:eastAsia="楷体_GB2312"/>
          <w:sz w:val="24"/>
        </w:rPr>
        <w:t>可持续</w:t>
      </w:r>
      <w:r>
        <w:rPr>
          <w:rFonts w:ascii="楷体_GB2312" w:hAnsi="仿宋" w:eastAsia="楷体_GB2312"/>
          <w:sz w:val="24"/>
        </w:rPr>
        <w:t>、</w:t>
      </w:r>
      <w:r>
        <w:rPr>
          <w:rFonts w:hint="eastAsia" w:ascii="楷体_GB2312" w:hAnsi="仿宋" w:eastAsia="楷体_GB2312"/>
          <w:sz w:val="24"/>
        </w:rPr>
        <w:t>健康运营、</w:t>
      </w:r>
      <w:r>
        <w:rPr>
          <w:rFonts w:ascii="楷体_GB2312" w:hAnsi="仿宋" w:eastAsia="楷体_GB2312"/>
          <w:sz w:val="24"/>
        </w:rPr>
        <w:t>保障冷价经济性</w:t>
      </w:r>
      <w:r>
        <w:rPr>
          <w:rFonts w:hint="eastAsia" w:ascii="楷体_GB2312" w:hAnsi="仿宋" w:eastAsia="楷体_GB2312"/>
          <w:sz w:val="24"/>
        </w:rPr>
        <w:t>等，办法设定了冷站</w:t>
      </w:r>
      <w:r>
        <w:rPr>
          <w:rFonts w:ascii="楷体_GB2312" w:hAnsi="仿宋" w:eastAsia="楷体_GB2312"/>
          <w:sz w:val="24"/>
        </w:rPr>
        <w:t>土建及供冷管网</w:t>
      </w:r>
      <w:r>
        <w:rPr>
          <w:rFonts w:hint="eastAsia" w:ascii="楷体_GB2312" w:hAnsi="仿宋" w:eastAsia="楷体_GB2312"/>
          <w:sz w:val="24"/>
        </w:rPr>
        <w:t>投资、</w:t>
      </w:r>
      <w:r>
        <w:rPr>
          <w:rFonts w:ascii="楷体_GB2312" w:hAnsi="仿宋" w:eastAsia="楷体_GB2312"/>
          <w:sz w:val="24"/>
        </w:rPr>
        <w:t>建设</w:t>
      </w:r>
      <w:r>
        <w:rPr>
          <w:rFonts w:hint="eastAsia" w:ascii="楷体_GB2312" w:hAnsi="仿宋" w:eastAsia="楷体_GB2312"/>
          <w:sz w:val="24"/>
        </w:rPr>
        <w:t>边界</w:t>
      </w:r>
      <w:r>
        <w:rPr>
          <w:rFonts w:ascii="楷体_GB2312" w:hAnsi="仿宋" w:eastAsia="楷体_GB2312"/>
          <w:sz w:val="24"/>
        </w:rPr>
        <w:t>条件，</w:t>
      </w:r>
      <w:r>
        <w:rPr>
          <w:rFonts w:hint="eastAsia" w:ascii="楷体_GB2312" w:hAnsi="仿宋" w:eastAsia="楷体_GB2312"/>
          <w:sz w:val="24"/>
        </w:rPr>
        <w:t>为进一步</w:t>
      </w:r>
      <w:r>
        <w:rPr>
          <w:rFonts w:ascii="楷体_GB2312" w:hAnsi="仿宋" w:eastAsia="楷体_GB2312"/>
          <w:sz w:val="24"/>
        </w:rPr>
        <w:t>落实冷价经济性原则，</w:t>
      </w:r>
      <w:r>
        <w:rPr>
          <w:rFonts w:hint="eastAsia" w:ascii="楷体_GB2312" w:hAnsi="仿宋" w:eastAsia="楷体_GB2312"/>
          <w:sz w:val="24"/>
        </w:rPr>
        <w:t>依据《前海合作区集中供冷经营权授予、运营、监督管理等机制研究课题》</w:t>
      </w:r>
      <w:r>
        <w:rPr>
          <w:rFonts w:ascii="楷体_GB2312" w:hAnsi="仿宋" w:eastAsia="楷体_GB2312"/>
          <w:sz w:val="24"/>
        </w:rPr>
        <w:t>成果</w:t>
      </w:r>
      <w:r>
        <w:rPr>
          <w:rFonts w:hint="eastAsia" w:ascii="楷体_GB2312" w:hAnsi="仿宋" w:eastAsia="楷体_GB2312"/>
          <w:sz w:val="24"/>
        </w:rPr>
        <w:t>，增加</w:t>
      </w:r>
      <w:r>
        <w:rPr>
          <w:rFonts w:ascii="楷体_GB2312" w:hAnsi="仿宋" w:eastAsia="楷体_GB2312"/>
          <w:sz w:val="24"/>
        </w:rPr>
        <w:t>了本条第二款内容，</w:t>
      </w:r>
      <w:r>
        <w:rPr>
          <w:rFonts w:hint="eastAsia" w:ascii="楷体_GB2312" w:hAnsi="仿宋" w:eastAsia="楷体_GB2312"/>
          <w:sz w:val="24"/>
        </w:rPr>
        <w:t>解决</w:t>
      </w:r>
      <w:r>
        <w:rPr>
          <w:rFonts w:ascii="楷体_GB2312" w:hAnsi="仿宋" w:eastAsia="楷体_GB2312"/>
          <w:sz w:val="24"/>
        </w:rPr>
        <w:t>了政府投建</w:t>
      </w:r>
      <w:r>
        <w:rPr>
          <w:rFonts w:hint="eastAsia" w:ascii="楷体_GB2312" w:hAnsi="仿宋" w:eastAsia="楷体_GB2312"/>
          <w:sz w:val="24"/>
        </w:rPr>
        <w:t>的</w:t>
      </w:r>
      <w:r>
        <w:rPr>
          <w:rFonts w:ascii="楷体_GB2312" w:hAnsi="仿宋" w:eastAsia="楷体_GB2312"/>
          <w:sz w:val="24"/>
        </w:rPr>
        <w:t>冷站土建及</w:t>
      </w:r>
      <w:r>
        <w:rPr>
          <w:rFonts w:hint="eastAsia" w:ascii="楷体_GB2312" w:hAnsi="仿宋" w:eastAsia="楷体_GB2312"/>
          <w:sz w:val="24"/>
        </w:rPr>
        <w:t>供冷</w:t>
      </w:r>
      <w:r>
        <w:rPr>
          <w:rFonts w:ascii="楷体_GB2312" w:hAnsi="仿宋" w:eastAsia="楷体_GB2312"/>
          <w:sz w:val="24"/>
        </w:rPr>
        <w:t>管网、企业配建冷站</w:t>
      </w:r>
      <w:r>
        <w:rPr>
          <w:rFonts w:hint="eastAsia" w:ascii="楷体_GB2312" w:hAnsi="仿宋" w:eastAsia="楷体_GB2312"/>
          <w:sz w:val="24"/>
        </w:rPr>
        <w:t>的使用权</w:t>
      </w:r>
      <w:r>
        <w:rPr>
          <w:rFonts w:ascii="楷体_GB2312" w:hAnsi="仿宋" w:eastAsia="楷体_GB2312"/>
          <w:sz w:val="24"/>
        </w:rPr>
        <w:t>管理边界</w:t>
      </w:r>
      <w:r>
        <w:rPr>
          <w:rFonts w:hint="eastAsia" w:ascii="楷体_GB2312" w:hAnsi="仿宋" w:eastAsia="楷体_GB2312"/>
          <w:sz w:val="24"/>
        </w:rPr>
        <w:t>、</w:t>
      </w:r>
      <w:r>
        <w:rPr>
          <w:rFonts w:ascii="楷体_GB2312" w:hAnsi="仿宋" w:eastAsia="楷体_GB2312"/>
          <w:sz w:val="24"/>
        </w:rPr>
        <w:t>管理费用等规定</w:t>
      </w:r>
      <w:r>
        <w:rPr>
          <w:rFonts w:hint="eastAsia" w:ascii="楷体_GB2312" w:hAnsi="仿宋" w:eastAsia="楷体_GB2312"/>
          <w:sz w:val="24"/>
        </w:rPr>
        <w:t>。</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第二十七条 </w:t>
      </w:r>
      <w:r>
        <w:rPr>
          <w:rFonts w:hint="eastAsia" w:ascii="仿宋" w:hAnsi="仿宋" w:eastAsia="仿宋"/>
          <w:sz w:val="32"/>
          <w:szCs w:val="32"/>
        </w:rPr>
        <w:t>按照区域集中供冷专项规划建设的区域集中供冷设施竣工后，建设单位应当依法组织竣工验收，并按有关规定报主管部门备案。</w:t>
      </w:r>
    </w:p>
    <w:p>
      <w:pPr>
        <w:spacing w:after="200" w:line="360" w:lineRule="auto"/>
        <w:jc w:val="center"/>
        <w:rPr>
          <w:rFonts w:ascii="仿宋" w:hAnsi="仿宋" w:eastAsia="仿宋"/>
          <w:b/>
          <w:sz w:val="32"/>
          <w:szCs w:val="32"/>
        </w:rPr>
      </w:pPr>
      <w:bookmarkStart w:id="6" w:name="_Toc402857421"/>
      <w:bookmarkStart w:id="7" w:name="_Toc400699811"/>
      <w:bookmarkStart w:id="8" w:name="_Toc400647791"/>
      <w:bookmarkStart w:id="9" w:name="_Toc398654230"/>
      <w:r>
        <w:rPr>
          <w:rFonts w:hint="eastAsia" w:ascii="仿宋" w:hAnsi="仿宋" w:eastAsia="仿宋"/>
          <w:b/>
          <w:sz w:val="32"/>
          <w:szCs w:val="32"/>
        </w:rPr>
        <w:t>第四章</w:t>
      </w:r>
      <w:bookmarkEnd w:id="6"/>
      <w:bookmarkEnd w:id="7"/>
      <w:bookmarkEnd w:id="8"/>
      <w:bookmarkEnd w:id="9"/>
      <w:r>
        <w:rPr>
          <w:rFonts w:hint="eastAsia" w:ascii="仿宋" w:hAnsi="仿宋" w:eastAsia="仿宋"/>
          <w:b/>
          <w:sz w:val="32"/>
          <w:szCs w:val="32"/>
        </w:rPr>
        <w:t xml:space="preserve"> 运营管理</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第二十八条 </w:t>
      </w:r>
      <w:r>
        <w:rPr>
          <w:rFonts w:hint="eastAsia" w:ascii="仿宋" w:hAnsi="仿宋" w:eastAsia="仿宋"/>
          <w:sz w:val="32"/>
          <w:szCs w:val="32"/>
        </w:rPr>
        <w:t>供冷单位应当与用户签订供用冷服务合同，合同中应当明确各方职责、冷负荷、供冷时间、投资</w:t>
      </w:r>
      <w:r>
        <w:rPr>
          <w:rFonts w:ascii="仿宋" w:hAnsi="仿宋" w:eastAsia="仿宋"/>
          <w:sz w:val="32"/>
          <w:szCs w:val="32"/>
        </w:rPr>
        <w:t>(管理)义务、供冷价格、交费时限、供冷参数、管网维护、</w:t>
      </w:r>
      <w:r>
        <w:rPr>
          <w:rFonts w:hint="eastAsia" w:ascii="仿宋" w:hAnsi="仿宋" w:eastAsia="仿宋"/>
          <w:sz w:val="32"/>
          <w:szCs w:val="32"/>
        </w:rPr>
        <w:t>系统检测、</w:t>
      </w:r>
      <w:r>
        <w:rPr>
          <w:rFonts w:ascii="仿宋" w:hAnsi="仿宋" w:eastAsia="仿宋"/>
          <w:sz w:val="32"/>
          <w:szCs w:val="32"/>
        </w:rPr>
        <w:t>应急处理、奖惩制度及违约责任等事项。</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第二十九条 </w:t>
      </w:r>
      <w:r>
        <w:rPr>
          <w:rFonts w:hint="eastAsia" w:ascii="仿宋" w:hAnsi="仿宋" w:eastAsia="仿宋"/>
          <w:sz w:val="32"/>
          <w:szCs w:val="32"/>
        </w:rPr>
        <w:t>供冷单位应当对区域集中供冷系统进行定期检修保养，确保为用户提供持续、稳定、优质的供冷服务。</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第三十条 </w:t>
      </w:r>
      <w:r>
        <w:rPr>
          <w:rFonts w:hint="eastAsia" w:ascii="仿宋" w:hAnsi="仿宋" w:eastAsia="仿宋"/>
          <w:sz w:val="32"/>
          <w:szCs w:val="32"/>
        </w:rPr>
        <w:t>主管部门应当依据供冷经营权授予协议以冷站为单元对经营者（供冷单位）的服务质量、运营水平等进行评价与考核，并邀请用户及其他相关方参与，根据评价与考核结果按照供冷经营权授予协议进行相应奖惩。</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第三十一条 </w:t>
      </w:r>
      <w:r>
        <w:rPr>
          <w:rFonts w:hint="eastAsia" w:ascii="仿宋" w:hAnsi="仿宋" w:eastAsia="仿宋"/>
          <w:sz w:val="32"/>
          <w:szCs w:val="32"/>
        </w:rPr>
        <w:t>供冷单位应当在每年的第一季度向主管部门报告上一年度区域集中供冷系统的运营情况以及本年度的运营计划。</w:t>
      </w:r>
    </w:p>
    <w:p>
      <w:pPr>
        <w:spacing w:after="200" w:line="360" w:lineRule="auto"/>
        <w:ind w:firstLine="640" w:firstLineChars="200"/>
        <w:rPr>
          <w:rFonts w:ascii="仿宋" w:hAnsi="仿宋" w:eastAsia="仿宋"/>
          <w:sz w:val="32"/>
          <w:szCs w:val="32"/>
        </w:rPr>
      </w:pPr>
      <w:r>
        <w:rPr>
          <w:rFonts w:hint="eastAsia" w:ascii="仿宋" w:hAnsi="仿宋" w:eastAsia="仿宋"/>
          <w:sz w:val="32"/>
          <w:szCs w:val="32"/>
        </w:rPr>
        <w:t>供冷单位对区域集中供冷系统进行重大更新与节能改造应当事前报主管部门批准。</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第三十二条 </w:t>
      </w:r>
      <w:r>
        <w:rPr>
          <w:rFonts w:hint="eastAsia" w:ascii="仿宋" w:hAnsi="仿宋" w:eastAsia="仿宋"/>
          <w:sz w:val="32"/>
          <w:szCs w:val="32"/>
        </w:rPr>
        <w:t>供冷单位应当建立信息公开制度，保障公众的知情权、建议权和监督权，保证公共利益不受损害，维护用户及其他相关方的合法权益不受损害。</w:t>
      </w:r>
    </w:p>
    <w:p>
      <w:pPr>
        <w:spacing w:after="200" w:line="360" w:lineRule="auto"/>
        <w:ind w:firstLine="640" w:firstLineChars="200"/>
        <w:rPr>
          <w:rFonts w:ascii="仿宋" w:hAnsi="仿宋" w:eastAsia="仿宋"/>
          <w:sz w:val="32"/>
          <w:szCs w:val="32"/>
        </w:rPr>
      </w:pPr>
      <w:r>
        <w:rPr>
          <w:rFonts w:hint="eastAsia" w:ascii="仿宋" w:hAnsi="仿宋" w:eastAsia="仿宋"/>
          <w:sz w:val="32"/>
          <w:szCs w:val="32"/>
        </w:rPr>
        <w:t>用户有权就供冷质量、服务、收费等问题向主管部门或者其他有关部门提出意见或建议。</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第三十三条 </w:t>
      </w:r>
      <w:r>
        <w:rPr>
          <w:rFonts w:hint="eastAsia" w:ascii="仿宋" w:hAnsi="仿宋" w:eastAsia="仿宋"/>
          <w:sz w:val="32"/>
          <w:szCs w:val="32"/>
        </w:rPr>
        <w:t>任何单位或个人不得有下列行为：</w:t>
      </w:r>
    </w:p>
    <w:p>
      <w:pPr>
        <w:pStyle w:val="13"/>
        <w:numPr>
          <w:ilvl w:val="0"/>
          <w:numId w:val="3"/>
        </w:numPr>
        <w:tabs>
          <w:tab w:val="left" w:pos="1276"/>
        </w:tabs>
        <w:spacing w:after="200" w:line="360" w:lineRule="auto"/>
        <w:ind w:left="0" w:firstLine="567"/>
        <w:rPr>
          <w:rFonts w:ascii="仿宋" w:hAnsi="仿宋" w:eastAsia="仿宋"/>
          <w:sz w:val="32"/>
          <w:szCs w:val="32"/>
          <w:lang w:val="en-US" w:eastAsia="zh-CN"/>
        </w:rPr>
      </w:pPr>
      <w:r>
        <w:rPr>
          <w:rFonts w:hint="eastAsia" w:ascii="仿宋" w:hAnsi="仿宋" w:eastAsia="仿宋"/>
          <w:sz w:val="32"/>
          <w:szCs w:val="32"/>
          <w:lang w:val="en-US" w:eastAsia="zh-CN"/>
        </w:rPr>
        <w:t>在供冷设施上安装其他设施或物品；</w:t>
      </w:r>
    </w:p>
    <w:p>
      <w:pPr>
        <w:pStyle w:val="13"/>
        <w:numPr>
          <w:ilvl w:val="0"/>
          <w:numId w:val="3"/>
        </w:numPr>
        <w:tabs>
          <w:tab w:val="left" w:pos="1276"/>
        </w:tabs>
        <w:spacing w:after="200" w:line="360" w:lineRule="auto"/>
        <w:ind w:left="0" w:firstLine="567"/>
        <w:rPr>
          <w:rFonts w:ascii="仿宋" w:hAnsi="仿宋" w:eastAsia="仿宋"/>
          <w:sz w:val="32"/>
          <w:szCs w:val="32"/>
          <w:lang w:val="en-US" w:eastAsia="zh-CN"/>
        </w:rPr>
      </w:pPr>
      <w:r>
        <w:rPr>
          <w:rFonts w:hint="eastAsia" w:ascii="仿宋" w:hAnsi="仿宋" w:eastAsia="仿宋"/>
          <w:sz w:val="32"/>
          <w:szCs w:val="32"/>
          <w:lang w:val="en-US" w:eastAsia="zh-CN"/>
        </w:rPr>
        <w:t>未经供冷单位同意改动供冷设施和管网；</w:t>
      </w:r>
    </w:p>
    <w:p>
      <w:pPr>
        <w:pStyle w:val="13"/>
        <w:numPr>
          <w:ilvl w:val="0"/>
          <w:numId w:val="3"/>
        </w:numPr>
        <w:tabs>
          <w:tab w:val="left" w:pos="1276"/>
        </w:tabs>
        <w:spacing w:after="200" w:line="360" w:lineRule="auto"/>
        <w:ind w:left="0" w:firstLine="567"/>
        <w:rPr>
          <w:rFonts w:ascii="仿宋" w:hAnsi="仿宋" w:eastAsia="仿宋"/>
          <w:sz w:val="32"/>
          <w:szCs w:val="32"/>
          <w:lang w:val="en-US" w:eastAsia="zh-CN"/>
        </w:rPr>
      </w:pPr>
      <w:r>
        <w:rPr>
          <w:rFonts w:hint="eastAsia" w:ascii="仿宋" w:hAnsi="仿宋" w:eastAsia="仿宋"/>
          <w:sz w:val="32"/>
          <w:szCs w:val="32"/>
          <w:lang w:val="en-US" w:eastAsia="zh-CN"/>
        </w:rPr>
        <w:t>破坏供冷设施和管网；</w:t>
      </w:r>
    </w:p>
    <w:p>
      <w:pPr>
        <w:pStyle w:val="13"/>
        <w:numPr>
          <w:ilvl w:val="0"/>
          <w:numId w:val="3"/>
        </w:numPr>
        <w:tabs>
          <w:tab w:val="left" w:pos="1276"/>
        </w:tabs>
        <w:spacing w:after="200" w:line="360" w:lineRule="auto"/>
        <w:ind w:left="0" w:firstLine="567"/>
        <w:rPr>
          <w:rFonts w:ascii="仿宋" w:hAnsi="仿宋" w:eastAsia="仿宋"/>
          <w:sz w:val="32"/>
          <w:szCs w:val="32"/>
          <w:lang w:val="en-US" w:eastAsia="zh-CN"/>
        </w:rPr>
      </w:pPr>
      <w:r>
        <w:rPr>
          <w:rFonts w:hint="eastAsia" w:ascii="仿宋" w:hAnsi="仿宋" w:eastAsia="仿宋"/>
          <w:sz w:val="32"/>
          <w:szCs w:val="32"/>
          <w:lang w:val="en-US" w:eastAsia="zh-CN"/>
        </w:rPr>
        <w:t>未经供冷单位同意绕开供冷计量装置使用冷源冷冻水或将冷源冷冻水用于空调以外的用途；</w:t>
      </w:r>
    </w:p>
    <w:p>
      <w:pPr>
        <w:pStyle w:val="13"/>
        <w:numPr>
          <w:ilvl w:val="0"/>
          <w:numId w:val="3"/>
        </w:numPr>
        <w:tabs>
          <w:tab w:val="left" w:pos="1276"/>
        </w:tabs>
        <w:spacing w:after="200" w:line="360" w:lineRule="auto"/>
        <w:ind w:left="0" w:firstLine="567"/>
        <w:rPr>
          <w:rFonts w:ascii="仿宋" w:hAnsi="仿宋" w:eastAsia="仿宋"/>
          <w:sz w:val="32"/>
          <w:szCs w:val="32"/>
          <w:lang w:val="en-US" w:eastAsia="zh-CN"/>
        </w:rPr>
      </w:pPr>
      <w:r>
        <w:rPr>
          <w:rFonts w:hint="eastAsia" w:ascii="仿宋" w:hAnsi="仿宋" w:eastAsia="仿宋"/>
          <w:sz w:val="32"/>
          <w:szCs w:val="32"/>
          <w:lang w:val="en-US" w:eastAsia="zh-CN"/>
        </w:rPr>
        <w:t>其他影响区域集中供冷系统正常运行的行为。</w:t>
      </w:r>
    </w:p>
    <w:p>
      <w:pPr>
        <w:spacing w:after="200" w:line="360" w:lineRule="auto"/>
        <w:ind w:firstLine="643" w:firstLineChars="200"/>
        <w:rPr>
          <w:rFonts w:ascii="仿宋" w:hAnsi="仿宋" w:eastAsia="仿宋"/>
          <w:b/>
          <w:sz w:val="32"/>
          <w:szCs w:val="32"/>
        </w:rPr>
      </w:pPr>
      <w:r>
        <w:rPr>
          <w:rFonts w:hint="eastAsia" w:ascii="仿宋" w:hAnsi="仿宋" w:eastAsia="仿宋"/>
          <w:b/>
          <w:sz w:val="32"/>
          <w:szCs w:val="32"/>
        </w:rPr>
        <w:t xml:space="preserve">第三十四条 </w:t>
      </w:r>
      <w:r>
        <w:rPr>
          <w:rFonts w:hint="eastAsia" w:ascii="仿宋" w:hAnsi="仿宋" w:eastAsia="仿宋"/>
          <w:sz w:val="32"/>
          <w:szCs w:val="32"/>
        </w:rPr>
        <w:t>用户与用冷建筑实际使用者的权利义务关系，在符合本办法的规定、并且不违反供冷单位与用户之间的供用冷合同的约定的前提下，由双方依法另行通过合同约定，相关合同范本应报供冷单位备案。</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第三十五条 </w:t>
      </w:r>
      <w:r>
        <w:rPr>
          <w:rFonts w:hint="eastAsia" w:ascii="仿宋" w:hAnsi="仿宋" w:eastAsia="仿宋"/>
          <w:sz w:val="32"/>
          <w:szCs w:val="32"/>
        </w:rPr>
        <w:t>供冷计量发生争议时，供冷单位、用户可以委托法定检测机构对供冷计量装置进行检测，并根据各自责任划分承担相应的检测费用。责任方应当根据检测结果退还或补缴由于计量装置误差导致的应付供冷费用差额。</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第三十六条 </w:t>
      </w:r>
      <w:r>
        <w:rPr>
          <w:rFonts w:hint="eastAsia" w:ascii="仿宋" w:hAnsi="仿宋" w:eastAsia="仿宋"/>
          <w:sz w:val="32"/>
          <w:szCs w:val="32"/>
        </w:rPr>
        <w:t>任何单位和个人不得擅自启动供冷计量装置、中断供冷计量装置电源或移动、私自安装、拆卸、改装、毁坏或者干扰供冷计量装置。</w:t>
      </w:r>
    </w:p>
    <w:p>
      <w:pPr>
        <w:spacing w:after="200" w:line="360" w:lineRule="auto"/>
        <w:jc w:val="center"/>
        <w:rPr>
          <w:rFonts w:ascii="仿宋" w:hAnsi="仿宋" w:eastAsia="仿宋"/>
          <w:b/>
          <w:sz w:val="32"/>
          <w:szCs w:val="32"/>
        </w:rPr>
      </w:pPr>
      <w:bookmarkStart w:id="10" w:name="_Toc400699812"/>
      <w:bookmarkStart w:id="11" w:name="_Toc402857422"/>
      <w:bookmarkStart w:id="12" w:name="_Toc398654231"/>
      <w:bookmarkStart w:id="13" w:name="_Toc400647792"/>
      <w:r>
        <w:rPr>
          <w:rFonts w:hint="eastAsia" w:ascii="仿宋" w:hAnsi="仿宋" w:eastAsia="仿宋"/>
          <w:b/>
          <w:sz w:val="32"/>
          <w:szCs w:val="32"/>
        </w:rPr>
        <w:t>第五章 供冷收费管理</w:t>
      </w:r>
      <w:bookmarkEnd w:id="10"/>
      <w:bookmarkEnd w:id="11"/>
      <w:bookmarkEnd w:id="12"/>
      <w:bookmarkEnd w:id="13"/>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第三十七 </w:t>
      </w:r>
      <w:r>
        <w:rPr>
          <w:rFonts w:hint="eastAsia" w:ascii="仿宋" w:hAnsi="仿宋" w:eastAsia="仿宋"/>
          <w:sz w:val="32"/>
          <w:szCs w:val="32"/>
        </w:rPr>
        <w:t>区域集中供冷的定价应兼顾供冷单位和用户等相关方的利益，按照保本微利、科学合理、公开透明、市场化的原则依法确定。</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第三十八条 </w:t>
      </w:r>
      <w:r>
        <w:rPr>
          <w:rFonts w:hint="eastAsia" w:ascii="仿宋" w:hAnsi="仿宋" w:eastAsia="仿宋"/>
          <w:sz w:val="32"/>
          <w:szCs w:val="32"/>
        </w:rPr>
        <w:t>供冷收费方案应当包括收费模式、收费标准以及调价机制。</w:t>
      </w:r>
    </w:p>
    <w:p>
      <w:pPr>
        <w:spacing w:after="200" w:line="360" w:lineRule="auto"/>
        <w:ind w:firstLine="640" w:firstLineChars="200"/>
        <w:rPr>
          <w:rFonts w:ascii="仿宋" w:hAnsi="仿宋" w:eastAsia="仿宋"/>
          <w:sz w:val="32"/>
          <w:szCs w:val="32"/>
        </w:rPr>
      </w:pPr>
      <w:r>
        <w:rPr>
          <w:rFonts w:hint="eastAsia" w:ascii="仿宋" w:hAnsi="仿宋" w:eastAsia="仿宋"/>
          <w:sz w:val="32"/>
          <w:szCs w:val="32"/>
        </w:rPr>
        <w:t>供冷单位组织制定供冷收费方案时，应当委托第三方开展价格及成本调查，并听取用户、主管部门和有关单位的意见。</w:t>
      </w:r>
    </w:p>
    <w:p>
      <w:pPr>
        <w:spacing w:after="200" w:line="360" w:lineRule="auto"/>
        <w:ind w:firstLine="640" w:firstLineChars="200"/>
        <w:rPr>
          <w:rFonts w:ascii="仿宋" w:hAnsi="仿宋" w:eastAsia="仿宋"/>
          <w:sz w:val="32"/>
          <w:szCs w:val="32"/>
        </w:rPr>
      </w:pPr>
      <w:r>
        <w:rPr>
          <w:rFonts w:hint="eastAsia" w:ascii="仿宋" w:hAnsi="仿宋" w:eastAsia="仿宋"/>
          <w:sz w:val="32"/>
          <w:szCs w:val="32"/>
        </w:rPr>
        <w:t>前海</w:t>
      </w:r>
      <w:r>
        <w:rPr>
          <w:rFonts w:ascii="仿宋" w:hAnsi="仿宋" w:eastAsia="仿宋"/>
          <w:sz w:val="32"/>
          <w:szCs w:val="32"/>
        </w:rPr>
        <w:t>合作区集中供冷实行</w:t>
      </w:r>
      <w:r>
        <w:rPr>
          <w:rFonts w:hint="eastAsia" w:ascii="仿宋" w:hAnsi="仿宋" w:eastAsia="仿宋"/>
          <w:sz w:val="32"/>
          <w:szCs w:val="32"/>
        </w:rPr>
        <w:t>初装费和</w:t>
      </w:r>
      <w:r>
        <w:rPr>
          <w:rFonts w:ascii="仿宋" w:hAnsi="仿宋" w:eastAsia="仿宋"/>
          <w:sz w:val="32"/>
          <w:szCs w:val="32"/>
        </w:rPr>
        <w:t>冷量使用费两部制收费</w:t>
      </w:r>
      <w:r>
        <w:rPr>
          <w:rFonts w:hint="eastAsia" w:ascii="仿宋" w:hAnsi="仿宋" w:eastAsia="仿宋"/>
          <w:sz w:val="32"/>
          <w:szCs w:val="32"/>
        </w:rPr>
        <w:t>模式</w:t>
      </w:r>
      <w:r>
        <w:rPr>
          <w:rFonts w:ascii="仿宋" w:hAnsi="仿宋" w:eastAsia="仿宋"/>
          <w:sz w:val="32"/>
          <w:szCs w:val="32"/>
        </w:rPr>
        <w:t>；</w:t>
      </w:r>
      <w:r>
        <w:rPr>
          <w:rFonts w:hint="eastAsia" w:ascii="仿宋" w:hAnsi="仿宋" w:eastAsia="仿宋"/>
          <w:sz w:val="32"/>
          <w:szCs w:val="32"/>
        </w:rPr>
        <w:t>依据《土地使用权出让合同书》或</w:t>
      </w:r>
      <w:r>
        <w:rPr>
          <w:rFonts w:ascii="仿宋" w:hAnsi="仿宋" w:eastAsia="仿宋"/>
          <w:sz w:val="32"/>
          <w:szCs w:val="32"/>
        </w:rPr>
        <w:t>土地出让条件明确的</w:t>
      </w:r>
      <w:r>
        <w:rPr>
          <w:rFonts w:hint="eastAsia" w:ascii="仿宋" w:hAnsi="仿宋" w:eastAsia="仿宋"/>
          <w:sz w:val="32"/>
          <w:szCs w:val="32"/>
        </w:rPr>
        <w:t>由用地</w:t>
      </w:r>
      <w:r>
        <w:rPr>
          <w:rFonts w:ascii="仿宋" w:hAnsi="仿宋" w:eastAsia="仿宋"/>
          <w:sz w:val="32"/>
          <w:szCs w:val="32"/>
        </w:rPr>
        <w:t>单位投资、建设、建成后产权</w:t>
      </w:r>
      <w:r>
        <w:rPr>
          <w:rFonts w:hint="eastAsia" w:ascii="仿宋" w:hAnsi="仿宋" w:eastAsia="仿宋"/>
          <w:sz w:val="32"/>
          <w:szCs w:val="32"/>
        </w:rPr>
        <w:t>归</w:t>
      </w:r>
      <w:r>
        <w:rPr>
          <w:rFonts w:ascii="仿宋" w:hAnsi="仿宋" w:eastAsia="仿宋"/>
          <w:sz w:val="32"/>
          <w:szCs w:val="32"/>
        </w:rPr>
        <w:t>政府的</w:t>
      </w:r>
      <w:r>
        <w:rPr>
          <w:rFonts w:hint="eastAsia" w:ascii="仿宋" w:hAnsi="仿宋" w:eastAsia="仿宋"/>
          <w:sz w:val="32"/>
          <w:szCs w:val="32"/>
        </w:rPr>
        <w:t>配建物业或</w:t>
      </w:r>
      <w:r>
        <w:rPr>
          <w:rFonts w:ascii="仿宋" w:hAnsi="仿宋" w:eastAsia="仿宋"/>
          <w:sz w:val="32"/>
          <w:szCs w:val="32"/>
        </w:rPr>
        <w:t>地下步行公共空间</w:t>
      </w:r>
      <w:r>
        <w:rPr>
          <w:rFonts w:hint="eastAsia" w:ascii="仿宋" w:hAnsi="仿宋" w:eastAsia="仿宋"/>
          <w:sz w:val="32"/>
          <w:szCs w:val="32"/>
        </w:rPr>
        <w:t>，初装费实行建设单位</w:t>
      </w:r>
      <w:r>
        <w:rPr>
          <w:rFonts w:ascii="仿宋" w:hAnsi="仿宋" w:eastAsia="仿宋"/>
          <w:sz w:val="32"/>
          <w:szCs w:val="32"/>
        </w:rPr>
        <w:t>付费</w:t>
      </w:r>
      <w:r>
        <w:rPr>
          <w:rFonts w:hint="eastAsia" w:ascii="仿宋" w:hAnsi="仿宋" w:eastAsia="仿宋"/>
          <w:sz w:val="32"/>
          <w:szCs w:val="32"/>
        </w:rPr>
        <w:t>，冷量使用费实行使用单位</w:t>
      </w:r>
      <w:r>
        <w:rPr>
          <w:rFonts w:ascii="仿宋" w:hAnsi="仿宋" w:eastAsia="仿宋"/>
          <w:sz w:val="32"/>
          <w:szCs w:val="32"/>
        </w:rPr>
        <w:t>付费</w:t>
      </w:r>
      <w:r>
        <w:rPr>
          <w:rFonts w:hint="eastAsia" w:ascii="仿宋" w:hAnsi="仿宋" w:eastAsia="仿宋"/>
          <w:sz w:val="32"/>
          <w:szCs w:val="32"/>
        </w:rPr>
        <w:t>原则。</w:t>
      </w:r>
      <w:r>
        <w:rPr>
          <w:rFonts w:ascii="仿宋" w:hAnsi="仿宋" w:eastAsia="仿宋"/>
          <w:sz w:val="32"/>
          <w:szCs w:val="32"/>
        </w:rPr>
        <w:t>有明确</w:t>
      </w:r>
      <w:r>
        <w:rPr>
          <w:rFonts w:hint="eastAsia" w:ascii="仿宋" w:hAnsi="仿宋" w:eastAsia="仿宋"/>
          <w:sz w:val="32"/>
          <w:szCs w:val="32"/>
        </w:rPr>
        <w:t>费用</w:t>
      </w:r>
      <w:r>
        <w:rPr>
          <w:rFonts w:ascii="仿宋" w:hAnsi="仿宋" w:eastAsia="仿宋"/>
          <w:sz w:val="32"/>
          <w:szCs w:val="32"/>
        </w:rPr>
        <w:t>约定的，以协议条文为准</w:t>
      </w:r>
      <w:r>
        <w:rPr>
          <w:rFonts w:hint="eastAsia" w:ascii="仿宋" w:hAnsi="仿宋" w:eastAsia="仿宋"/>
          <w:sz w:val="32"/>
          <w:szCs w:val="32"/>
        </w:rPr>
        <w:t>。</w:t>
      </w:r>
    </w:p>
    <w:p>
      <w:pPr>
        <w:spacing w:after="200" w:line="360" w:lineRule="auto"/>
        <w:ind w:firstLine="482" w:firstLineChars="200"/>
        <w:rPr>
          <w:rFonts w:ascii="楷体_GB2312" w:hAnsi="仿宋" w:eastAsia="楷体_GB2312"/>
          <w:sz w:val="24"/>
        </w:rPr>
      </w:pPr>
      <w:r>
        <w:rPr>
          <w:rFonts w:hint="eastAsia" w:ascii="楷体_GB2312" w:hAnsi="仿宋" w:eastAsia="楷体_GB2312"/>
          <w:b/>
          <w:sz w:val="24"/>
        </w:rPr>
        <w:t>【注释】</w:t>
      </w:r>
      <w:r>
        <w:rPr>
          <w:rFonts w:hint="eastAsia" w:ascii="楷体_GB2312" w:hAnsi="仿宋" w:eastAsia="楷体_GB2312"/>
          <w:sz w:val="24"/>
        </w:rPr>
        <w:t>《前海合作区集中供冷经营权授予、运营、监督管理等机制研究课题》</w:t>
      </w:r>
      <w:r>
        <w:rPr>
          <w:rFonts w:ascii="楷体_GB2312" w:hAnsi="仿宋" w:eastAsia="楷体_GB2312"/>
          <w:sz w:val="24"/>
        </w:rPr>
        <w:t>成果</w:t>
      </w:r>
      <w:r>
        <w:rPr>
          <w:rFonts w:hint="eastAsia" w:ascii="楷体_GB2312" w:hAnsi="仿宋" w:eastAsia="楷体_GB2312"/>
          <w:sz w:val="24"/>
        </w:rPr>
        <w:t>，对</w:t>
      </w:r>
      <w:r>
        <w:rPr>
          <w:rFonts w:ascii="楷体_GB2312" w:hAnsi="仿宋" w:eastAsia="楷体_GB2312"/>
          <w:sz w:val="24"/>
        </w:rPr>
        <w:t>由</w:t>
      </w:r>
      <w:r>
        <w:rPr>
          <w:rFonts w:hint="eastAsia" w:ascii="楷体_GB2312" w:hAnsi="仿宋" w:eastAsia="楷体_GB2312"/>
          <w:sz w:val="24"/>
        </w:rPr>
        <w:t>用地</w:t>
      </w:r>
      <w:r>
        <w:rPr>
          <w:rFonts w:ascii="楷体_GB2312" w:hAnsi="仿宋" w:eastAsia="楷体_GB2312"/>
          <w:sz w:val="24"/>
        </w:rPr>
        <w:t>单位配建</w:t>
      </w:r>
      <w:r>
        <w:rPr>
          <w:rFonts w:hint="eastAsia" w:ascii="楷体_GB2312" w:hAnsi="仿宋" w:eastAsia="楷体_GB2312"/>
          <w:sz w:val="24"/>
        </w:rPr>
        <w:t>、</w:t>
      </w:r>
      <w:r>
        <w:rPr>
          <w:rFonts w:ascii="楷体_GB2312" w:hAnsi="仿宋" w:eastAsia="楷体_GB2312"/>
          <w:sz w:val="24"/>
        </w:rPr>
        <w:t>产权归政府</w:t>
      </w:r>
      <w:r>
        <w:rPr>
          <w:rFonts w:hint="eastAsia" w:ascii="楷体_GB2312" w:hAnsi="仿宋" w:eastAsia="楷体_GB2312"/>
          <w:sz w:val="24"/>
        </w:rPr>
        <w:t>部分</w:t>
      </w:r>
      <w:r>
        <w:rPr>
          <w:rFonts w:ascii="楷体_GB2312" w:hAnsi="仿宋" w:eastAsia="楷体_GB2312"/>
          <w:sz w:val="24"/>
        </w:rPr>
        <w:t>物业</w:t>
      </w:r>
      <w:r>
        <w:rPr>
          <w:rFonts w:hint="eastAsia" w:ascii="楷体_GB2312" w:hAnsi="仿宋" w:eastAsia="楷体_GB2312"/>
          <w:sz w:val="24"/>
        </w:rPr>
        <w:t>的</w:t>
      </w:r>
      <w:r>
        <w:rPr>
          <w:rFonts w:ascii="楷体_GB2312" w:hAnsi="仿宋" w:eastAsia="楷体_GB2312"/>
          <w:sz w:val="24"/>
        </w:rPr>
        <w:t>收费边界进行研究</w:t>
      </w:r>
      <w:r>
        <w:rPr>
          <w:rFonts w:hint="eastAsia" w:ascii="楷体_GB2312" w:hAnsi="仿宋" w:eastAsia="楷体_GB2312"/>
          <w:sz w:val="24"/>
        </w:rPr>
        <w:t>；结合《深圳</w:t>
      </w:r>
      <w:r>
        <w:rPr>
          <w:rFonts w:ascii="楷体_GB2312" w:hAnsi="仿宋" w:eastAsia="楷体_GB2312"/>
          <w:sz w:val="24"/>
        </w:rPr>
        <w:t>市前海合作区</w:t>
      </w:r>
      <w:r>
        <w:rPr>
          <w:rFonts w:hint="eastAsia" w:ascii="楷体_GB2312" w:hAnsi="仿宋" w:eastAsia="楷体_GB2312"/>
          <w:sz w:val="24"/>
        </w:rPr>
        <w:t>……宗地</w:t>
      </w:r>
      <w:r>
        <w:rPr>
          <w:rFonts w:ascii="楷体_GB2312" w:hAnsi="仿宋" w:eastAsia="楷体_GB2312"/>
          <w:sz w:val="24"/>
        </w:rPr>
        <w:t>配建物业移交协议书</w:t>
      </w:r>
      <w:r>
        <w:rPr>
          <w:rFonts w:hint="eastAsia" w:ascii="楷体_GB2312" w:hAnsi="仿宋" w:eastAsia="楷体_GB2312"/>
          <w:sz w:val="24"/>
        </w:rPr>
        <w:t>》第五条</w:t>
      </w:r>
      <w:r>
        <w:rPr>
          <w:rFonts w:ascii="楷体_GB2312" w:hAnsi="仿宋" w:eastAsia="楷体_GB2312"/>
          <w:sz w:val="24"/>
        </w:rPr>
        <w:t>第</w:t>
      </w:r>
      <w:r>
        <w:rPr>
          <w:rFonts w:hint="eastAsia" w:ascii="楷体_GB2312" w:hAnsi="仿宋" w:eastAsia="楷体_GB2312"/>
          <w:sz w:val="24"/>
        </w:rPr>
        <w:t>（一）</w:t>
      </w:r>
      <w:r>
        <w:rPr>
          <w:rFonts w:ascii="楷体_GB2312" w:hAnsi="仿宋" w:eastAsia="楷体_GB2312"/>
          <w:sz w:val="24"/>
        </w:rPr>
        <w:t>款</w:t>
      </w:r>
      <w:r>
        <w:rPr>
          <w:rFonts w:hint="eastAsia" w:ascii="楷体_GB2312" w:hAnsi="仿宋" w:eastAsia="楷体_GB2312"/>
          <w:sz w:val="24"/>
        </w:rPr>
        <w:t xml:space="preserve"> “配建</w:t>
      </w:r>
      <w:r>
        <w:rPr>
          <w:rFonts w:ascii="楷体_GB2312" w:hAnsi="仿宋" w:eastAsia="楷体_GB2312"/>
          <w:sz w:val="24"/>
        </w:rPr>
        <w:t>物业所在建筑应达到甲级写字楼标准，且不低于乙丙方销售或持有的同</w:t>
      </w:r>
      <w:r>
        <w:rPr>
          <w:rFonts w:hint="eastAsia" w:ascii="楷体_GB2312" w:hAnsi="仿宋" w:eastAsia="楷体_GB2312"/>
          <w:sz w:val="24"/>
        </w:rPr>
        <w:t>区域</w:t>
      </w:r>
      <w:r>
        <w:rPr>
          <w:rFonts w:ascii="楷体_GB2312" w:hAnsi="仿宋" w:eastAsia="楷体_GB2312"/>
          <w:sz w:val="24"/>
        </w:rPr>
        <w:t>、同类型、同档次物业交楼标准</w:t>
      </w:r>
      <w:r>
        <w:rPr>
          <w:rFonts w:hint="eastAsia" w:ascii="楷体_GB2312" w:hAnsi="仿宋" w:eastAsia="楷体_GB2312"/>
          <w:sz w:val="24"/>
        </w:rPr>
        <w:t>”，增加了</w:t>
      </w:r>
      <w:r>
        <w:rPr>
          <w:rFonts w:ascii="楷体_GB2312" w:hAnsi="仿宋" w:eastAsia="楷体_GB2312"/>
          <w:sz w:val="24"/>
        </w:rPr>
        <w:t>本条第三款，</w:t>
      </w:r>
      <w:r>
        <w:rPr>
          <w:rFonts w:hint="eastAsia" w:ascii="楷体_GB2312" w:hAnsi="仿宋" w:eastAsia="楷体_GB2312"/>
          <w:sz w:val="24"/>
        </w:rPr>
        <w:t>合理划分</w:t>
      </w:r>
      <w:r>
        <w:rPr>
          <w:rFonts w:ascii="楷体_GB2312" w:hAnsi="仿宋" w:eastAsia="楷体_GB2312"/>
          <w:sz w:val="24"/>
        </w:rPr>
        <w:t>了配建物业或地下步行公共空间费用边界。</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第三十九条 </w:t>
      </w:r>
      <w:r>
        <w:rPr>
          <w:rFonts w:hint="eastAsia" w:ascii="仿宋" w:hAnsi="仿宋" w:eastAsia="仿宋"/>
          <w:sz w:val="32"/>
          <w:szCs w:val="32"/>
        </w:rPr>
        <w:t>区域集中供冷的价格应当保持相对稳定。</w:t>
      </w:r>
    </w:p>
    <w:p>
      <w:pPr>
        <w:spacing w:after="200" w:line="360" w:lineRule="auto"/>
        <w:ind w:firstLine="640" w:firstLineChars="200"/>
        <w:rPr>
          <w:rFonts w:ascii="仿宋" w:hAnsi="仿宋" w:eastAsia="仿宋"/>
          <w:sz w:val="32"/>
          <w:szCs w:val="32"/>
        </w:rPr>
      </w:pPr>
      <w:r>
        <w:rPr>
          <w:rFonts w:hint="eastAsia" w:ascii="仿宋" w:hAnsi="仿宋" w:eastAsia="仿宋"/>
          <w:sz w:val="32"/>
          <w:szCs w:val="32"/>
        </w:rPr>
        <w:t>当水、电力、蒸汽等能源价格以及人力成本等其他经营成本发生显著变化时，</w:t>
      </w:r>
      <w:bookmarkStart w:id="14" w:name="QuickMark"/>
      <w:r>
        <w:rPr>
          <w:rFonts w:hint="eastAsia" w:ascii="仿宋" w:hAnsi="仿宋" w:eastAsia="仿宋"/>
          <w:sz w:val="32"/>
          <w:szCs w:val="32"/>
        </w:rPr>
        <w:t>用户、供冷单位按市场化原则，协商启动价格双向调整机制。</w:t>
      </w:r>
      <w:bookmarkEnd w:id="14"/>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第四十条 </w:t>
      </w:r>
      <w:r>
        <w:rPr>
          <w:rFonts w:hint="eastAsia" w:ascii="仿宋" w:hAnsi="仿宋" w:eastAsia="仿宋"/>
          <w:sz w:val="32"/>
          <w:szCs w:val="32"/>
        </w:rPr>
        <w:t>缴纳用冷费用是用户的义务。供冷单位应当建立规范服务制度，直接或者委托其他单位按照公布的收费模式向用户收取用冷费，并接受主管部门的监督。</w:t>
      </w:r>
    </w:p>
    <w:p>
      <w:pPr>
        <w:spacing w:after="200" w:line="360" w:lineRule="auto"/>
        <w:jc w:val="center"/>
        <w:rPr>
          <w:rFonts w:ascii="仿宋" w:hAnsi="仿宋" w:eastAsia="仿宋"/>
          <w:b/>
          <w:sz w:val="32"/>
          <w:szCs w:val="32"/>
        </w:rPr>
      </w:pPr>
      <w:bookmarkStart w:id="15" w:name="_Toc398654232"/>
      <w:bookmarkStart w:id="16" w:name="_Toc400647793"/>
      <w:bookmarkStart w:id="17" w:name="_Toc400699813"/>
      <w:bookmarkStart w:id="18" w:name="_Toc402857423"/>
      <w:r>
        <w:rPr>
          <w:rFonts w:hint="eastAsia" w:ascii="仿宋" w:hAnsi="仿宋" w:eastAsia="仿宋"/>
          <w:b/>
          <w:sz w:val="32"/>
          <w:szCs w:val="32"/>
        </w:rPr>
        <w:t>第六章 节能及供冷设施管理</w:t>
      </w:r>
      <w:bookmarkEnd w:id="15"/>
      <w:bookmarkEnd w:id="16"/>
      <w:bookmarkEnd w:id="17"/>
      <w:bookmarkEnd w:id="18"/>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第四十一条 </w:t>
      </w:r>
      <w:r>
        <w:rPr>
          <w:rFonts w:hint="eastAsia" w:ascii="仿宋" w:hAnsi="仿宋" w:eastAsia="仿宋"/>
          <w:sz w:val="32"/>
          <w:szCs w:val="32"/>
        </w:rPr>
        <w:t>供冷单位应当积极实施系统节能改造，降低污染物排放和能源消耗。</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第四十二条 </w:t>
      </w:r>
      <w:r>
        <w:rPr>
          <w:rFonts w:hint="eastAsia" w:ascii="仿宋" w:hAnsi="仿宋" w:eastAsia="仿宋"/>
          <w:sz w:val="32"/>
          <w:szCs w:val="32"/>
        </w:rPr>
        <w:t>供冷单位对其用于生产、运营管理的供冷设施，应当按照相关法律、法规、规章、标准和技术规范定期进行检查、维修，持续进行更新改造，保证使用期内设备完好。</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第四十三条 </w:t>
      </w:r>
      <w:r>
        <w:rPr>
          <w:rFonts w:hint="eastAsia" w:ascii="仿宋" w:hAnsi="仿宋" w:eastAsia="仿宋"/>
          <w:sz w:val="32"/>
          <w:szCs w:val="32"/>
        </w:rPr>
        <w:t>供冷单位应当在除用冷建筑用地红线以内的供冷设施安装位置设置安全警示标识。在供冷设施安全警示标识区域进行施工的，施工单位应当与供冷单位商定保护措施，在保护方案获得主管部门同意后方可组织实施。在施工中造成供冷设施损坏的，施工单位应当及时通知供冷单位修复，并承担修复费用，赔偿相应损失。</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第四十四条 </w:t>
      </w:r>
      <w:r>
        <w:rPr>
          <w:rFonts w:hint="eastAsia" w:ascii="仿宋" w:hAnsi="仿宋" w:eastAsia="仿宋"/>
          <w:sz w:val="32"/>
          <w:szCs w:val="32"/>
        </w:rPr>
        <w:t>在供冷设施安全警示标识区域，任何单位和个人不得从事下列危害供冷设施安全的活动：</w:t>
      </w:r>
    </w:p>
    <w:p>
      <w:pPr>
        <w:pStyle w:val="13"/>
        <w:numPr>
          <w:ilvl w:val="0"/>
          <w:numId w:val="4"/>
        </w:numPr>
        <w:spacing w:after="200" w:line="360" w:lineRule="auto"/>
        <w:rPr>
          <w:rFonts w:ascii="仿宋" w:hAnsi="仿宋" w:eastAsia="仿宋"/>
          <w:sz w:val="32"/>
          <w:szCs w:val="32"/>
          <w:lang w:val="en-US" w:eastAsia="zh-CN"/>
        </w:rPr>
      </w:pPr>
      <w:r>
        <w:rPr>
          <w:rFonts w:hint="eastAsia" w:ascii="仿宋" w:hAnsi="仿宋" w:eastAsia="仿宋"/>
          <w:sz w:val="32"/>
          <w:szCs w:val="32"/>
          <w:lang w:val="en-US" w:eastAsia="zh-CN"/>
        </w:rPr>
        <w:t>建设建筑物、构筑物或者堆放物料；</w:t>
      </w:r>
    </w:p>
    <w:p>
      <w:pPr>
        <w:pStyle w:val="13"/>
        <w:numPr>
          <w:ilvl w:val="0"/>
          <w:numId w:val="4"/>
        </w:numPr>
        <w:spacing w:after="200" w:line="360" w:lineRule="auto"/>
        <w:rPr>
          <w:rFonts w:ascii="仿宋" w:hAnsi="仿宋" w:eastAsia="仿宋"/>
          <w:sz w:val="32"/>
          <w:szCs w:val="32"/>
          <w:lang w:val="en-US" w:eastAsia="zh-CN"/>
        </w:rPr>
      </w:pPr>
      <w:r>
        <w:rPr>
          <w:rFonts w:hint="eastAsia" w:ascii="仿宋" w:hAnsi="仿宋" w:eastAsia="仿宋"/>
          <w:sz w:val="32"/>
          <w:szCs w:val="32"/>
          <w:lang w:val="en-US" w:eastAsia="zh-CN"/>
        </w:rPr>
        <w:t>利用供冷管道和支架敷设管线、悬挂物体；</w:t>
      </w:r>
    </w:p>
    <w:p>
      <w:pPr>
        <w:pStyle w:val="13"/>
        <w:numPr>
          <w:ilvl w:val="0"/>
          <w:numId w:val="4"/>
        </w:numPr>
        <w:spacing w:after="200" w:line="360" w:lineRule="auto"/>
        <w:rPr>
          <w:rFonts w:ascii="仿宋" w:hAnsi="仿宋" w:eastAsia="仿宋"/>
          <w:sz w:val="32"/>
          <w:szCs w:val="32"/>
          <w:lang w:val="en-US"/>
        </w:rPr>
      </w:pPr>
      <w:r>
        <w:rPr>
          <w:rFonts w:hint="eastAsia" w:ascii="仿宋" w:hAnsi="仿宋" w:eastAsia="仿宋"/>
          <w:sz w:val="32"/>
          <w:szCs w:val="32"/>
          <w:lang w:val="en-US" w:eastAsia="zh-CN"/>
        </w:rPr>
        <w:t>排放腐蚀性液体；</w:t>
      </w:r>
    </w:p>
    <w:p>
      <w:pPr>
        <w:pStyle w:val="13"/>
        <w:numPr>
          <w:ilvl w:val="0"/>
          <w:numId w:val="4"/>
        </w:numPr>
        <w:spacing w:after="200" w:line="360" w:lineRule="auto"/>
        <w:rPr>
          <w:rFonts w:ascii="仿宋" w:hAnsi="仿宋" w:eastAsia="仿宋"/>
          <w:sz w:val="32"/>
          <w:szCs w:val="32"/>
          <w:lang w:val="en-US"/>
        </w:rPr>
      </w:pPr>
      <w:r>
        <w:rPr>
          <w:rFonts w:hint="eastAsia" w:ascii="仿宋" w:hAnsi="仿宋" w:eastAsia="仿宋"/>
          <w:sz w:val="32"/>
          <w:szCs w:val="32"/>
          <w:lang w:val="en-US" w:eastAsia="zh-CN"/>
        </w:rPr>
        <w:t>爆破作业；</w:t>
      </w:r>
    </w:p>
    <w:p>
      <w:pPr>
        <w:pStyle w:val="13"/>
        <w:numPr>
          <w:ilvl w:val="0"/>
          <w:numId w:val="4"/>
        </w:numPr>
        <w:spacing w:after="200" w:line="360" w:lineRule="auto"/>
        <w:rPr>
          <w:rFonts w:ascii="仿宋" w:hAnsi="仿宋" w:eastAsia="仿宋"/>
          <w:sz w:val="32"/>
          <w:szCs w:val="32"/>
          <w:lang w:val="en-US" w:eastAsia="zh-CN"/>
        </w:rPr>
      </w:pPr>
      <w:r>
        <w:rPr>
          <w:rFonts w:hint="eastAsia" w:ascii="仿宋" w:hAnsi="仿宋" w:eastAsia="仿宋"/>
          <w:sz w:val="32"/>
          <w:szCs w:val="32"/>
          <w:lang w:val="en-US" w:eastAsia="zh-CN"/>
        </w:rPr>
        <w:t>其他损毁、损坏供冷管道及其附属设施的活动。</w:t>
      </w:r>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第四十五条 </w:t>
      </w:r>
      <w:r>
        <w:rPr>
          <w:rFonts w:hint="eastAsia" w:ascii="仿宋" w:hAnsi="仿宋" w:eastAsia="仿宋"/>
          <w:sz w:val="32"/>
          <w:szCs w:val="32"/>
        </w:rPr>
        <w:t>因工程建设确需改建、拆除、迁移供冷设施的，开发建设单位应当向供冷单位提出申请，就改建、拆除、迁建方案和赔付方案达成一致意见，并报主管部门批准后方可实施。</w:t>
      </w:r>
    </w:p>
    <w:p>
      <w:pPr>
        <w:spacing w:after="200" w:line="360" w:lineRule="auto"/>
        <w:jc w:val="center"/>
        <w:rPr>
          <w:rFonts w:ascii="仿宋" w:hAnsi="仿宋" w:eastAsia="仿宋"/>
          <w:b/>
          <w:sz w:val="32"/>
          <w:szCs w:val="32"/>
        </w:rPr>
      </w:pPr>
      <w:bookmarkStart w:id="19" w:name="_Toc400699816"/>
      <w:bookmarkStart w:id="20" w:name="_Toc402857426"/>
      <w:bookmarkStart w:id="21" w:name="_Toc398654235"/>
      <w:bookmarkStart w:id="22" w:name="_Toc400647796"/>
      <w:r>
        <w:rPr>
          <w:rFonts w:hint="eastAsia" w:ascii="仿宋" w:hAnsi="仿宋" w:eastAsia="仿宋"/>
          <w:b/>
          <w:sz w:val="32"/>
          <w:szCs w:val="32"/>
        </w:rPr>
        <w:t>第七章附则</w:t>
      </w:r>
      <w:bookmarkEnd w:id="19"/>
      <w:bookmarkEnd w:id="20"/>
      <w:bookmarkEnd w:id="21"/>
      <w:bookmarkEnd w:id="22"/>
    </w:p>
    <w:p>
      <w:pPr>
        <w:spacing w:after="200" w:line="360" w:lineRule="auto"/>
        <w:ind w:firstLine="643" w:firstLineChars="200"/>
        <w:rPr>
          <w:rFonts w:ascii="仿宋" w:hAnsi="仿宋" w:eastAsia="仿宋"/>
          <w:sz w:val="32"/>
          <w:szCs w:val="32"/>
        </w:rPr>
      </w:pPr>
      <w:r>
        <w:rPr>
          <w:rFonts w:hint="eastAsia" w:ascii="仿宋" w:hAnsi="仿宋" w:eastAsia="仿宋"/>
          <w:b/>
          <w:sz w:val="32"/>
          <w:szCs w:val="32"/>
        </w:rPr>
        <w:t xml:space="preserve">第四十六条 </w:t>
      </w:r>
      <w:r>
        <w:rPr>
          <w:rFonts w:hint="eastAsia" w:ascii="仿宋" w:hAnsi="仿宋" w:eastAsia="仿宋"/>
          <w:sz w:val="32"/>
          <w:szCs w:val="32"/>
        </w:rPr>
        <w:t>【实施日期】本管理办法自发布之日起施行，自实施之日起有效期五年。</w:t>
      </w:r>
    </w:p>
    <w:p>
      <w:pPr>
        <w:spacing w:line="360" w:lineRule="auto"/>
      </w:pPr>
    </w:p>
    <w:p>
      <w:pPr>
        <w:spacing w:line="360" w:lineRule="auto"/>
      </w:pPr>
    </w:p>
    <w:p>
      <w:pPr>
        <w:spacing w:line="360" w:lineRule="auto"/>
        <w:jc w:val="lef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01048"/>
    <w:multiLevelType w:val="multilevel"/>
    <w:tmpl w:val="40E01048"/>
    <w:lvl w:ilvl="0" w:tentative="0">
      <w:start w:val="1"/>
      <w:numFmt w:val="taiwaneseCountingThousand"/>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4976BCF"/>
    <w:multiLevelType w:val="multilevel"/>
    <w:tmpl w:val="54976BCF"/>
    <w:lvl w:ilvl="0" w:tentative="0">
      <w:start w:val="1"/>
      <w:numFmt w:val="taiwaneseCountingThousand"/>
      <w:lvlText w:val="（%1）"/>
      <w:lvlJc w:val="left"/>
      <w:pPr>
        <w:ind w:left="4956" w:hanging="420"/>
      </w:pPr>
      <w:rPr>
        <w:rFonts w:hint="eastAsia"/>
      </w:rPr>
    </w:lvl>
    <w:lvl w:ilvl="1" w:tentative="0">
      <w:start w:val="7"/>
      <w:numFmt w:val="japaneseCounting"/>
      <w:lvlText w:val="第%2条、"/>
      <w:lvlJc w:val="left"/>
      <w:pPr>
        <w:ind w:left="2140" w:hanging="108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BA54124"/>
    <w:multiLevelType w:val="multilevel"/>
    <w:tmpl w:val="7BA54124"/>
    <w:lvl w:ilvl="0" w:tentative="0">
      <w:start w:val="1"/>
      <w:numFmt w:val="taiwaneseCountingThousand"/>
      <w:lvlText w:val="（%1）"/>
      <w:lvlJc w:val="left"/>
      <w:pPr>
        <w:ind w:left="1060" w:hanging="420"/>
      </w:pPr>
      <w:rPr>
        <w:rFonts w:hint="eastAsia"/>
      </w:rPr>
    </w:lvl>
    <w:lvl w:ilvl="1" w:tentative="0">
      <w:start w:val="7"/>
      <w:numFmt w:val="japaneseCounting"/>
      <w:lvlText w:val="第%2条、"/>
      <w:lvlJc w:val="left"/>
      <w:pPr>
        <w:ind w:left="2140" w:hanging="108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D3E00AE"/>
    <w:multiLevelType w:val="multilevel"/>
    <w:tmpl w:val="7D3E00AE"/>
    <w:lvl w:ilvl="0" w:tentative="0">
      <w:start w:val="1"/>
      <w:numFmt w:val="taiwaneseCountingThousand"/>
      <w:lvlText w:val="（%1）"/>
      <w:lvlJc w:val="left"/>
      <w:pPr>
        <w:ind w:left="1060" w:hanging="420"/>
      </w:pPr>
      <w:rPr>
        <w:rFonts w:hint="eastAsia"/>
      </w:rPr>
    </w:lvl>
    <w:lvl w:ilvl="1" w:tentative="0">
      <w:start w:val="7"/>
      <w:numFmt w:val="japaneseCounting"/>
      <w:lvlText w:val="第%2条、"/>
      <w:lvlJc w:val="left"/>
      <w:pPr>
        <w:ind w:left="2140" w:hanging="108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582"/>
    <w:rsid w:val="00027819"/>
    <w:rsid w:val="000404F1"/>
    <w:rsid w:val="00052B3F"/>
    <w:rsid w:val="00052FBD"/>
    <w:rsid w:val="000600C7"/>
    <w:rsid w:val="000733E7"/>
    <w:rsid w:val="00097357"/>
    <w:rsid w:val="000A6A09"/>
    <w:rsid w:val="000D6E78"/>
    <w:rsid w:val="000F52D8"/>
    <w:rsid w:val="00116B57"/>
    <w:rsid w:val="00131831"/>
    <w:rsid w:val="00156582"/>
    <w:rsid w:val="001627C2"/>
    <w:rsid w:val="00195C8D"/>
    <w:rsid w:val="001A7052"/>
    <w:rsid w:val="001B47F1"/>
    <w:rsid w:val="001C08A2"/>
    <w:rsid w:val="001D0D2E"/>
    <w:rsid w:val="001D68E4"/>
    <w:rsid w:val="00202A24"/>
    <w:rsid w:val="002122B4"/>
    <w:rsid w:val="00212BAD"/>
    <w:rsid w:val="00213D7C"/>
    <w:rsid w:val="0024172E"/>
    <w:rsid w:val="002450DB"/>
    <w:rsid w:val="00250917"/>
    <w:rsid w:val="00262C4C"/>
    <w:rsid w:val="0027590F"/>
    <w:rsid w:val="002874A8"/>
    <w:rsid w:val="00293122"/>
    <w:rsid w:val="0029576B"/>
    <w:rsid w:val="002B023D"/>
    <w:rsid w:val="002B7885"/>
    <w:rsid w:val="002C4F05"/>
    <w:rsid w:val="002C5F38"/>
    <w:rsid w:val="002C7873"/>
    <w:rsid w:val="002D61BE"/>
    <w:rsid w:val="002D6356"/>
    <w:rsid w:val="002D64D9"/>
    <w:rsid w:val="002E4654"/>
    <w:rsid w:val="002E7051"/>
    <w:rsid w:val="002F75EB"/>
    <w:rsid w:val="00320CA4"/>
    <w:rsid w:val="00334950"/>
    <w:rsid w:val="003579A2"/>
    <w:rsid w:val="0036733A"/>
    <w:rsid w:val="00390F0E"/>
    <w:rsid w:val="00390F85"/>
    <w:rsid w:val="00394D9B"/>
    <w:rsid w:val="003B424E"/>
    <w:rsid w:val="003B7F0F"/>
    <w:rsid w:val="003C2C65"/>
    <w:rsid w:val="003C6B97"/>
    <w:rsid w:val="003F18B8"/>
    <w:rsid w:val="003F78AE"/>
    <w:rsid w:val="00401BC3"/>
    <w:rsid w:val="00407BC2"/>
    <w:rsid w:val="00420E86"/>
    <w:rsid w:val="004216A8"/>
    <w:rsid w:val="004375D6"/>
    <w:rsid w:val="00470343"/>
    <w:rsid w:val="004809E1"/>
    <w:rsid w:val="004A24E4"/>
    <w:rsid w:val="004A4C4D"/>
    <w:rsid w:val="004B14F7"/>
    <w:rsid w:val="004B556F"/>
    <w:rsid w:val="004B76F5"/>
    <w:rsid w:val="004C620A"/>
    <w:rsid w:val="004E12D7"/>
    <w:rsid w:val="004F18A6"/>
    <w:rsid w:val="00500A06"/>
    <w:rsid w:val="005146AE"/>
    <w:rsid w:val="00515CE6"/>
    <w:rsid w:val="00517A13"/>
    <w:rsid w:val="00523060"/>
    <w:rsid w:val="00524942"/>
    <w:rsid w:val="005424C4"/>
    <w:rsid w:val="00565455"/>
    <w:rsid w:val="005B0C84"/>
    <w:rsid w:val="005C4669"/>
    <w:rsid w:val="005D0BC0"/>
    <w:rsid w:val="005E778F"/>
    <w:rsid w:val="005F329E"/>
    <w:rsid w:val="006217CB"/>
    <w:rsid w:val="00630F52"/>
    <w:rsid w:val="006908E1"/>
    <w:rsid w:val="006B01E9"/>
    <w:rsid w:val="006B1A05"/>
    <w:rsid w:val="006B5468"/>
    <w:rsid w:val="006C2335"/>
    <w:rsid w:val="006E02EF"/>
    <w:rsid w:val="006E1B72"/>
    <w:rsid w:val="00711E85"/>
    <w:rsid w:val="007166BA"/>
    <w:rsid w:val="00716998"/>
    <w:rsid w:val="00755D64"/>
    <w:rsid w:val="0076126F"/>
    <w:rsid w:val="0076515A"/>
    <w:rsid w:val="00771DD4"/>
    <w:rsid w:val="00773404"/>
    <w:rsid w:val="0078303F"/>
    <w:rsid w:val="00796534"/>
    <w:rsid w:val="007A08BF"/>
    <w:rsid w:val="007A127E"/>
    <w:rsid w:val="007B4A40"/>
    <w:rsid w:val="007D545B"/>
    <w:rsid w:val="007E2C6B"/>
    <w:rsid w:val="007F41CE"/>
    <w:rsid w:val="008070EE"/>
    <w:rsid w:val="00807294"/>
    <w:rsid w:val="00825621"/>
    <w:rsid w:val="008353DF"/>
    <w:rsid w:val="00840DAB"/>
    <w:rsid w:val="0085186B"/>
    <w:rsid w:val="00870576"/>
    <w:rsid w:val="008773D9"/>
    <w:rsid w:val="0088088D"/>
    <w:rsid w:val="00884340"/>
    <w:rsid w:val="00896E10"/>
    <w:rsid w:val="008C1276"/>
    <w:rsid w:val="008F47F6"/>
    <w:rsid w:val="008F5647"/>
    <w:rsid w:val="00903724"/>
    <w:rsid w:val="00907862"/>
    <w:rsid w:val="009168FF"/>
    <w:rsid w:val="0091740B"/>
    <w:rsid w:val="00933BEA"/>
    <w:rsid w:val="00940C91"/>
    <w:rsid w:val="0094114F"/>
    <w:rsid w:val="0095735F"/>
    <w:rsid w:val="00975DFA"/>
    <w:rsid w:val="009930E6"/>
    <w:rsid w:val="009939F7"/>
    <w:rsid w:val="009A2429"/>
    <w:rsid w:val="009A3415"/>
    <w:rsid w:val="009B4E96"/>
    <w:rsid w:val="009B6747"/>
    <w:rsid w:val="009B67CD"/>
    <w:rsid w:val="009E18E9"/>
    <w:rsid w:val="009E53AE"/>
    <w:rsid w:val="00A10E4A"/>
    <w:rsid w:val="00A32481"/>
    <w:rsid w:val="00A46209"/>
    <w:rsid w:val="00A466E7"/>
    <w:rsid w:val="00A57215"/>
    <w:rsid w:val="00A90E39"/>
    <w:rsid w:val="00A917AF"/>
    <w:rsid w:val="00AC3329"/>
    <w:rsid w:val="00AC70A7"/>
    <w:rsid w:val="00AF532B"/>
    <w:rsid w:val="00B0561B"/>
    <w:rsid w:val="00B05C25"/>
    <w:rsid w:val="00B100D5"/>
    <w:rsid w:val="00B24F28"/>
    <w:rsid w:val="00B41B87"/>
    <w:rsid w:val="00B41CD3"/>
    <w:rsid w:val="00B6332E"/>
    <w:rsid w:val="00B822CA"/>
    <w:rsid w:val="00B83A5B"/>
    <w:rsid w:val="00B85912"/>
    <w:rsid w:val="00B912AB"/>
    <w:rsid w:val="00B9263B"/>
    <w:rsid w:val="00BA329E"/>
    <w:rsid w:val="00BA4FE8"/>
    <w:rsid w:val="00BA6592"/>
    <w:rsid w:val="00BA6A8B"/>
    <w:rsid w:val="00BB2AB7"/>
    <w:rsid w:val="00BC4209"/>
    <w:rsid w:val="00C1280A"/>
    <w:rsid w:val="00C1528B"/>
    <w:rsid w:val="00C22C7F"/>
    <w:rsid w:val="00C321CB"/>
    <w:rsid w:val="00C41A87"/>
    <w:rsid w:val="00C45E1B"/>
    <w:rsid w:val="00C47FF2"/>
    <w:rsid w:val="00C620FF"/>
    <w:rsid w:val="00C70697"/>
    <w:rsid w:val="00C8177E"/>
    <w:rsid w:val="00C8550F"/>
    <w:rsid w:val="00C9173A"/>
    <w:rsid w:val="00C91FA0"/>
    <w:rsid w:val="00C93120"/>
    <w:rsid w:val="00C96C8C"/>
    <w:rsid w:val="00C976D5"/>
    <w:rsid w:val="00CA236D"/>
    <w:rsid w:val="00CC19F2"/>
    <w:rsid w:val="00CD5CD5"/>
    <w:rsid w:val="00CE4331"/>
    <w:rsid w:val="00CE772E"/>
    <w:rsid w:val="00D258DF"/>
    <w:rsid w:val="00D27055"/>
    <w:rsid w:val="00D550CC"/>
    <w:rsid w:val="00D823B2"/>
    <w:rsid w:val="00DA0BA3"/>
    <w:rsid w:val="00DF3A1C"/>
    <w:rsid w:val="00E118E6"/>
    <w:rsid w:val="00E168FF"/>
    <w:rsid w:val="00E23E1F"/>
    <w:rsid w:val="00E36E1A"/>
    <w:rsid w:val="00E60400"/>
    <w:rsid w:val="00E758B1"/>
    <w:rsid w:val="00E804CA"/>
    <w:rsid w:val="00E80EA9"/>
    <w:rsid w:val="00E82024"/>
    <w:rsid w:val="00E921EF"/>
    <w:rsid w:val="00E9224B"/>
    <w:rsid w:val="00E95A7A"/>
    <w:rsid w:val="00EA48C7"/>
    <w:rsid w:val="00EA4B66"/>
    <w:rsid w:val="00EB0FBC"/>
    <w:rsid w:val="00EC0749"/>
    <w:rsid w:val="00EC11EF"/>
    <w:rsid w:val="00EE0402"/>
    <w:rsid w:val="00EE58D6"/>
    <w:rsid w:val="00EE77FC"/>
    <w:rsid w:val="00EF0738"/>
    <w:rsid w:val="00EF1103"/>
    <w:rsid w:val="00EF1127"/>
    <w:rsid w:val="00EF2701"/>
    <w:rsid w:val="00EF57A6"/>
    <w:rsid w:val="00F04D4E"/>
    <w:rsid w:val="00F16CDD"/>
    <w:rsid w:val="00F44501"/>
    <w:rsid w:val="00F4474D"/>
    <w:rsid w:val="00F452DE"/>
    <w:rsid w:val="00F45D9D"/>
    <w:rsid w:val="00F54ABD"/>
    <w:rsid w:val="00F578A4"/>
    <w:rsid w:val="00F6175B"/>
    <w:rsid w:val="00F6262C"/>
    <w:rsid w:val="00F640DC"/>
    <w:rsid w:val="00F67028"/>
    <w:rsid w:val="00F73155"/>
    <w:rsid w:val="00F83563"/>
    <w:rsid w:val="00F90865"/>
    <w:rsid w:val="00FB1C44"/>
    <w:rsid w:val="00FC5948"/>
    <w:rsid w:val="00FD16D6"/>
    <w:rsid w:val="461F00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uiPriority w:val="99"/>
    <w:pPr>
      <w:jc w:val="left"/>
    </w:pPr>
  </w:style>
  <w:style w:type="paragraph" w:styleId="3">
    <w:name w:val="Date"/>
    <w:basedOn w:val="1"/>
    <w:next w:val="1"/>
    <w:link w:val="11"/>
    <w:semiHidden/>
    <w:unhideWhenUsed/>
    <w:uiPriority w:val="99"/>
    <w:pPr>
      <w:ind w:left="100" w:leftChars="2500"/>
    </w:pPr>
  </w:style>
  <w:style w:type="paragraph" w:styleId="4">
    <w:name w:val="Balloon Text"/>
    <w:basedOn w:val="1"/>
    <w:link w:val="17"/>
    <w:semiHidden/>
    <w:unhideWhenUsed/>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uiPriority w:val="99"/>
    <w:rPr>
      <w:b/>
      <w:bCs/>
    </w:rPr>
  </w:style>
  <w:style w:type="character" w:styleId="10">
    <w:name w:val="annotation reference"/>
    <w:basedOn w:val="9"/>
    <w:semiHidden/>
    <w:unhideWhenUsed/>
    <w:uiPriority w:val="99"/>
    <w:rPr>
      <w:sz w:val="21"/>
      <w:szCs w:val="21"/>
    </w:rPr>
  </w:style>
  <w:style w:type="character" w:customStyle="1" w:styleId="11">
    <w:name w:val="日期 Char"/>
    <w:basedOn w:val="9"/>
    <w:link w:val="3"/>
    <w:semiHidden/>
    <w:uiPriority w:val="99"/>
  </w:style>
  <w:style w:type="paragraph" w:customStyle="1" w:styleId="12">
    <w:name w:val="Report Level 1"/>
    <w:next w:val="1"/>
    <w:link w:val="14"/>
    <w:qFormat/>
    <w:uiPriority w:val="0"/>
    <w:pPr>
      <w:keepNext/>
      <w:pBdr>
        <w:bottom w:val="single" w:color="D22D7D" w:sz="8" w:space="1"/>
      </w:pBdr>
      <w:spacing w:before="340" w:after="227" w:line="360" w:lineRule="exact"/>
      <w:outlineLvl w:val="0"/>
    </w:pPr>
    <w:rPr>
      <w:rFonts w:ascii="Times New Roman" w:hAnsi="Times New Roman" w:eastAsia="Times New Roman" w:cs="Times New Roman"/>
      <w:b/>
      <w:color w:val="D22D7D"/>
      <w:kern w:val="0"/>
      <w:sz w:val="36"/>
      <w:szCs w:val="20"/>
      <w:lang w:val="en-GB" w:eastAsia="en-US" w:bidi="ar-SA"/>
    </w:rPr>
  </w:style>
  <w:style w:type="paragraph" w:customStyle="1" w:styleId="13">
    <w:name w:val="列出段落1"/>
    <w:basedOn w:val="1"/>
    <w:qFormat/>
    <w:uiPriority w:val="34"/>
    <w:pPr>
      <w:widowControl/>
      <w:spacing w:before="113" w:after="113" w:line="260" w:lineRule="exact"/>
      <w:jc w:val="left"/>
    </w:pPr>
    <w:rPr>
      <w:rFonts w:ascii="Times New Roman" w:hAnsi="Times New Roman" w:eastAsia="Times New Roman" w:cs="Times New Roman"/>
      <w:kern w:val="0"/>
      <w:sz w:val="24"/>
      <w:szCs w:val="20"/>
      <w:lang w:val="en-GB" w:eastAsia="en-US"/>
    </w:rPr>
  </w:style>
  <w:style w:type="character" w:customStyle="1" w:styleId="14">
    <w:name w:val="Report Level 1 Char1"/>
    <w:link w:val="12"/>
    <w:qFormat/>
    <w:locked/>
    <w:uiPriority w:val="0"/>
    <w:rPr>
      <w:rFonts w:ascii="Times New Roman" w:hAnsi="Times New Roman" w:eastAsia="Times New Roman" w:cs="Times New Roman"/>
      <w:b/>
      <w:color w:val="D22D7D"/>
      <w:kern w:val="0"/>
      <w:sz w:val="36"/>
      <w:szCs w:val="20"/>
      <w:lang w:val="en-GB" w:eastAsia="en-US"/>
    </w:rPr>
  </w:style>
  <w:style w:type="character" w:customStyle="1" w:styleId="15">
    <w:name w:val="页眉 Char"/>
    <w:basedOn w:val="9"/>
    <w:link w:val="6"/>
    <w:uiPriority w:val="99"/>
    <w:rPr>
      <w:sz w:val="18"/>
      <w:szCs w:val="18"/>
    </w:rPr>
  </w:style>
  <w:style w:type="character" w:customStyle="1" w:styleId="16">
    <w:name w:val="页脚 Char"/>
    <w:basedOn w:val="9"/>
    <w:link w:val="5"/>
    <w:uiPriority w:val="99"/>
    <w:rPr>
      <w:sz w:val="18"/>
      <w:szCs w:val="18"/>
    </w:rPr>
  </w:style>
  <w:style w:type="character" w:customStyle="1" w:styleId="17">
    <w:name w:val="批注框文本 Char"/>
    <w:basedOn w:val="9"/>
    <w:link w:val="4"/>
    <w:semiHidden/>
    <w:uiPriority w:val="99"/>
    <w:rPr>
      <w:sz w:val="18"/>
      <w:szCs w:val="18"/>
    </w:rPr>
  </w:style>
  <w:style w:type="character" w:customStyle="1" w:styleId="18">
    <w:name w:val="批注文字 Char"/>
    <w:basedOn w:val="9"/>
    <w:link w:val="2"/>
    <w:semiHidden/>
    <w:uiPriority w:val="99"/>
  </w:style>
  <w:style w:type="character" w:customStyle="1" w:styleId="19">
    <w:name w:val="批注主题 Char"/>
    <w:basedOn w:val="18"/>
    <w:link w:val="7"/>
    <w:semiHidden/>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853</Words>
  <Characters>4864</Characters>
  <Lines>40</Lines>
  <Paragraphs>11</Paragraphs>
  <TotalTime>527</TotalTime>
  <ScaleCrop>false</ScaleCrop>
  <LinksUpToDate>false</LinksUpToDate>
  <CharactersWithSpaces>5706</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2020-07-07T09:15:00Z</dcterms:created>
  <dc:creator>田常均</dc:creator>
  <cp:lastModifiedBy>好饭友</cp:lastModifiedBy>
  <cp:lastPrinted>2018-05-14T10:20:00Z</cp:lastPrinted>
  <dcterms:modified xsi:type="dcterms:W3CDTF">2020-08-03T03:35:57Z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