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黑体" w:hAnsi="黑体" w:eastAsia="黑体"/>
          <w:sz w:val="32"/>
          <w:szCs w:val="32"/>
        </w:rPr>
        <w:t>附件：</w:t>
      </w:r>
    </w:p>
    <w:p>
      <w:pPr>
        <w:adjustRightInd/>
        <w:snapToGrid/>
        <w:spacing w:line="58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《深圳市安全教育基地评定指引（征求意见稿）》征求意见及采纳情况说明</w:t>
      </w:r>
    </w:p>
    <w:p>
      <w:pPr>
        <w:spacing w:line="700" w:lineRule="exact"/>
        <w:jc w:val="center"/>
        <w:rPr>
          <w:rFonts w:ascii="方正小标宋简体" w:hAnsi="黑体" w:eastAsia="方正小标宋简体"/>
          <w:sz w:val="44"/>
          <w:szCs w:val="44"/>
        </w:rPr>
      </w:pPr>
    </w:p>
    <w:tbl>
      <w:tblPr>
        <w:tblStyle w:val="6"/>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820"/>
        <w:gridCol w:w="850"/>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blHeader/>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7"/>
              <w:spacing w:before="0" w:after="0" w:line="400" w:lineRule="exact"/>
              <w:ind w:left="-42" w:leftChars="-20" w:right="-42" w:rightChars="-20"/>
              <w:jc w:val="center"/>
              <w:rPr>
                <w:rFonts w:ascii="仿宋_GB2312" w:hAnsi="Times New Roman" w:eastAsia="仿宋_GB2312"/>
                <w:b/>
                <w:bCs/>
                <w:kern w:val="2"/>
                <w:sz w:val="28"/>
                <w:szCs w:val="28"/>
              </w:rPr>
            </w:pPr>
            <w:r>
              <w:rPr>
                <w:rFonts w:hint="eastAsia" w:ascii="仿宋_GB2312" w:hAnsi="Times New Roman" w:eastAsia="仿宋_GB2312"/>
                <w:b/>
                <w:bCs/>
                <w:kern w:val="2"/>
                <w:sz w:val="28"/>
                <w:szCs w:val="28"/>
              </w:rPr>
              <w:t>序号</w:t>
            </w:r>
          </w:p>
        </w:tc>
        <w:tc>
          <w:tcPr>
            <w:tcW w:w="4820" w:type="dxa"/>
            <w:tcBorders>
              <w:top w:val="single" w:color="auto" w:sz="4" w:space="0"/>
              <w:left w:val="single" w:color="auto" w:sz="4" w:space="0"/>
              <w:bottom w:val="single" w:color="auto" w:sz="4" w:space="0"/>
              <w:right w:val="single" w:color="auto" w:sz="4" w:space="0"/>
            </w:tcBorders>
            <w:vAlign w:val="center"/>
          </w:tcPr>
          <w:p>
            <w:pPr>
              <w:pStyle w:val="7"/>
              <w:spacing w:before="0" w:after="0" w:line="400" w:lineRule="exact"/>
              <w:ind w:left="-42" w:leftChars="-20" w:right="-42" w:rightChars="-20"/>
              <w:jc w:val="center"/>
              <w:rPr>
                <w:rFonts w:ascii="仿宋_GB2312" w:hAnsi="Times New Roman" w:eastAsia="仿宋_GB2312"/>
                <w:b/>
                <w:bCs/>
                <w:kern w:val="2"/>
                <w:sz w:val="28"/>
                <w:szCs w:val="28"/>
              </w:rPr>
            </w:pPr>
            <w:r>
              <w:rPr>
                <w:rFonts w:hint="eastAsia" w:ascii="仿宋_GB2312" w:hAnsi="Times New Roman" w:eastAsia="仿宋_GB2312"/>
                <w:b/>
                <w:bCs/>
                <w:kern w:val="2"/>
                <w:sz w:val="28"/>
                <w:szCs w:val="28"/>
              </w:rPr>
              <w:t>反馈意见情况</w:t>
            </w:r>
          </w:p>
        </w:tc>
        <w:tc>
          <w:tcPr>
            <w:tcW w:w="850" w:type="dxa"/>
            <w:tcBorders>
              <w:top w:val="single" w:color="auto" w:sz="4" w:space="0"/>
              <w:left w:val="single" w:color="auto" w:sz="4" w:space="0"/>
              <w:bottom w:val="single" w:color="auto" w:sz="4" w:space="0"/>
              <w:right w:val="single" w:color="auto" w:sz="4" w:space="0"/>
            </w:tcBorders>
            <w:vAlign w:val="center"/>
          </w:tcPr>
          <w:p>
            <w:pPr>
              <w:pStyle w:val="7"/>
              <w:spacing w:before="0" w:after="0" w:line="400" w:lineRule="exact"/>
              <w:ind w:left="-42" w:leftChars="-20" w:right="-42" w:rightChars="-20"/>
              <w:jc w:val="center"/>
              <w:rPr>
                <w:rFonts w:ascii="仿宋_GB2312" w:hAnsi="Times New Roman" w:eastAsia="仿宋_GB2312"/>
                <w:b/>
                <w:bCs/>
                <w:kern w:val="2"/>
                <w:sz w:val="28"/>
                <w:szCs w:val="28"/>
              </w:rPr>
            </w:pPr>
            <w:r>
              <w:rPr>
                <w:rFonts w:hint="eastAsia" w:ascii="仿宋_GB2312" w:hAnsi="Times New Roman" w:eastAsia="仿宋_GB2312"/>
                <w:b/>
                <w:bCs/>
                <w:kern w:val="2"/>
                <w:sz w:val="28"/>
                <w:szCs w:val="28"/>
              </w:rPr>
              <w:t>采纳情况</w:t>
            </w:r>
          </w:p>
        </w:tc>
        <w:tc>
          <w:tcPr>
            <w:tcW w:w="3119" w:type="dxa"/>
            <w:tcBorders>
              <w:top w:val="single" w:color="auto" w:sz="4" w:space="0"/>
              <w:left w:val="single" w:color="auto" w:sz="4" w:space="0"/>
              <w:bottom w:val="single" w:color="auto" w:sz="4" w:space="0"/>
              <w:right w:val="single" w:color="auto" w:sz="4" w:space="0"/>
            </w:tcBorders>
            <w:vAlign w:val="center"/>
          </w:tcPr>
          <w:p>
            <w:pPr>
              <w:pStyle w:val="7"/>
              <w:spacing w:before="0" w:after="0" w:line="400" w:lineRule="exact"/>
              <w:ind w:left="-42" w:leftChars="-20" w:right="-42" w:rightChars="-20"/>
              <w:jc w:val="center"/>
              <w:rPr>
                <w:rFonts w:ascii="仿宋_GB2312" w:hAnsi="Times New Roman" w:eastAsia="仿宋_GB2312"/>
                <w:b/>
                <w:bCs/>
                <w:kern w:val="2"/>
                <w:sz w:val="28"/>
                <w:szCs w:val="28"/>
              </w:rPr>
            </w:pPr>
            <w:r>
              <w:rPr>
                <w:rFonts w:hint="eastAsia" w:ascii="仿宋_GB2312" w:hAnsi="Times New Roman" w:eastAsia="仿宋_GB2312"/>
                <w:b/>
                <w:bCs/>
                <w:kern w:val="2"/>
                <w:sz w:val="28"/>
                <w:szCs w:val="28"/>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1</w:t>
            </w:r>
          </w:p>
        </w:tc>
        <w:tc>
          <w:tcPr>
            <w:tcW w:w="4820" w:type="dxa"/>
            <w:tcBorders>
              <w:top w:val="single" w:color="auto" w:sz="4" w:space="0"/>
              <w:left w:val="single" w:color="auto" w:sz="4" w:space="0"/>
              <w:bottom w:val="single" w:color="auto" w:sz="4" w:space="0"/>
              <w:right w:val="single" w:color="auto" w:sz="4" w:space="0"/>
            </w:tcBorders>
          </w:tcPr>
          <w:p>
            <w:pPr>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eastAsia="zh-CN"/>
              </w:rPr>
              <w:t>评定分值细则第</w:t>
            </w:r>
            <w:r>
              <w:rPr>
                <w:rFonts w:hint="eastAsia" w:ascii="仿宋_GB2312" w:hAnsi="Times New Roman" w:eastAsia="仿宋_GB2312"/>
                <w:sz w:val="24"/>
                <w:szCs w:val="24"/>
                <w:lang w:val="en-US" w:eastAsia="zh-CN"/>
              </w:rPr>
              <w:t>8部分“配套管理”消防控制及火灾报警系统完备。建议修改为“消防控制及火灾报警系统完备，且维护保养记录完整”，维护保养记录完整才能证明消防设施有定期检修。</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t>采纳</w:t>
            </w:r>
          </w:p>
        </w:tc>
        <w:tc>
          <w:tcPr>
            <w:tcW w:w="311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t>消防设施维护保养记录完整，证明被考核基地（场馆）的日常消防设施检修规范，同时有助于进一步明确该项考核内容。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2</w:t>
            </w:r>
          </w:p>
        </w:tc>
        <w:tc>
          <w:tcPr>
            <w:tcW w:w="4820" w:type="dxa"/>
            <w:tcBorders>
              <w:top w:val="single" w:color="auto" w:sz="4" w:space="0"/>
              <w:left w:val="single" w:color="auto" w:sz="4" w:space="0"/>
              <w:bottom w:val="single" w:color="auto" w:sz="4" w:space="0"/>
              <w:right w:val="single" w:color="auto" w:sz="4" w:space="0"/>
            </w:tcBorders>
          </w:tcPr>
          <w:p>
            <w:pPr>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eastAsia="zh-CN"/>
              </w:rPr>
              <w:t>“（四）考核”中，深圳市应急管理局将邀请相关专家组成考核组，此处是否应进一步明确考核组人数。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t>采纳</w:t>
            </w:r>
          </w:p>
        </w:tc>
        <w:tc>
          <w:tcPr>
            <w:tcW w:w="311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t>有助于考核过程公开透明、考核结果的公正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3</w:t>
            </w:r>
          </w:p>
        </w:tc>
        <w:tc>
          <w:tcPr>
            <w:tcW w:w="4820" w:type="dxa"/>
            <w:tcBorders>
              <w:top w:val="single" w:color="auto" w:sz="4" w:space="0"/>
              <w:left w:val="single" w:color="auto" w:sz="4" w:space="0"/>
              <w:bottom w:val="single" w:color="auto" w:sz="4" w:space="0"/>
              <w:right w:val="single" w:color="auto" w:sz="4" w:space="0"/>
            </w:tcBorders>
          </w:tcPr>
          <w:p>
            <w:pPr>
              <w:rPr>
                <w:rFonts w:hint="default"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关于评定项目第4项“宣传推广”中“线下方式：通过多种渠道开展安全宣传教育，营造出浓厚的氛围，具有突出性、引领性...自购、租用宣传车开展流动宣传，得 3 分。”建议重新调整表述，此项不应硬性规定各辖区的宣传方式和形式，如限定“自购、租用宣传车开展流动宣传”等形式。</w:t>
            </w:r>
          </w:p>
          <w:p>
            <w:pPr>
              <w:rPr>
                <w:rFonts w:ascii="仿宋_GB2312" w:hAnsi="Times New Roman"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t>不采纳</w:t>
            </w:r>
          </w:p>
        </w:tc>
        <w:tc>
          <w:tcPr>
            <w:tcW w:w="311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1-4所列线下宣传方式已基本涵盖安全教育基地（场馆）现行宣传方式范围，明确具体宣传方式利于考核专家明确具体得分依据。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ascii="仿宋_GB2312" w:eastAsia="仿宋_GB2312"/>
                <w:sz w:val="24"/>
                <w:szCs w:val="24"/>
              </w:rPr>
              <w:t>4</w:t>
            </w:r>
          </w:p>
        </w:tc>
        <w:tc>
          <w:tcPr>
            <w:tcW w:w="4820" w:type="dxa"/>
            <w:tcBorders>
              <w:top w:val="single" w:color="auto" w:sz="4" w:space="0"/>
              <w:left w:val="single" w:color="auto" w:sz="4" w:space="0"/>
              <w:bottom w:val="single" w:color="auto" w:sz="4" w:space="0"/>
              <w:right w:val="single" w:color="auto" w:sz="4" w:space="0"/>
            </w:tcBorders>
          </w:tcPr>
          <w:p>
            <w:pPr>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eastAsia="zh-CN"/>
              </w:rPr>
              <w:t>关于《深圳市安全教育基地等级评定分值表》评定项目第</w:t>
            </w:r>
            <w:r>
              <w:rPr>
                <w:rFonts w:hint="eastAsia" w:ascii="仿宋_GB2312" w:hAnsi="Times New Roman" w:eastAsia="仿宋_GB2312"/>
                <w:sz w:val="24"/>
                <w:szCs w:val="24"/>
                <w:lang w:val="en-US" w:eastAsia="zh-CN"/>
              </w:rPr>
              <w:t>3项“运营团队”中“需配有面向中小学生、普通市民、各行业从业人员等不同群体的专业讲解团队...以上总人数包括专兼职人数。”建议修改评分标准，“团队人数”的分值应按场馆建筑面积和人员比例设置，如每50平方米应配备多少人，“资质”的分值应根据运营团队有资质的人员数量占总团队人员数量的百分比来算分。</w:t>
            </w:r>
          </w:p>
          <w:p>
            <w:pPr>
              <w:rPr>
                <w:rFonts w:ascii="仿宋_GB2312" w:hAnsi="Times New Roman"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t>不采纳</w:t>
            </w:r>
          </w:p>
        </w:tc>
        <w:tc>
          <w:tcPr>
            <w:tcW w:w="311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一是部分街道安全教育基地（场馆）面积方面超过区级安全教育基地（场馆），如果以“50平方米应配备多少人”等固定数值作为考核标准不利于公平考核；</w:t>
            </w:r>
          </w:p>
          <w:p>
            <w:pPr>
              <w:rPr>
                <w:rFonts w:hint="eastAsia"/>
                <w:lang w:val="en-US" w:eastAsia="zh-CN"/>
              </w:rPr>
            </w:pPr>
            <w:r>
              <w:rPr>
                <w:rFonts w:hint="eastAsia" w:ascii="仿宋_GB2312" w:hAnsi="Times New Roman" w:eastAsia="仿宋_GB2312"/>
                <w:sz w:val="24"/>
                <w:szCs w:val="24"/>
                <w:lang w:val="en-US" w:eastAsia="zh-CN"/>
              </w:rPr>
              <w:t>二是考核运营团队资质方面，附件1中已对资质的考核对象及具体资质有详细说明。</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1E789B"/>
    <w:rsid w:val="031E789B"/>
    <w:rsid w:val="0A4465D3"/>
    <w:rsid w:val="1B406657"/>
    <w:rsid w:val="60BE3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正文内容"/>
    <w:qFormat/>
    <w:uiPriority w:val="0"/>
    <w:pPr>
      <w:overflowPunct w:val="0"/>
      <w:autoSpaceDE w:val="0"/>
      <w:autoSpaceDN w:val="0"/>
      <w:adjustRightInd w:val="0"/>
      <w:spacing w:before="60" w:after="60"/>
      <w:textAlignment w:val="baseline"/>
    </w:pPr>
    <w:rPr>
      <w:rFonts w:ascii="Calibri" w:hAnsi="Calibri" w:eastAsia="楷体_GB2312" w:cs="Times New Roman"/>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2020-07-21T09:42:00Z</dcterms:created>
  <dc:creator>好饭友</dc:creator>
  <cp:lastModifiedBy>汪祥</cp:lastModifiedBy>
  <dcterms:modified xsi:type="dcterms:W3CDTF">2020-08-05T07:56:09Z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