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adjustRightInd w:val="0"/>
        <w:snapToGrid w:val="0"/>
        <w:spacing w:before="0" w:after="0" w:line="579" w:lineRule="exact"/>
        <w:rPr>
          <w:rFonts w:hint="eastAsia" w:ascii="黑体" w:hAnsi="黑体" w:eastAsia="黑体"/>
          <w:b w:val="0"/>
          <w:spacing w:val="10"/>
          <w:kern w:val="0"/>
          <w:sz w:val="32"/>
          <w:szCs w:val="32"/>
        </w:rPr>
      </w:pPr>
      <w:r>
        <w:rPr>
          <w:rFonts w:hint="eastAsia" w:ascii="黑体" w:hAnsi="黑体" w:eastAsia="黑体"/>
          <w:b w:val="0"/>
          <w:spacing w:val="10"/>
          <w:kern w:val="0"/>
          <w:sz w:val="32"/>
          <w:szCs w:val="32"/>
        </w:rPr>
        <w:t>附件1</w:t>
      </w:r>
    </w:p>
    <w:p>
      <w:pPr>
        <w:pStyle w:val="2"/>
        <w:keepNext w:val="0"/>
        <w:keepLines w:val="0"/>
        <w:adjustRightInd w:val="0"/>
        <w:snapToGrid w:val="0"/>
        <w:spacing w:before="0" w:after="0" w:line="579" w:lineRule="exact"/>
        <w:jc w:val="center"/>
        <w:rPr>
          <w:rFonts w:hint="eastAsia" w:ascii="方正小标宋简体" w:hAnsi="黑体" w:eastAsia="方正小标宋简体"/>
          <w:b w:val="0"/>
          <w:spacing w:val="10"/>
          <w:kern w:val="0"/>
        </w:rPr>
      </w:pPr>
    </w:p>
    <w:p>
      <w:pPr>
        <w:pStyle w:val="2"/>
        <w:keepNext w:val="0"/>
        <w:keepLines w:val="0"/>
        <w:adjustRightInd w:val="0"/>
        <w:snapToGrid w:val="0"/>
        <w:spacing w:before="0" w:after="0" w:line="579" w:lineRule="exact"/>
        <w:jc w:val="center"/>
        <w:rPr>
          <w:rFonts w:hint="eastAsia" w:ascii="方正小标宋简体" w:hAnsi="黑体" w:eastAsia="方正小标宋简体"/>
          <w:b w:val="0"/>
          <w:spacing w:val="10"/>
          <w:kern w:val="0"/>
        </w:rPr>
      </w:pPr>
      <w:r>
        <w:rPr>
          <w:rFonts w:hint="eastAsia" w:ascii="方正小标宋简体" w:hAnsi="黑体" w:eastAsia="方正小标宋简体"/>
          <w:b w:val="0"/>
          <w:spacing w:val="10"/>
          <w:kern w:val="0"/>
        </w:rPr>
        <w:t>深圳市居民家庭经济状况核对办法</w:t>
      </w:r>
    </w:p>
    <w:p>
      <w:pPr>
        <w:adjustRightInd w:val="0"/>
        <w:snapToGrid w:val="0"/>
        <w:spacing w:line="579" w:lineRule="exact"/>
        <w:jc w:val="center"/>
        <w:rPr>
          <w:rFonts w:hint="eastAsia" w:ascii="方正小标宋简体" w:eastAsia="方正小标宋简体"/>
          <w:kern w:val="0"/>
          <w:sz w:val="44"/>
          <w:szCs w:val="44"/>
        </w:rPr>
      </w:pPr>
      <w:r>
        <w:rPr>
          <w:rFonts w:hint="eastAsia" w:ascii="方正小标宋简体" w:eastAsia="方正小标宋简体"/>
          <w:kern w:val="0"/>
          <w:sz w:val="44"/>
          <w:szCs w:val="44"/>
        </w:rPr>
        <w:t>(征求意见稿)</w:t>
      </w:r>
    </w:p>
    <w:p>
      <w:pPr>
        <w:pStyle w:val="2"/>
        <w:keepNext w:val="0"/>
        <w:keepLines w:val="0"/>
        <w:adjustRightInd w:val="0"/>
        <w:snapToGrid w:val="0"/>
        <w:spacing w:before="0" w:after="0" w:line="579" w:lineRule="exact"/>
        <w:jc w:val="center"/>
        <w:rPr>
          <w:rFonts w:ascii="黑体" w:hAnsi="黑体" w:eastAsia="黑体"/>
          <w:b w:val="0"/>
          <w:spacing w:val="10"/>
          <w:kern w:val="0"/>
          <w:sz w:val="32"/>
          <w:szCs w:val="32"/>
        </w:rPr>
      </w:pPr>
    </w:p>
    <w:p>
      <w:pPr>
        <w:pStyle w:val="2"/>
        <w:keepNext w:val="0"/>
        <w:keepLines w:val="0"/>
        <w:adjustRightInd w:val="0"/>
        <w:snapToGrid w:val="0"/>
        <w:spacing w:before="0" w:after="0" w:line="579" w:lineRule="exact"/>
        <w:jc w:val="center"/>
        <w:rPr>
          <w:rFonts w:ascii="黑体" w:hAnsi="黑体" w:eastAsia="黑体"/>
          <w:b w:val="0"/>
          <w:spacing w:val="10"/>
          <w:kern w:val="0"/>
          <w:sz w:val="32"/>
          <w:szCs w:val="32"/>
        </w:rPr>
      </w:pPr>
      <w:r>
        <w:rPr>
          <w:rFonts w:hint="eastAsia" w:ascii="黑体" w:hAnsi="黑体" w:eastAsia="黑体"/>
          <w:b w:val="0"/>
          <w:spacing w:val="10"/>
          <w:kern w:val="0"/>
          <w:sz w:val="32"/>
          <w:szCs w:val="32"/>
        </w:rPr>
        <w:t>第一章  总则</w:t>
      </w:r>
    </w:p>
    <w:p>
      <w:pPr>
        <w:adjustRightInd w:val="0"/>
        <w:snapToGrid w:val="0"/>
        <w:spacing w:line="579" w:lineRule="exact"/>
        <w:jc w:val="center"/>
      </w:pPr>
    </w:p>
    <w:p>
      <w:pPr>
        <w:pStyle w:val="3"/>
        <w:keepNext w:val="0"/>
        <w:keepLines w:val="0"/>
        <w:adjustRightInd w:val="0"/>
        <w:snapToGrid w:val="0"/>
        <w:spacing w:before="0" w:after="0" w:line="579" w:lineRule="exact"/>
        <w:ind w:firstLine="680" w:firstLineChars="200"/>
        <w:rPr>
          <w:spacing w:val="10"/>
          <w:kern w:val="0"/>
        </w:rPr>
      </w:pPr>
      <w:r>
        <w:rPr>
          <w:rStyle w:val="7"/>
          <w:rFonts w:hint="eastAsia"/>
          <w:bCs w:val="0"/>
          <w:spacing w:val="10"/>
          <w:kern w:val="0"/>
        </w:rPr>
        <w:t>第一条【目的】</w:t>
      </w:r>
      <w:bookmarkStart w:id="0" w:name="_Hlk8919592"/>
      <w:r>
        <w:rPr>
          <w:rFonts w:hint="eastAsia"/>
          <w:spacing w:val="10"/>
          <w:kern w:val="0"/>
        </w:rPr>
        <w:t>为了规范本市居民家庭经济状况核对工作，有效地实施社会救助、社会福利等制度，根据</w:t>
      </w:r>
      <w:r>
        <w:rPr>
          <w:rFonts w:hint="eastAsia" w:hAnsi="Times New Roman"/>
          <w:bCs w:val="0"/>
          <w:spacing w:val="10"/>
        </w:rPr>
        <w:t>《社会救助暂行办法》</w:t>
      </w:r>
      <w:bookmarkStart w:id="1" w:name="_Hlk9426970"/>
      <w:r>
        <w:rPr>
          <w:rFonts w:hint="eastAsia" w:hAnsi="Times New Roman"/>
          <w:bCs w:val="0"/>
          <w:spacing w:val="10"/>
        </w:rPr>
        <w:t>、《广东省社会救助条例》</w:t>
      </w:r>
      <w:bookmarkEnd w:id="1"/>
      <w:r>
        <w:rPr>
          <w:rFonts w:hint="eastAsia"/>
          <w:spacing w:val="10"/>
          <w:kern w:val="0"/>
        </w:rPr>
        <w:t>等规定，结合本市实际，制定本办法。</w:t>
      </w:r>
      <w:bookmarkEnd w:id="0"/>
    </w:p>
    <w:p>
      <w:pPr>
        <w:spacing w:line="579" w:lineRule="exact"/>
        <w:ind w:firstLine="680"/>
        <w:rPr>
          <w:rFonts w:hint="eastAsia" w:ascii="仿宋_GB2312" w:eastAsia="仿宋_GB2312"/>
          <w:sz w:val="32"/>
          <w:szCs w:val="32"/>
        </w:rPr>
      </w:pPr>
      <w:r>
        <w:rPr>
          <w:rStyle w:val="7"/>
          <w:rFonts w:hint="eastAsia"/>
          <w:kern w:val="0"/>
        </w:rPr>
        <w:t>第二条【适用范围】</w:t>
      </w:r>
      <w:r>
        <w:rPr>
          <w:rFonts w:hint="eastAsia" w:ascii="仿宋_GB2312" w:eastAsia="仿宋_GB2312"/>
          <w:kern w:val="0"/>
          <w:sz w:val="32"/>
          <w:szCs w:val="32"/>
        </w:rPr>
        <w:t>本办法适用于市政府相关部门在实施</w:t>
      </w:r>
      <w:bookmarkStart w:id="2" w:name="_Hlk11942797"/>
      <w:bookmarkStart w:id="3" w:name="_Hlk11938186"/>
      <w:r>
        <w:rPr>
          <w:rFonts w:hint="eastAsia" w:ascii="仿宋_GB2312" w:eastAsia="仿宋_GB2312"/>
          <w:kern w:val="0"/>
          <w:sz w:val="32"/>
          <w:szCs w:val="32"/>
        </w:rPr>
        <w:t>住房保障、最低生活保障、特困人员救助供养、临时救助</w:t>
      </w:r>
      <w:bookmarkEnd w:id="2"/>
      <w:r>
        <w:rPr>
          <w:rFonts w:hint="eastAsia" w:ascii="仿宋_GB2312" w:eastAsia="仿宋_GB2312"/>
          <w:kern w:val="0"/>
          <w:sz w:val="32"/>
          <w:szCs w:val="32"/>
        </w:rPr>
        <w:t>、医疗救助、教育救助、法律援助等</w:t>
      </w:r>
      <w:bookmarkEnd w:id="3"/>
      <w:r>
        <w:rPr>
          <w:rFonts w:hint="eastAsia" w:ascii="仿宋_GB2312" w:eastAsia="仿宋_GB2312"/>
          <w:kern w:val="0"/>
          <w:sz w:val="32"/>
          <w:szCs w:val="32"/>
        </w:rPr>
        <w:t>制度时，对提出申请的居民个人或者家庭，委托本市居民家庭经济状况核对机构对其经济状况开展调查、核实以及出具书面报告的活动。</w:t>
      </w:r>
    </w:p>
    <w:p>
      <w:pPr>
        <w:spacing w:line="579" w:lineRule="exact"/>
        <w:ind w:firstLine="640"/>
        <w:rPr>
          <w:rFonts w:hint="eastAsia" w:ascii="仿宋_GB2312" w:eastAsia="仿宋_GB2312"/>
          <w:sz w:val="32"/>
          <w:szCs w:val="32"/>
        </w:rPr>
      </w:pPr>
      <w:r>
        <w:rPr>
          <w:rFonts w:hint="eastAsia" w:ascii="仿宋_GB2312" w:eastAsia="仿宋_GB2312"/>
          <w:sz w:val="32"/>
          <w:szCs w:val="32"/>
        </w:rPr>
        <w:t>前款中接受本市居民经济状况核对机构对其经济状况开展调查核实的个人或者家庭，以下统称为核对对象。</w:t>
      </w:r>
    </w:p>
    <w:p>
      <w:pPr>
        <w:pStyle w:val="3"/>
        <w:keepNext w:val="0"/>
        <w:keepLines w:val="0"/>
        <w:adjustRightInd w:val="0"/>
        <w:snapToGrid w:val="0"/>
        <w:spacing w:before="0" w:after="0" w:line="579" w:lineRule="exact"/>
        <w:ind w:firstLine="680" w:firstLineChars="200"/>
        <w:rPr>
          <w:kern w:val="0"/>
        </w:rPr>
      </w:pPr>
      <w:r>
        <w:rPr>
          <w:rStyle w:val="7"/>
          <w:rFonts w:hint="eastAsia"/>
          <w:bCs w:val="0"/>
          <w:spacing w:val="10"/>
          <w:kern w:val="0"/>
        </w:rPr>
        <w:t>第三条</w:t>
      </w:r>
      <w:bookmarkStart w:id="4" w:name="_Hlk8919616"/>
      <w:r>
        <w:rPr>
          <w:rStyle w:val="7"/>
          <w:rFonts w:hint="eastAsia"/>
          <w:bCs w:val="0"/>
          <w:spacing w:val="10"/>
          <w:kern w:val="0"/>
        </w:rPr>
        <w:t>【原则】</w:t>
      </w:r>
      <w:r>
        <w:rPr>
          <w:rFonts w:hint="eastAsia"/>
          <w:kern w:val="0"/>
        </w:rPr>
        <w:t>核对工作应当坚持委托、授权，客观、公正，安全、保密的原则，保护核对对象的合法权益。</w:t>
      </w:r>
    </w:p>
    <w:bookmarkEnd w:id="4"/>
    <w:p>
      <w:pPr>
        <w:pStyle w:val="3"/>
        <w:keepNext w:val="0"/>
        <w:keepLines w:val="0"/>
        <w:adjustRightInd w:val="0"/>
        <w:snapToGrid w:val="0"/>
        <w:spacing w:before="0" w:after="0" w:line="579" w:lineRule="exact"/>
        <w:ind w:firstLine="680" w:firstLineChars="200"/>
        <w:rPr>
          <w:rFonts w:hint="eastAsia"/>
          <w:spacing w:val="10"/>
          <w:kern w:val="0"/>
        </w:rPr>
      </w:pPr>
      <w:r>
        <w:rPr>
          <w:rStyle w:val="7"/>
          <w:rFonts w:hint="eastAsia"/>
          <w:bCs w:val="0"/>
          <w:spacing w:val="10"/>
          <w:kern w:val="0"/>
        </w:rPr>
        <w:t>第四条【主管部门和核对机构职责】</w:t>
      </w:r>
      <w:r>
        <w:rPr>
          <w:rFonts w:hint="eastAsia"/>
          <w:spacing w:val="10"/>
          <w:kern w:val="0"/>
        </w:rPr>
        <w:t>市民政部门（以下统称市主管部门）主管本市居民家庭经济状况核对工作。</w:t>
      </w:r>
    </w:p>
    <w:p>
      <w:pPr>
        <w:spacing w:line="579" w:lineRule="exact"/>
        <w:ind w:firstLine="640" w:firstLineChars="200"/>
        <w:rPr>
          <w:rFonts w:hint="eastAsia" w:ascii="仿宋_GB2312" w:eastAsia="仿宋_GB2312" w:cs="仿宋_GB2312"/>
          <w:sz w:val="32"/>
          <w:szCs w:val="32"/>
        </w:rPr>
      </w:pPr>
      <w:r>
        <w:rPr>
          <w:rFonts w:hint="eastAsia" w:ascii="仿宋_GB2312" w:hAnsi="仿宋_GB2312" w:eastAsia="仿宋_GB2312" w:cs="仿宋_GB2312"/>
          <w:bCs/>
          <w:kern w:val="0"/>
          <w:sz w:val="32"/>
          <w:szCs w:val="32"/>
        </w:rPr>
        <w:t>市居民家庭经济状况核对机构（以下统称核对机构）负责</w:t>
      </w:r>
      <w:r>
        <w:rPr>
          <w:rFonts w:hint="eastAsia" w:ascii="仿宋_GB2312" w:eastAsia="仿宋_GB2312" w:cs="仿宋_GB2312"/>
          <w:sz w:val="32"/>
          <w:szCs w:val="32"/>
        </w:rPr>
        <w:t>按照相关政府部门委托，开展我市居民家庭经济状况核对工作；根据核对工作需要，统筹协调相关机构实现收入财产等数据共享；承担我市居民家庭经济状况核对信息平台的建设、管理和维护等工作。</w:t>
      </w:r>
    </w:p>
    <w:p>
      <w:pPr>
        <w:spacing w:line="579"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对涉及核对对象本市以外经济状况调查工作的，核对机构可以商请本市以外的相关单位，协助开展本市居民家庭经济状况核对工作。</w:t>
      </w:r>
    </w:p>
    <w:p>
      <w:pPr>
        <w:adjustRightInd w:val="0"/>
        <w:snapToGrid w:val="0"/>
        <w:spacing w:line="579" w:lineRule="exact"/>
        <w:ind w:firstLine="640" w:firstLineChars="200"/>
        <w:rPr>
          <w:rFonts w:hint="eastAsia" w:ascii="仿宋_GB2312" w:eastAsia="仿宋_GB2312"/>
          <w:sz w:val="32"/>
          <w:szCs w:val="32"/>
        </w:rPr>
      </w:pPr>
      <w:r>
        <w:rPr>
          <w:rStyle w:val="7"/>
          <w:rFonts w:hint="eastAsia"/>
          <w:kern w:val="0"/>
        </w:rPr>
        <w:t>第五条【核对机构人员经费】</w:t>
      </w:r>
      <w:r>
        <w:rPr>
          <w:rFonts w:hint="eastAsia" w:ascii="仿宋_GB2312" w:eastAsia="仿宋_GB2312"/>
          <w:sz w:val="32"/>
          <w:szCs w:val="32"/>
        </w:rPr>
        <w:t>核对机构将工作人员经费和核对工作经费纳入年度部门预算安排，确保各项工作正常进行。</w:t>
      </w:r>
    </w:p>
    <w:p>
      <w:pPr>
        <w:pStyle w:val="3"/>
        <w:keepNext w:val="0"/>
        <w:keepLines w:val="0"/>
        <w:adjustRightInd w:val="0"/>
        <w:snapToGrid w:val="0"/>
        <w:spacing w:before="0" w:after="0" w:line="579" w:lineRule="exact"/>
        <w:ind w:firstLine="680" w:firstLineChars="200"/>
        <w:rPr>
          <w:spacing w:val="10"/>
          <w:kern w:val="0"/>
        </w:rPr>
      </w:pPr>
      <w:r>
        <w:rPr>
          <w:rStyle w:val="7"/>
          <w:rFonts w:hint="eastAsia"/>
          <w:bCs w:val="0"/>
          <w:spacing w:val="10"/>
          <w:kern w:val="0"/>
        </w:rPr>
        <w:t>第六条【相关部门和单位职责】</w:t>
      </w:r>
      <w:r>
        <w:rPr>
          <w:rFonts w:hint="eastAsia"/>
          <w:spacing w:val="10"/>
          <w:kern w:val="0"/>
        </w:rPr>
        <w:t>市发展改革、教育、公安、司法、财政、人力资源保障、规划和自然资源、住房建设、交通、文体旅游、卫生健康、医疗保障、市场监管、住房公积金、税务等部门按照各自职能协同实施本市居民家庭经济状况核对工作。</w:t>
      </w:r>
    </w:p>
    <w:p>
      <w:pPr>
        <w:adjustRightInd w:val="0"/>
        <w:snapToGrid w:val="0"/>
        <w:spacing w:line="579" w:lineRule="exact"/>
        <w:ind w:firstLine="633" w:firstLineChars="198"/>
        <w:rPr>
          <w:rFonts w:hint="eastAsia" w:ascii="仿宋_GB2312" w:hAnsi="楷体" w:eastAsia="仿宋_GB2312" w:cs="宋体"/>
          <w:kern w:val="0"/>
          <w:sz w:val="32"/>
          <w:szCs w:val="32"/>
        </w:rPr>
      </w:pPr>
      <w:r>
        <w:rPr>
          <w:rFonts w:hint="eastAsia" w:ascii="仿宋_GB2312" w:hAnsi="楷体" w:eastAsia="仿宋_GB2312" w:cs="宋体"/>
          <w:kern w:val="0"/>
          <w:sz w:val="32"/>
          <w:szCs w:val="32"/>
        </w:rPr>
        <w:t>市地方金融监管局依据核对对象授权，负责协调人民银行深圳中心支行、中国证监会深圳监管局、中国银保监会深圳监管局等金融监管部门，协调本市银行、证券、保险等机构提供核对对象的存款、证券、保险等信息。</w:t>
      </w:r>
    </w:p>
    <w:p>
      <w:pPr>
        <w:adjustRightInd w:val="0"/>
        <w:snapToGrid w:val="0"/>
        <w:spacing w:line="579" w:lineRule="exact"/>
        <w:ind w:firstLine="633" w:firstLineChars="198"/>
        <w:rPr>
          <w:rFonts w:hint="eastAsia" w:ascii="仿宋_GB2312" w:eastAsia="仿宋_GB2312"/>
          <w:kern w:val="0"/>
          <w:sz w:val="32"/>
          <w:szCs w:val="32"/>
        </w:rPr>
      </w:pPr>
      <w:r>
        <w:rPr>
          <w:rFonts w:hint="eastAsia" w:ascii="仿宋_GB2312" w:eastAsia="仿宋_GB2312"/>
          <w:kern w:val="0"/>
          <w:sz w:val="32"/>
          <w:szCs w:val="32"/>
        </w:rPr>
        <w:t>核对对象的工作单位或者核对对象居住地的社区工作站应当协助核对机构开展核对工作。</w:t>
      </w:r>
    </w:p>
    <w:p>
      <w:pPr>
        <w:adjustRightInd w:val="0"/>
        <w:snapToGrid w:val="0"/>
        <w:spacing w:line="579" w:lineRule="exact"/>
        <w:ind w:firstLine="415" w:firstLineChars="198"/>
        <w:rPr>
          <w:kern w:val="0"/>
        </w:rPr>
      </w:pPr>
    </w:p>
    <w:p>
      <w:pPr>
        <w:pStyle w:val="2"/>
        <w:keepNext w:val="0"/>
        <w:keepLines w:val="0"/>
        <w:adjustRightInd w:val="0"/>
        <w:snapToGrid w:val="0"/>
        <w:spacing w:before="0" w:after="0" w:line="579" w:lineRule="exact"/>
        <w:jc w:val="center"/>
        <w:rPr>
          <w:rFonts w:ascii="黑体" w:hAnsi="黑体" w:eastAsia="黑体"/>
          <w:b w:val="0"/>
          <w:spacing w:val="10"/>
          <w:kern w:val="0"/>
          <w:sz w:val="32"/>
          <w:szCs w:val="32"/>
        </w:rPr>
      </w:pPr>
      <w:bookmarkStart w:id="5" w:name="_Hlk9005473"/>
      <w:r>
        <w:rPr>
          <w:rFonts w:hint="eastAsia" w:ascii="黑体" w:hAnsi="黑体" w:eastAsia="黑体"/>
          <w:b w:val="0"/>
          <w:spacing w:val="10"/>
          <w:kern w:val="0"/>
          <w:sz w:val="32"/>
          <w:szCs w:val="32"/>
        </w:rPr>
        <w:t>第二章  委托核对及核对对象</w:t>
      </w:r>
    </w:p>
    <w:p>
      <w:pPr>
        <w:adjustRightInd w:val="0"/>
        <w:snapToGrid w:val="0"/>
        <w:spacing w:line="579" w:lineRule="exact"/>
        <w:jc w:val="center"/>
        <w:rPr>
          <w:kern w:val="0"/>
        </w:rPr>
      </w:pPr>
    </w:p>
    <w:p>
      <w:pPr>
        <w:pStyle w:val="8"/>
        <w:adjustRightInd w:val="0"/>
        <w:snapToGrid w:val="0"/>
        <w:spacing w:line="579" w:lineRule="exact"/>
        <w:ind w:firstLine="680" w:firstLineChars="200"/>
      </w:pPr>
      <w:r>
        <w:rPr>
          <w:rStyle w:val="7"/>
          <w:rFonts w:hint="eastAsia"/>
        </w:rPr>
        <w:t>第七条【委托部门】</w:t>
      </w:r>
      <w:r>
        <w:rPr>
          <w:rFonts w:hint="eastAsia"/>
        </w:rPr>
        <w:t>有关部门审批本市住房保障、社会救助、社会福利事项需要申请人家庭经济状况的，可以委托核对机构对申请人家庭的经济状况进行查询、核对。</w:t>
      </w:r>
      <w:bookmarkEnd w:id="5"/>
    </w:p>
    <w:p>
      <w:pPr>
        <w:pStyle w:val="8"/>
        <w:adjustRightInd w:val="0"/>
        <w:snapToGrid w:val="0"/>
        <w:spacing w:line="579" w:lineRule="exact"/>
        <w:ind w:firstLine="680" w:firstLineChars="200"/>
        <w:rPr>
          <w:rFonts w:ascii="仿宋_GB2312" w:hAnsi="楷体"/>
          <w:szCs w:val="32"/>
        </w:rPr>
      </w:pPr>
      <w:r>
        <w:rPr>
          <w:rFonts w:hint="eastAsia" w:ascii="仿宋_GB2312" w:hAnsi="楷体"/>
          <w:szCs w:val="32"/>
        </w:rPr>
        <w:t>其他部门根据法律、法规、规章的规定或者经市人民政府批准，需要对特定人员的经济状况进行核对调查的，可以委托核对机构对特定人员的经济状况进行核对。</w:t>
      </w:r>
    </w:p>
    <w:p>
      <w:pPr>
        <w:pStyle w:val="8"/>
        <w:adjustRightInd w:val="0"/>
        <w:snapToGrid w:val="0"/>
        <w:spacing w:line="579" w:lineRule="exact"/>
        <w:ind w:firstLine="680" w:firstLineChars="200"/>
        <w:rPr>
          <w:kern w:val="0"/>
        </w:rPr>
      </w:pPr>
      <w:r>
        <w:rPr>
          <w:rStyle w:val="7"/>
          <w:rFonts w:hint="eastAsia"/>
          <w:kern w:val="0"/>
        </w:rPr>
        <w:t>第八条【委托要求】</w:t>
      </w:r>
      <w:r>
        <w:rPr>
          <w:rFonts w:hint="eastAsia"/>
          <w:kern w:val="0"/>
        </w:rPr>
        <w:t>有关部门委托核对机构开展经济状况核对的，应当向核对机构出具书面委托文件、核对对象的书面承诺和授权，提供核对对象资料，并对材料的真实性、准确性和合法性负责。书面委托文件应当明确核对内容及要求。</w:t>
      </w:r>
    </w:p>
    <w:p>
      <w:pPr>
        <w:pStyle w:val="3"/>
        <w:keepNext w:val="0"/>
        <w:keepLines w:val="0"/>
        <w:adjustRightInd w:val="0"/>
        <w:snapToGrid w:val="0"/>
        <w:spacing w:before="0" w:after="0" w:line="579" w:lineRule="exact"/>
        <w:ind w:firstLine="680" w:firstLineChars="200"/>
        <w:rPr>
          <w:rFonts w:ascii="Times New Roman" w:hAnsi="Times New Roman" w:cs="Times New Roman"/>
          <w:bCs w:val="0"/>
          <w:spacing w:val="10"/>
          <w:kern w:val="0"/>
          <w:szCs w:val="22"/>
        </w:rPr>
      </w:pPr>
      <w:r>
        <w:rPr>
          <w:rStyle w:val="7"/>
          <w:rFonts w:hint="eastAsia"/>
          <w:bCs w:val="0"/>
          <w:spacing w:val="10"/>
          <w:kern w:val="0"/>
        </w:rPr>
        <w:t>第九条【核对对象】</w:t>
      </w:r>
      <w:r>
        <w:rPr>
          <w:rFonts w:hint="eastAsia" w:ascii="Times New Roman" w:hAnsi="Times New Roman" w:cs="Times New Roman"/>
          <w:bCs w:val="0"/>
          <w:spacing w:val="10"/>
          <w:kern w:val="0"/>
          <w:szCs w:val="22"/>
        </w:rPr>
        <w:t>本办法所称核对对象是指委托部门所确定的如下人员：</w:t>
      </w:r>
    </w:p>
    <w:p>
      <w:pPr>
        <w:adjustRightInd w:val="0"/>
        <w:snapToGrid w:val="0"/>
        <w:spacing w:line="579"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（一）申请</w:t>
      </w:r>
      <w:bookmarkStart w:id="6" w:name="_Hlk11938404"/>
      <w:r>
        <w:rPr>
          <w:rFonts w:hint="eastAsia" w:ascii="仿宋_GB2312" w:eastAsia="仿宋_GB2312"/>
          <w:kern w:val="0"/>
          <w:sz w:val="32"/>
          <w:szCs w:val="32"/>
        </w:rPr>
        <w:t>享受住房保障、最低生活保障、特困人员救助供养、临时救助、医疗救助、教育救助、法律援助等政府公共</w:t>
      </w:r>
      <w:bookmarkEnd w:id="6"/>
      <w:r>
        <w:rPr>
          <w:rFonts w:hint="eastAsia" w:ascii="仿宋_GB2312" w:eastAsia="仿宋_GB2312"/>
          <w:kern w:val="0"/>
          <w:sz w:val="32"/>
          <w:szCs w:val="32"/>
        </w:rPr>
        <w:t>服务的申请人及其家庭成员；</w:t>
      </w:r>
    </w:p>
    <w:p>
      <w:pPr>
        <w:adjustRightInd w:val="0"/>
        <w:snapToGrid w:val="0"/>
        <w:spacing w:line="579"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（二）享受政府公共服务期间或到期继续申请的申请人及其家庭成员。</w:t>
      </w:r>
    </w:p>
    <w:p>
      <w:pPr>
        <w:pStyle w:val="3"/>
        <w:keepNext w:val="0"/>
        <w:keepLines w:val="0"/>
        <w:adjustRightInd w:val="0"/>
        <w:snapToGrid w:val="0"/>
        <w:spacing w:before="0" w:after="0" w:line="579" w:lineRule="exact"/>
        <w:ind w:firstLine="680" w:firstLineChars="200"/>
        <w:rPr>
          <w:spacing w:val="10"/>
          <w:kern w:val="0"/>
        </w:rPr>
      </w:pPr>
      <w:r>
        <w:rPr>
          <w:rStyle w:val="7"/>
          <w:rFonts w:hint="eastAsia"/>
          <w:bCs w:val="0"/>
          <w:spacing w:val="10"/>
          <w:kern w:val="0"/>
        </w:rPr>
        <w:t>第十条【核对对象义务】</w:t>
      </w:r>
      <w:r>
        <w:rPr>
          <w:rFonts w:hint="eastAsia"/>
          <w:spacing w:val="10"/>
          <w:kern w:val="0"/>
        </w:rPr>
        <w:t>核对对象应当如实提供个人和家庭经济状况的有关信息，不得隐瞒和虚报，并积极配合委托部门与核对机构工作人员依法开展调查、核对工作。</w:t>
      </w:r>
    </w:p>
    <w:p>
      <w:pPr>
        <w:adjustRightInd w:val="0"/>
        <w:snapToGrid w:val="0"/>
        <w:spacing w:line="579"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核对对象应当通过书面承诺和授权，授权核对机构对其家庭经济状况开展查询、核对。书面承诺和授权应当由核对对象本人签名，对无民事行为能力或限制民事行为能力人应当由其监护人代为签名。</w:t>
      </w:r>
    </w:p>
    <w:p>
      <w:pPr>
        <w:adjustRightInd w:val="0"/>
        <w:snapToGrid w:val="0"/>
        <w:spacing w:line="579"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核对对象有本办法规定不计入可支配收入项的，应当在授权核对时提供相关证明材料，不提供视为无相关证明材料。</w:t>
      </w:r>
    </w:p>
    <w:p>
      <w:pPr>
        <w:adjustRightInd w:val="0"/>
        <w:snapToGrid w:val="0"/>
        <w:spacing w:line="579" w:lineRule="exact"/>
        <w:rPr>
          <w:rFonts w:hint="eastAsia" w:ascii="仿宋_GB2312" w:eastAsia="仿宋_GB2312"/>
          <w:kern w:val="0"/>
          <w:sz w:val="32"/>
          <w:szCs w:val="32"/>
        </w:rPr>
      </w:pPr>
    </w:p>
    <w:p>
      <w:pPr>
        <w:adjustRightInd w:val="0"/>
        <w:snapToGrid w:val="0"/>
        <w:spacing w:line="579" w:lineRule="exact"/>
        <w:jc w:val="center"/>
        <w:rPr>
          <w:rFonts w:ascii="黑体" w:hAnsi="黑体" w:eastAsia="黑体"/>
          <w:bCs/>
          <w:spacing w:val="10"/>
          <w:kern w:val="0"/>
          <w:sz w:val="32"/>
          <w:szCs w:val="32"/>
        </w:rPr>
      </w:pPr>
      <w:r>
        <w:rPr>
          <w:rFonts w:hint="eastAsia" w:ascii="黑体" w:hAnsi="黑体" w:eastAsia="黑体"/>
          <w:bCs/>
          <w:spacing w:val="10"/>
          <w:kern w:val="0"/>
          <w:sz w:val="32"/>
          <w:szCs w:val="32"/>
        </w:rPr>
        <w:t>第三章  核对内容</w:t>
      </w:r>
    </w:p>
    <w:p>
      <w:pPr>
        <w:adjustRightInd w:val="0"/>
        <w:snapToGrid w:val="0"/>
        <w:spacing w:line="579" w:lineRule="exact"/>
        <w:jc w:val="center"/>
      </w:pPr>
    </w:p>
    <w:p>
      <w:pPr>
        <w:pStyle w:val="3"/>
        <w:keepNext w:val="0"/>
        <w:keepLines w:val="0"/>
        <w:adjustRightInd w:val="0"/>
        <w:snapToGrid w:val="0"/>
        <w:spacing w:before="0" w:after="0" w:line="579" w:lineRule="exact"/>
        <w:ind w:firstLine="680" w:firstLineChars="200"/>
        <w:rPr>
          <w:spacing w:val="10"/>
          <w:kern w:val="0"/>
        </w:rPr>
      </w:pPr>
      <w:r>
        <w:rPr>
          <w:rStyle w:val="7"/>
          <w:rFonts w:hint="eastAsia"/>
          <w:bCs w:val="0"/>
          <w:spacing w:val="10"/>
          <w:kern w:val="0"/>
        </w:rPr>
        <w:t>第十一条【核对事项】</w:t>
      </w:r>
      <w:r>
        <w:rPr>
          <w:rFonts w:hint="eastAsia"/>
          <w:spacing w:val="10"/>
          <w:kern w:val="0"/>
        </w:rPr>
        <w:t>居民家庭经济状况一般包括核对对象的基础情况、可支配收入、家庭财产以及部门委托核对的其他有关居民家庭经济状况事项。</w:t>
      </w:r>
    </w:p>
    <w:p>
      <w:pPr>
        <w:pStyle w:val="3"/>
        <w:keepNext w:val="0"/>
        <w:keepLines w:val="0"/>
        <w:adjustRightInd w:val="0"/>
        <w:snapToGrid w:val="0"/>
        <w:spacing w:before="0" w:after="0" w:line="579" w:lineRule="exact"/>
        <w:ind w:firstLine="680" w:firstLineChars="200"/>
        <w:rPr>
          <w:spacing w:val="10"/>
          <w:kern w:val="0"/>
        </w:rPr>
      </w:pPr>
      <w:bookmarkStart w:id="7" w:name="_Hlk9005771"/>
      <w:r>
        <w:rPr>
          <w:rStyle w:val="7"/>
          <w:rFonts w:hint="eastAsia"/>
          <w:bCs w:val="0"/>
          <w:spacing w:val="10"/>
          <w:kern w:val="0"/>
        </w:rPr>
        <w:t>第十二条</w:t>
      </w:r>
      <w:bookmarkEnd w:id="7"/>
      <w:r>
        <w:rPr>
          <w:rStyle w:val="7"/>
          <w:rFonts w:hint="eastAsia"/>
          <w:bCs w:val="0"/>
          <w:spacing w:val="10"/>
          <w:kern w:val="0"/>
        </w:rPr>
        <w:t>【基础情况】</w:t>
      </w:r>
      <w:r>
        <w:rPr>
          <w:rFonts w:hint="eastAsia"/>
          <w:spacing w:val="10"/>
          <w:kern w:val="0"/>
        </w:rPr>
        <w:t>基础情况主要包括：</w:t>
      </w:r>
    </w:p>
    <w:p>
      <w:pPr>
        <w:adjustRightInd w:val="0"/>
        <w:snapToGrid w:val="0"/>
        <w:spacing w:line="57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（一）户籍情况；</w:t>
      </w:r>
    </w:p>
    <w:p>
      <w:pPr>
        <w:adjustRightInd w:val="0"/>
        <w:snapToGrid w:val="0"/>
        <w:spacing w:line="57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（二）婚姻情况；</w:t>
      </w:r>
    </w:p>
    <w:p>
      <w:pPr>
        <w:adjustRightInd w:val="0"/>
        <w:snapToGrid w:val="0"/>
        <w:spacing w:line="57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（三）就业、就学情况。</w:t>
      </w:r>
    </w:p>
    <w:p>
      <w:pPr>
        <w:adjustRightInd w:val="0"/>
        <w:snapToGrid w:val="0"/>
        <w:spacing w:line="57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上述基础情况应当由核对对象在申请政府相关救助事项时如实填报，核对机构通过信息化手段进行比对。</w:t>
      </w:r>
    </w:p>
    <w:p>
      <w:pPr>
        <w:pStyle w:val="3"/>
        <w:keepNext w:val="0"/>
        <w:keepLines w:val="0"/>
        <w:adjustRightInd w:val="0"/>
        <w:snapToGrid w:val="0"/>
        <w:spacing w:before="0" w:after="0" w:line="579" w:lineRule="exact"/>
        <w:ind w:firstLine="680" w:firstLineChars="200"/>
        <w:rPr>
          <w:bCs w:val="0"/>
          <w:spacing w:val="10"/>
          <w:kern w:val="0"/>
        </w:rPr>
      </w:pPr>
      <w:r>
        <w:rPr>
          <w:rStyle w:val="7"/>
          <w:rFonts w:hint="eastAsia"/>
          <w:bCs w:val="0"/>
          <w:spacing w:val="10"/>
          <w:kern w:val="0"/>
        </w:rPr>
        <w:t>第十三条【家庭可支配收入】</w:t>
      </w:r>
      <w:bookmarkStart w:id="8" w:name="_Hlk9006931"/>
      <w:r>
        <w:rPr>
          <w:rFonts w:hint="eastAsia"/>
          <w:bCs w:val="0"/>
          <w:spacing w:val="10"/>
          <w:kern w:val="0"/>
        </w:rPr>
        <w:t>核对对象的家庭可支配收入</w:t>
      </w:r>
      <w:bookmarkEnd w:id="8"/>
      <w:r>
        <w:rPr>
          <w:rFonts w:hint="eastAsia"/>
          <w:bCs w:val="0"/>
          <w:spacing w:val="10"/>
          <w:kern w:val="0"/>
        </w:rPr>
        <w:t>是指扣除应缴纳的各项税款及个人按规定缴纳的社会保障性支出后的收入，</w:t>
      </w:r>
      <w:r>
        <w:rPr>
          <w:rFonts w:hint="eastAsia"/>
        </w:rPr>
        <w:t>包括工资性收入、经营性净收入、财产性收入、转移性收入和其他有关收入等</w:t>
      </w:r>
      <w:r>
        <w:rPr>
          <w:rFonts w:hint="eastAsia"/>
          <w:bCs w:val="0"/>
          <w:spacing w:val="10"/>
          <w:kern w:val="0"/>
        </w:rPr>
        <w:t>。</w:t>
      </w:r>
    </w:p>
    <w:p>
      <w:pPr>
        <w:adjustRightInd w:val="0"/>
        <w:snapToGrid w:val="0"/>
        <w:spacing w:line="57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（一）工资性收入。指因任职或者受雇而取得的工资、薪金、资金、劳动分红、津贴、补贴以及与任职或者受雇有关的其他所得等。</w:t>
      </w:r>
    </w:p>
    <w:p>
      <w:pPr>
        <w:adjustRightInd w:val="0"/>
        <w:snapToGrid w:val="0"/>
        <w:spacing w:line="57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（二）经营性净收入。指从事生产、经营及有偿服务活动所得的净（纯）收入，即扣除业务成本、经营费用、折旧、缴纳税款及其他开支以后的所得或收入余额。</w:t>
      </w:r>
    </w:p>
    <w:p>
      <w:pPr>
        <w:adjustRightInd w:val="0"/>
        <w:snapToGrid w:val="0"/>
        <w:spacing w:line="57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（三）财产性收入。包括出让无形财产、特许经营权等收入，储蓄存款利息、有价证券红利、储蓄性保险投资以及其他股息和红利，集体财产收入分红，转租承包土地经营权、出租或者出让房产收入等。</w:t>
      </w:r>
    </w:p>
    <w:p>
      <w:pPr>
        <w:adjustRightInd w:val="0"/>
        <w:snapToGrid w:val="0"/>
        <w:spacing w:line="57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转移性收入。指国家、单位、社会团体对居民家庭的各种转移支付和居民家庭间的收入转移。包括赡养费、扶养费、抚养费，离退休金、养老金、社会救济金、失业保险金，遗属补助金、赔偿收入，接受遗产收入、接受捐赠（赠送）收入等。</w:t>
      </w:r>
    </w:p>
    <w:p>
      <w:pPr>
        <w:adjustRightInd w:val="0"/>
        <w:snapToGrid w:val="0"/>
        <w:spacing w:line="57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本条所称社会保障性支出是指核对对象个人按照国家有关社会保障法律、法规的规定应当缴纳的养老、医疗、生育、工伤、失业保险以及住房公积金、企（职）业年金等各类社会保障性支出。</w:t>
      </w:r>
    </w:p>
    <w:p>
      <w:pPr>
        <w:pStyle w:val="3"/>
        <w:keepNext w:val="0"/>
        <w:keepLines w:val="0"/>
        <w:adjustRightInd w:val="0"/>
        <w:snapToGrid w:val="0"/>
        <w:spacing w:before="0" w:after="0" w:line="579" w:lineRule="exact"/>
        <w:ind w:firstLine="680" w:firstLineChars="200"/>
        <w:rPr>
          <w:spacing w:val="10"/>
          <w:kern w:val="0"/>
        </w:rPr>
      </w:pPr>
      <w:r>
        <w:rPr>
          <w:rStyle w:val="7"/>
          <w:rFonts w:hint="eastAsia"/>
          <w:bCs w:val="0"/>
          <w:spacing w:val="10"/>
          <w:kern w:val="0"/>
        </w:rPr>
        <w:t>第十四条【不计入可支配收入】</w:t>
      </w:r>
      <w:r>
        <w:rPr>
          <w:rFonts w:hint="eastAsia"/>
          <w:spacing w:val="10"/>
          <w:kern w:val="0"/>
        </w:rPr>
        <w:t>以下收入不计入</w:t>
      </w:r>
      <w:r>
        <w:rPr>
          <w:rFonts w:hint="eastAsia"/>
          <w:bCs w:val="0"/>
          <w:spacing w:val="10"/>
          <w:kern w:val="0"/>
        </w:rPr>
        <w:t>核对对象的可支配收入，</w:t>
      </w:r>
      <w:r>
        <w:rPr>
          <w:rFonts w:hint="eastAsia"/>
          <w:spacing w:val="10"/>
          <w:kern w:val="0"/>
        </w:rPr>
        <w:t>主要包括：</w:t>
      </w:r>
    </w:p>
    <w:p>
      <w:pPr>
        <w:adjustRightInd w:val="0"/>
        <w:snapToGrid w:val="0"/>
        <w:spacing w:line="57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省级政府、国务院部委和中国人民解放军军以上单位颁发的科技、教育、技术、文化、卫生、体育、环境保护等方面的奖金，政府给予见义勇为人员和对国家、社会和人民做出突出贡献者的一次性奖励金，省级以上劳动模范退休后享受的荣誉津贴；</w:t>
      </w:r>
    </w:p>
    <w:p>
      <w:pPr>
        <w:adjustRightInd w:val="0"/>
        <w:snapToGrid w:val="0"/>
        <w:spacing w:line="57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（二）优抚对象按照国家规定享受的抚恤金、烈士褒扬金、伤残护理费、定期定量补助、烈属抚慰金、差额补助、生活补助、优待金、临时补助、医疗补助和丧葬补助费；</w:t>
      </w:r>
    </w:p>
    <w:p>
      <w:pPr>
        <w:adjustRightInd w:val="0"/>
        <w:snapToGrid w:val="0"/>
        <w:spacing w:line="57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（三）军队发放的转业费，军队复员干部和退役士兵按照国家有关规定享受的复员费、路费、伙食费及津贴、易地安置的安家费、一次性退役金及其他补助费；</w:t>
      </w:r>
    </w:p>
    <w:p>
      <w:pPr>
        <w:adjustRightInd w:val="0"/>
        <w:snapToGrid w:val="0"/>
        <w:spacing w:line="57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（四）在校学生获得的奖学金、助学金、困难补助金；</w:t>
      </w:r>
    </w:p>
    <w:p>
      <w:pPr>
        <w:adjustRightInd w:val="0"/>
        <w:snapToGrid w:val="0"/>
        <w:spacing w:line="57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（五）国家有关规定明确的工伤保险待遇中的伙食补助费、生活护理费、一次性补助金、供养亲属抚恤金；</w:t>
      </w:r>
    </w:p>
    <w:p>
      <w:pPr>
        <w:adjustRightInd w:val="0"/>
        <w:snapToGrid w:val="0"/>
        <w:spacing w:line="57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（六）其他抚恤金、丧葬抚恤金；</w:t>
      </w:r>
    </w:p>
    <w:p>
      <w:pPr>
        <w:adjustRightInd w:val="0"/>
        <w:snapToGrid w:val="0"/>
        <w:spacing w:line="57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（七）依据《国家赔偿法》获得的国家赔偿金；</w:t>
      </w:r>
    </w:p>
    <w:p>
      <w:pPr>
        <w:adjustRightInd w:val="0"/>
        <w:snapToGrid w:val="0"/>
        <w:spacing w:line="57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（八）因财产损失、人身伤害获得的赔偿收入；</w:t>
      </w:r>
    </w:p>
    <w:p>
      <w:pPr>
        <w:adjustRightInd w:val="0"/>
        <w:snapToGrid w:val="0"/>
        <w:spacing w:line="57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（九）政府、社会各界给予的临时性救助帮困款物；</w:t>
      </w:r>
    </w:p>
    <w:p>
      <w:pPr>
        <w:adjustRightInd w:val="0"/>
        <w:snapToGrid w:val="0"/>
        <w:spacing w:line="57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（十）工会组织发放的帮困金、补助金；</w:t>
      </w:r>
    </w:p>
    <w:p>
      <w:pPr>
        <w:adjustRightInd w:val="0"/>
        <w:snapToGrid w:val="0"/>
        <w:spacing w:line="57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（十一）计划生育奖励金、生育医疗费补贴、独生子女意外伤残或者死亡一次性补助金、特别扶助金和其他有关计划生育的补助金；</w:t>
      </w:r>
    </w:p>
    <w:p>
      <w:pPr>
        <w:adjustRightInd w:val="0"/>
        <w:snapToGrid w:val="0"/>
        <w:spacing w:line="57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（十二）高龄老人津贴；</w:t>
      </w:r>
    </w:p>
    <w:p>
      <w:pPr>
        <w:adjustRightInd w:val="0"/>
        <w:snapToGrid w:val="0"/>
        <w:spacing w:line="57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（十三）城乡居民基本养老保险中的基础养老金；</w:t>
      </w:r>
    </w:p>
    <w:p>
      <w:pPr>
        <w:adjustRightInd w:val="0"/>
        <w:snapToGrid w:val="0"/>
        <w:spacing w:line="57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（十四）困难残疾人生活补贴和重度残疾人护理补贴；</w:t>
      </w:r>
    </w:p>
    <w:p>
      <w:pPr>
        <w:adjustRightInd w:val="0"/>
        <w:snapToGrid w:val="0"/>
        <w:spacing w:line="57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（十五）参加公益性岗位获得的收入；</w:t>
      </w:r>
    </w:p>
    <w:p>
      <w:pPr>
        <w:adjustRightInd w:val="0"/>
        <w:snapToGrid w:val="0"/>
        <w:spacing w:line="57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（十六）其他法律法规规章规定可不计入的收入。</w:t>
      </w:r>
    </w:p>
    <w:p>
      <w:pPr>
        <w:pStyle w:val="3"/>
        <w:keepNext w:val="0"/>
        <w:keepLines w:val="0"/>
        <w:adjustRightInd w:val="0"/>
        <w:snapToGrid w:val="0"/>
        <w:spacing w:before="0" w:after="0" w:line="579" w:lineRule="exact"/>
        <w:ind w:firstLine="680" w:firstLineChars="200"/>
        <w:rPr>
          <w:spacing w:val="10"/>
          <w:kern w:val="0"/>
        </w:rPr>
      </w:pPr>
      <w:r>
        <w:rPr>
          <w:rStyle w:val="7"/>
          <w:rFonts w:hint="eastAsia"/>
          <w:bCs w:val="0"/>
          <w:spacing w:val="10"/>
          <w:kern w:val="0"/>
        </w:rPr>
        <w:t>第十五条【家庭财产】</w:t>
      </w:r>
      <w:bookmarkStart w:id="9" w:name="_Hlk11940748"/>
      <w:r>
        <w:rPr>
          <w:rFonts w:hint="eastAsia"/>
          <w:spacing w:val="10"/>
          <w:kern w:val="0"/>
        </w:rPr>
        <w:t>家庭财产是指以</w:t>
      </w:r>
      <w:bookmarkStart w:id="10" w:name="_Hlk9008415"/>
      <w:r>
        <w:rPr>
          <w:rFonts w:hint="eastAsia"/>
          <w:spacing w:val="10"/>
          <w:kern w:val="0"/>
        </w:rPr>
        <w:t>公允价值</w:t>
      </w:r>
      <w:bookmarkEnd w:id="10"/>
      <w:r>
        <w:rPr>
          <w:rFonts w:hint="eastAsia"/>
          <w:spacing w:val="10"/>
          <w:kern w:val="0"/>
        </w:rPr>
        <w:t>确定</w:t>
      </w:r>
      <w:bookmarkEnd w:id="9"/>
      <w:r>
        <w:rPr>
          <w:rFonts w:hint="eastAsia"/>
          <w:spacing w:val="10"/>
          <w:kern w:val="0"/>
        </w:rPr>
        <w:t>的核对对象家庭所有各项财产总和，主要包括：</w:t>
      </w:r>
    </w:p>
    <w:p>
      <w:pPr>
        <w:adjustRightInd w:val="0"/>
        <w:snapToGrid w:val="0"/>
        <w:spacing w:line="57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（一）货币类财产</w:t>
      </w:r>
    </w:p>
    <w:p>
      <w:pPr>
        <w:adjustRightInd w:val="0"/>
        <w:snapToGrid w:val="0"/>
        <w:spacing w:line="57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1.现金；</w:t>
      </w:r>
    </w:p>
    <w:p>
      <w:pPr>
        <w:adjustRightInd w:val="0"/>
        <w:snapToGrid w:val="0"/>
        <w:spacing w:line="57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2.银行存款、理财产品等；</w:t>
      </w:r>
    </w:p>
    <w:p>
      <w:pPr>
        <w:adjustRightInd w:val="0"/>
        <w:snapToGrid w:val="0"/>
        <w:spacing w:line="57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3.股票、基金、债券等有价证券；</w:t>
      </w:r>
    </w:p>
    <w:p>
      <w:pPr>
        <w:adjustRightInd w:val="0"/>
        <w:snapToGrid w:val="0"/>
        <w:spacing w:line="57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4.商业保险；</w:t>
      </w:r>
    </w:p>
    <w:p>
      <w:pPr>
        <w:adjustRightInd w:val="0"/>
        <w:snapToGrid w:val="0"/>
        <w:spacing w:line="57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5.债权、股权；</w:t>
      </w:r>
    </w:p>
    <w:p>
      <w:pPr>
        <w:adjustRightInd w:val="0"/>
        <w:snapToGrid w:val="0"/>
        <w:spacing w:line="57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6.网络金融产品。</w:t>
      </w:r>
    </w:p>
    <w:p>
      <w:pPr>
        <w:adjustRightInd w:val="0"/>
        <w:snapToGrid w:val="0"/>
        <w:spacing w:line="57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（二）实物类财产</w:t>
      </w:r>
    </w:p>
    <w:p>
      <w:pPr>
        <w:adjustRightInd w:val="0"/>
        <w:snapToGrid w:val="0"/>
        <w:spacing w:line="57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1.不动产，主要包括居住类房屋、经营性房屋、各类自有用地等；</w:t>
      </w:r>
    </w:p>
    <w:p>
      <w:pPr>
        <w:adjustRightInd w:val="0"/>
        <w:snapToGrid w:val="0"/>
        <w:spacing w:line="57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2.机动车辆（残疾人功能性代步机动车辆除外）；</w:t>
      </w:r>
    </w:p>
    <w:p>
      <w:pPr>
        <w:adjustRightInd w:val="0"/>
        <w:snapToGrid w:val="0"/>
        <w:spacing w:line="57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3.船舶；</w:t>
      </w:r>
    </w:p>
    <w:p>
      <w:pPr>
        <w:adjustRightInd w:val="0"/>
        <w:snapToGrid w:val="0"/>
        <w:spacing w:line="57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4.其它财产。</w:t>
      </w:r>
    </w:p>
    <w:p>
      <w:pPr>
        <w:adjustRightInd w:val="0"/>
        <w:snapToGrid w:val="0"/>
        <w:spacing w:line="57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家庭财产公允价值的计算方法由市民政部门另行规定。</w:t>
      </w:r>
    </w:p>
    <w:p>
      <w:pPr>
        <w:adjustRightInd w:val="0"/>
        <w:snapToGrid w:val="0"/>
        <w:spacing w:line="579" w:lineRule="exact"/>
        <w:ind w:firstLine="420" w:firstLineChars="200"/>
        <w:rPr>
          <w:rFonts w:ascii="仿宋_GB2312" w:hAnsi="仿宋_GB2312" w:cs="仿宋_GB2312"/>
          <w:kern w:val="0"/>
          <w:szCs w:val="32"/>
        </w:rPr>
      </w:pPr>
    </w:p>
    <w:p>
      <w:pPr>
        <w:pStyle w:val="2"/>
        <w:keepNext w:val="0"/>
        <w:keepLines w:val="0"/>
        <w:adjustRightInd w:val="0"/>
        <w:snapToGrid w:val="0"/>
        <w:spacing w:before="0" w:after="0" w:line="579" w:lineRule="exact"/>
        <w:jc w:val="center"/>
        <w:rPr>
          <w:rFonts w:ascii="黑体" w:hAnsi="黑体" w:eastAsia="黑体"/>
          <w:b w:val="0"/>
          <w:spacing w:val="10"/>
          <w:kern w:val="0"/>
          <w:sz w:val="32"/>
          <w:szCs w:val="32"/>
        </w:rPr>
      </w:pPr>
      <w:r>
        <w:rPr>
          <w:rFonts w:hint="eastAsia" w:ascii="黑体" w:hAnsi="黑体" w:eastAsia="黑体"/>
          <w:b w:val="0"/>
          <w:spacing w:val="10"/>
          <w:kern w:val="0"/>
          <w:sz w:val="32"/>
          <w:szCs w:val="32"/>
        </w:rPr>
        <w:t>第四章  核对方式及信息提供</w:t>
      </w:r>
    </w:p>
    <w:p>
      <w:pPr>
        <w:adjustRightInd w:val="0"/>
        <w:snapToGrid w:val="0"/>
        <w:spacing w:line="579" w:lineRule="exact"/>
        <w:jc w:val="center"/>
        <w:rPr>
          <w:kern w:val="0"/>
        </w:rPr>
      </w:pPr>
    </w:p>
    <w:p>
      <w:pPr>
        <w:pStyle w:val="3"/>
        <w:keepNext w:val="0"/>
        <w:keepLines w:val="0"/>
        <w:adjustRightInd w:val="0"/>
        <w:snapToGrid w:val="0"/>
        <w:spacing w:before="0" w:after="0" w:line="579" w:lineRule="exact"/>
        <w:ind w:firstLine="680" w:firstLineChars="200"/>
        <w:rPr>
          <w:spacing w:val="10"/>
          <w:kern w:val="0"/>
        </w:rPr>
      </w:pPr>
      <w:r>
        <w:rPr>
          <w:rStyle w:val="7"/>
          <w:rFonts w:hint="eastAsia"/>
          <w:bCs w:val="0"/>
          <w:spacing w:val="10"/>
          <w:kern w:val="0"/>
        </w:rPr>
        <w:t>第十六条【核对方式】</w:t>
      </w:r>
      <w:r>
        <w:rPr>
          <w:rFonts w:hint="eastAsia"/>
          <w:spacing w:val="10"/>
          <w:kern w:val="0"/>
        </w:rPr>
        <w:t>核对机构应当通过核对系统调取核对对象在政府有关部门和相关单位的信息开展查询、核对</w:t>
      </w:r>
      <w:r>
        <w:rPr>
          <w:rFonts w:hint="eastAsia"/>
          <w:bCs w:val="0"/>
          <w:spacing w:val="10"/>
          <w:kern w:val="0"/>
        </w:rPr>
        <w:t>，也可以采取其他合法的方式开展调查、核实工作，有关部门和单位</w:t>
      </w:r>
      <w:r>
        <w:rPr>
          <w:rFonts w:hint="eastAsia"/>
          <w:spacing w:val="10"/>
          <w:kern w:val="0"/>
        </w:rPr>
        <w:t>应当予以配合。</w:t>
      </w:r>
    </w:p>
    <w:p>
      <w:pPr>
        <w:pStyle w:val="3"/>
        <w:keepNext w:val="0"/>
        <w:keepLines w:val="0"/>
        <w:adjustRightInd w:val="0"/>
        <w:snapToGrid w:val="0"/>
        <w:spacing w:before="0" w:after="0" w:line="579" w:lineRule="exact"/>
        <w:ind w:firstLine="680" w:firstLineChars="200"/>
        <w:rPr>
          <w:spacing w:val="10"/>
          <w:kern w:val="0"/>
        </w:rPr>
      </w:pPr>
      <w:r>
        <w:rPr>
          <w:rFonts w:hint="eastAsia"/>
          <w:spacing w:val="10"/>
          <w:kern w:val="0"/>
        </w:rPr>
        <w:t>核对机构在自行或联合有关部门进行居民经济状况调查、核实时，应当派出至少2名工作人员，并出示相关证件。</w:t>
      </w:r>
      <w:bookmarkStart w:id="11" w:name="_Hlk9009964"/>
    </w:p>
    <w:p>
      <w:pPr>
        <w:pStyle w:val="3"/>
        <w:keepNext w:val="0"/>
        <w:keepLines w:val="0"/>
        <w:adjustRightInd w:val="0"/>
        <w:snapToGrid w:val="0"/>
        <w:spacing w:before="0" w:after="0" w:line="579" w:lineRule="exact"/>
        <w:ind w:firstLine="680" w:firstLineChars="200"/>
        <w:rPr>
          <w:spacing w:val="10"/>
          <w:kern w:val="0"/>
        </w:rPr>
      </w:pPr>
      <w:r>
        <w:rPr>
          <w:rStyle w:val="7"/>
          <w:rFonts w:hint="eastAsia"/>
          <w:bCs w:val="0"/>
          <w:spacing w:val="10"/>
          <w:kern w:val="0"/>
        </w:rPr>
        <w:t>第十七条【核对途径】</w:t>
      </w:r>
      <w:bookmarkEnd w:id="11"/>
      <w:r>
        <w:rPr>
          <w:rFonts w:hint="eastAsia"/>
          <w:spacing w:val="10"/>
          <w:kern w:val="0"/>
        </w:rPr>
        <w:t>核对机构按照下列途径开展核对工作：</w:t>
      </w:r>
    </w:p>
    <w:p>
      <w:pPr>
        <w:pStyle w:val="3"/>
        <w:keepNext w:val="0"/>
        <w:keepLines w:val="0"/>
        <w:adjustRightInd w:val="0"/>
        <w:snapToGrid w:val="0"/>
        <w:spacing w:before="0" w:after="0" w:line="579" w:lineRule="exact"/>
        <w:ind w:firstLine="680" w:firstLineChars="200"/>
        <w:rPr>
          <w:spacing w:val="10"/>
          <w:kern w:val="0"/>
        </w:rPr>
      </w:pPr>
      <w:r>
        <w:rPr>
          <w:rFonts w:hint="eastAsia"/>
          <w:spacing w:val="10"/>
          <w:kern w:val="0"/>
        </w:rPr>
        <w:t>（一）工资性收入可以通过调查就业和劳动报酬、各种福利收入，以及社会保险费、住房公积金、个人所得税的缴纳情况等得出；</w:t>
      </w:r>
    </w:p>
    <w:p>
      <w:pPr>
        <w:pStyle w:val="3"/>
        <w:keepNext w:val="0"/>
        <w:keepLines w:val="0"/>
        <w:adjustRightInd w:val="0"/>
        <w:snapToGrid w:val="0"/>
        <w:spacing w:before="0" w:after="0" w:line="579" w:lineRule="exact"/>
        <w:ind w:firstLine="680" w:firstLineChars="200"/>
        <w:rPr>
          <w:spacing w:val="10"/>
          <w:kern w:val="0"/>
        </w:rPr>
      </w:pPr>
      <w:r>
        <w:rPr>
          <w:rFonts w:hint="eastAsia"/>
          <w:spacing w:val="10"/>
          <w:kern w:val="0"/>
        </w:rPr>
        <w:t>（二）经营性净收入可以通过调查工商登记、企业或者个体工商户的生产经营情况以及企业所得税的缴纳情况等得出；</w:t>
      </w:r>
    </w:p>
    <w:p>
      <w:pPr>
        <w:pStyle w:val="3"/>
        <w:keepNext w:val="0"/>
        <w:keepLines w:val="0"/>
        <w:adjustRightInd w:val="0"/>
        <w:snapToGrid w:val="0"/>
        <w:spacing w:before="0" w:after="0" w:line="579" w:lineRule="exact"/>
        <w:ind w:firstLine="680" w:firstLineChars="200"/>
        <w:rPr>
          <w:spacing w:val="10"/>
          <w:kern w:val="0"/>
        </w:rPr>
      </w:pPr>
      <w:r>
        <w:rPr>
          <w:rFonts w:hint="eastAsia"/>
          <w:spacing w:val="10"/>
          <w:kern w:val="0"/>
        </w:rPr>
        <w:t>（三）财产性收入可以通过调查利息、股息与红利、保险收益、出租房屋收入以及知识产权的收益情况等得出；</w:t>
      </w:r>
    </w:p>
    <w:p>
      <w:pPr>
        <w:pStyle w:val="3"/>
        <w:keepNext w:val="0"/>
        <w:keepLines w:val="0"/>
        <w:adjustRightInd w:val="0"/>
        <w:snapToGrid w:val="0"/>
        <w:spacing w:before="0" w:after="0" w:line="579" w:lineRule="exact"/>
        <w:ind w:firstLine="680" w:firstLineChars="200"/>
        <w:rPr>
          <w:spacing w:val="10"/>
          <w:kern w:val="0"/>
        </w:rPr>
      </w:pPr>
      <w:r>
        <w:rPr>
          <w:rFonts w:hint="eastAsia"/>
          <w:spacing w:val="10"/>
          <w:kern w:val="0"/>
        </w:rPr>
        <w:t>（四）转移性收入可以通过调查养老金、失业保险金、社会救济金、住房公积金的领取情况，以及获得赠与、补偿、赔偿的情况等得出；</w:t>
      </w:r>
    </w:p>
    <w:p>
      <w:pPr>
        <w:pStyle w:val="3"/>
        <w:keepNext w:val="0"/>
        <w:keepLines w:val="0"/>
        <w:adjustRightInd w:val="0"/>
        <w:snapToGrid w:val="0"/>
        <w:spacing w:before="0" w:after="0" w:line="579" w:lineRule="exact"/>
        <w:ind w:firstLine="680" w:firstLineChars="200"/>
        <w:rPr>
          <w:spacing w:val="10"/>
          <w:kern w:val="0"/>
        </w:rPr>
      </w:pPr>
      <w:r>
        <w:rPr>
          <w:rFonts w:hint="eastAsia"/>
          <w:spacing w:val="10"/>
          <w:kern w:val="0"/>
        </w:rPr>
        <w:t>（五）实物财产可以通过调查房产、车辆，以及古董、艺术品等有较大价值实物的拥有情况等得出；</w:t>
      </w:r>
    </w:p>
    <w:p>
      <w:pPr>
        <w:pStyle w:val="3"/>
        <w:keepNext w:val="0"/>
        <w:keepLines w:val="0"/>
        <w:adjustRightInd w:val="0"/>
        <w:snapToGrid w:val="0"/>
        <w:spacing w:before="0" w:after="0" w:line="579" w:lineRule="exact"/>
        <w:ind w:firstLine="680" w:firstLineChars="200"/>
        <w:rPr>
          <w:spacing w:val="10"/>
          <w:kern w:val="0"/>
        </w:rPr>
      </w:pPr>
      <w:r>
        <w:rPr>
          <w:rFonts w:hint="eastAsia"/>
          <w:spacing w:val="10"/>
          <w:kern w:val="0"/>
        </w:rPr>
        <w:t>（六）货币财产可以通过调查存款、保险、有价证券持有情况、债权债务情况等得出。</w:t>
      </w:r>
    </w:p>
    <w:p>
      <w:pPr>
        <w:pStyle w:val="3"/>
        <w:keepNext w:val="0"/>
        <w:keepLines w:val="0"/>
        <w:adjustRightInd w:val="0"/>
        <w:snapToGrid w:val="0"/>
        <w:spacing w:before="0" w:after="0" w:line="579" w:lineRule="exact"/>
        <w:ind w:firstLine="680" w:firstLineChars="200"/>
        <w:rPr>
          <w:rFonts w:ascii="Calibri Light" w:hAnsi="Calibri Light" w:eastAsia="黑体" w:cs="Times New Roman"/>
          <w:spacing w:val="10"/>
          <w:kern w:val="0"/>
        </w:rPr>
      </w:pPr>
      <w:r>
        <w:rPr>
          <w:rStyle w:val="7"/>
          <w:rFonts w:hint="eastAsia"/>
          <w:bCs w:val="0"/>
          <w:spacing w:val="10"/>
          <w:kern w:val="0"/>
        </w:rPr>
        <w:t>第十八条【信息提供】</w:t>
      </w:r>
      <w:r>
        <w:rPr>
          <w:rFonts w:hint="eastAsia"/>
          <w:spacing w:val="10"/>
          <w:kern w:val="0"/>
        </w:rPr>
        <w:t>各部门各有关单位应当依法向核对机构提供以下相关信息：</w:t>
      </w:r>
    </w:p>
    <w:p>
      <w:pPr>
        <w:pStyle w:val="3"/>
        <w:keepNext w:val="0"/>
        <w:keepLines w:val="0"/>
        <w:adjustRightInd w:val="0"/>
        <w:snapToGrid w:val="0"/>
        <w:spacing w:before="0" w:after="0" w:line="579" w:lineRule="exact"/>
        <w:ind w:firstLine="680" w:firstLineChars="200"/>
        <w:rPr>
          <w:bCs w:val="0"/>
          <w:spacing w:val="10"/>
          <w:kern w:val="0"/>
        </w:rPr>
      </w:pPr>
      <w:r>
        <w:rPr>
          <w:rFonts w:hint="eastAsia"/>
          <w:bCs w:val="0"/>
          <w:spacing w:val="10"/>
          <w:kern w:val="0"/>
        </w:rPr>
        <w:t>（一）民政部门负责提供婚姻状况、生存状况、享受社会救助、社会福利等情况；</w:t>
      </w:r>
    </w:p>
    <w:p>
      <w:pPr>
        <w:pStyle w:val="3"/>
        <w:keepNext w:val="0"/>
        <w:keepLines w:val="0"/>
        <w:adjustRightInd w:val="0"/>
        <w:snapToGrid w:val="0"/>
        <w:spacing w:before="0" w:after="0" w:line="579" w:lineRule="exact"/>
        <w:ind w:firstLine="680" w:firstLineChars="200"/>
        <w:rPr>
          <w:bCs w:val="0"/>
          <w:spacing w:val="10"/>
          <w:kern w:val="0"/>
        </w:rPr>
      </w:pPr>
      <w:r>
        <w:rPr>
          <w:rFonts w:hint="eastAsia"/>
          <w:bCs w:val="0"/>
          <w:spacing w:val="10"/>
          <w:kern w:val="0"/>
        </w:rPr>
        <w:t>（二）人力资源和社会保障部门负责提供居民失业登记和就业创业政策享受情况、缴纳社会保险费以及领取基本养老待遇、失业保险待遇、工伤保险待遇等情况；</w:t>
      </w:r>
    </w:p>
    <w:p>
      <w:pPr>
        <w:pStyle w:val="3"/>
        <w:keepNext w:val="0"/>
        <w:keepLines w:val="0"/>
        <w:adjustRightInd w:val="0"/>
        <w:snapToGrid w:val="0"/>
        <w:spacing w:before="0" w:after="0" w:line="579" w:lineRule="exact"/>
        <w:ind w:firstLine="680" w:firstLineChars="200"/>
        <w:rPr>
          <w:bCs w:val="0"/>
          <w:spacing w:val="10"/>
          <w:kern w:val="0"/>
        </w:rPr>
      </w:pPr>
      <w:r>
        <w:rPr>
          <w:rFonts w:hint="eastAsia"/>
          <w:bCs w:val="0"/>
          <w:spacing w:val="10"/>
          <w:kern w:val="0"/>
        </w:rPr>
        <w:t>（三）住房公积金管理部门负责提供住房公积金的缴纳、提取等情况；</w:t>
      </w:r>
    </w:p>
    <w:p>
      <w:pPr>
        <w:pStyle w:val="3"/>
        <w:keepNext w:val="0"/>
        <w:keepLines w:val="0"/>
        <w:adjustRightInd w:val="0"/>
        <w:snapToGrid w:val="0"/>
        <w:spacing w:before="0" w:after="0" w:line="579" w:lineRule="exact"/>
        <w:ind w:firstLine="680" w:firstLineChars="200"/>
        <w:rPr>
          <w:bCs w:val="0"/>
          <w:spacing w:val="10"/>
          <w:kern w:val="0"/>
        </w:rPr>
      </w:pPr>
      <w:r>
        <w:rPr>
          <w:rFonts w:hint="eastAsia"/>
          <w:bCs w:val="0"/>
          <w:spacing w:val="10"/>
          <w:kern w:val="0"/>
        </w:rPr>
        <w:t>（四）市场监管部门负责提供企业和个体工商户的注册登记、注销以及经营状况等情况；</w:t>
      </w:r>
    </w:p>
    <w:p>
      <w:pPr>
        <w:pStyle w:val="3"/>
        <w:keepNext w:val="0"/>
        <w:keepLines w:val="0"/>
        <w:adjustRightInd w:val="0"/>
        <w:snapToGrid w:val="0"/>
        <w:spacing w:before="0" w:after="0" w:line="579" w:lineRule="exact"/>
        <w:ind w:firstLine="680" w:firstLineChars="200"/>
        <w:rPr>
          <w:bCs w:val="0"/>
          <w:spacing w:val="10"/>
          <w:kern w:val="0"/>
        </w:rPr>
      </w:pPr>
      <w:r>
        <w:rPr>
          <w:rFonts w:hint="eastAsia"/>
          <w:bCs w:val="0"/>
          <w:spacing w:val="10"/>
          <w:kern w:val="0"/>
        </w:rPr>
        <w:t>（五）税务部门负责提供个人、个体工商户、企业的纳税情况；</w:t>
      </w:r>
    </w:p>
    <w:p>
      <w:pPr>
        <w:pStyle w:val="3"/>
        <w:keepNext w:val="0"/>
        <w:keepLines w:val="0"/>
        <w:adjustRightInd w:val="0"/>
        <w:snapToGrid w:val="0"/>
        <w:spacing w:before="0" w:after="0" w:line="579" w:lineRule="exact"/>
        <w:ind w:firstLine="680" w:firstLineChars="200"/>
        <w:rPr>
          <w:bCs w:val="0"/>
          <w:spacing w:val="10"/>
          <w:kern w:val="0"/>
        </w:rPr>
      </w:pPr>
      <w:r>
        <w:rPr>
          <w:rFonts w:hint="eastAsia"/>
          <w:bCs w:val="0"/>
          <w:spacing w:val="10"/>
          <w:kern w:val="0"/>
        </w:rPr>
        <w:t>（六）规划和自然资源部门负责提供不动产登记、交易等情况；</w:t>
      </w:r>
    </w:p>
    <w:p>
      <w:pPr>
        <w:pStyle w:val="3"/>
        <w:keepNext w:val="0"/>
        <w:keepLines w:val="0"/>
        <w:adjustRightInd w:val="0"/>
        <w:snapToGrid w:val="0"/>
        <w:spacing w:before="0" w:after="0" w:line="579" w:lineRule="exact"/>
        <w:ind w:firstLine="680" w:firstLineChars="200"/>
        <w:rPr>
          <w:bCs w:val="0"/>
          <w:spacing w:val="10"/>
          <w:kern w:val="0"/>
        </w:rPr>
      </w:pPr>
      <w:r>
        <w:rPr>
          <w:rFonts w:hint="eastAsia"/>
          <w:bCs w:val="0"/>
          <w:spacing w:val="10"/>
          <w:kern w:val="0"/>
        </w:rPr>
        <w:t>（七）住房和建设部门负责提供享受住房保障、住房出租等情况；</w:t>
      </w:r>
    </w:p>
    <w:p>
      <w:pPr>
        <w:pStyle w:val="3"/>
        <w:keepNext w:val="0"/>
        <w:keepLines w:val="0"/>
        <w:adjustRightInd w:val="0"/>
        <w:snapToGrid w:val="0"/>
        <w:spacing w:before="0" w:after="0" w:line="579" w:lineRule="exact"/>
        <w:ind w:firstLine="680" w:firstLineChars="200"/>
        <w:rPr>
          <w:bCs w:val="0"/>
          <w:spacing w:val="10"/>
          <w:kern w:val="0"/>
        </w:rPr>
      </w:pPr>
      <w:r>
        <w:rPr>
          <w:rFonts w:hint="eastAsia"/>
          <w:bCs w:val="0"/>
          <w:spacing w:val="10"/>
          <w:kern w:val="0"/>
        </w:rPr>
        <w:t>（八）公安机关负责提供户籍人口、机动车辆登记等情况；</w:t>
      </w:r>
    </w:p>
    <w:p>
      <w:pPr>
        <w:pStyle w:val="3"/>
        <w:keepNext w:val="0"/>
        <w:keepLines w:val="0"/>
        <w:adjustRightInd w:val="0"/>
        <w:snapToGrid w:val="0"/>
        <w:spacing w:before="0" w:after="0" w:line="579" w:lineRule="exact"/>
        <w:ind w:firstLine="680" w:firstLineChars="200"/>
        <w:rPr>
          <w:bCs w:val="0"/>
          <w:spacing w:val="10"/>
          <w:kern w:val="0"/>
        </w:rPr>
      </w:pPr>
      <w:r>
        <w:rPr>
          <w:rFonts w:hint="eastAsia"/>
          <w:bCs w:val="0"/>
          <w:spacing w:val="10"/>
          <w:kern w:val="0"/>
        </w:rPr>
        <w:t>（九）教育部门负责提供就学、学籍情况；</w:t>
      </w:r>
    </w:p>
    <w:p>
      <w:pPr>
        <w:pStyle w:val="3"/>
        <w:keepNext w:val="0"/>
        <w:keepLines w:val="0"/>
        <w:adjustRightInd w:val="0"/>
        <w:snapToGrid w:val="0"/>
        <w:spacing w:before="0" w:after="0" w:line="579" w:lineRule="exact"/>
        <w:ind w:firstLine="680" w:firstLineChars="200"/>
        <w:rPr>
          <w:bCs w:val="0"/>
          <w:spacing w:val="10"/>
          <w:kern w:val="0"/>
        </w:rPr>
      </w:pPr>
      <w:r>
        <w:rPr>
          <w:rFonts w:hint="eastAsia"/>
          <w:bCs w:val="0"/>
          <w:spacing w:val="10"/>
          <w:kern w:val="0"/>
        </w:rPr>
        <w:t>（十）文体旅游部门负责提供体育彩票中奖情况；</w:t>
      </w:r>
    </w:p>
    <w:p>
      <w:pPr>
        <w:pStyle w:val="3"/>
        <w:keepNext w:val="0"/>
        <w:keepLines w:val="0"/>
        <w:adjustRightInd w:val="0"/>
        <w:snapToGrid w:val="0"/>
        <w:spacing w:before="0" w:after="0" w:line="579" w:lineRule="exact"/>
        <w:ind w:firstLine="680" w:firstLineChars="200"/>
        <w:rPr>
          <w:bCs w:val="0"/>
          <w:spacing w:val="10"/>
          <w:kern w:val="0"/>
        </w:rPr>
      </w:pPr>
      <w:r>
        <w:rPr>
          <w:rFonts w:hint="eastAsia"/>
          <w:bCs w:val="0"/>
          <w:spacing w:val="10"/>
          <w:kern w:val="0"/>
        </w:rPr>
        <w:t>（十一）海事部门负责提供船舶登记、价值等情况；</w:t>
      </w:r>
    </w:p>
    <w:p>
      <w:pPr>
        <w:pStyle w:val="3"/>
        <w:keepNext w:val="0"/>
        <w:keepLines w:val="0"/>
        <w:adjustRightInd w:val="0"/>
        <w:snapToGrid w:val="0"/>
        <w:spacing w:before="0" w:after="0" w:line="579" w:lineRule="exact"/>
        <w:ind w:firstLine="680" w:firstLineChars="200"/>
        <w:rPr>
          <w:bCs w:val="0"/>
          <w:spacing w:val="10"/>
          <w:kern w:val="0"/>
        </w:rPr>
      </w:pPr>
      <w:r>
        <w:rPr>
          <w:rFonts w:hint="eastAsia"/>
          <w:bCs w:val="0"/>
          <w:spacing w:val="10"/>
          <w:kern w:val="0"/>
        </w:rPr>
        <w:t>（十二）商业银行机构负责提供银行存款、理财产品、贵金属、外汇、债券、利息及支出等情况；</w:t>
      </w:r>
    </w:p>
    <w:p>
      <w:pPr>
        <w:pStyle w:val="3"/>
        <w:keepNext w:val="0"/>
        <w:keepLines w:val="0"/>
        <w:adjustRightInd w:val="0"/>
        <w:snapToGrid w:val="0"/>
        <w:spacing w:before="0" w:after="0" w:line="579" w:lineRule="exact"/>
        <w:ind w:firstLine="680" w:firstLineChars="200"/>
        <w:rPr>
          <w:bCs w:val="0"/>
          <w:spacing w:val="10"/>
          <w:kern w:val="0"/>
        </w:rPr>
      </w:pPr>
      <w:r>
        <w:rPr>
          <w:rFonts w:hint="eastAsia"/>
          <w:bCs w:val="0"/>
          <w:spacing w:val="10"/>
          <w:kern w:val="0"/>
        </w:rPr>
        <w:t>（十三）证券机构负责提供股票、基金、债券等情况；</w:t>
      </w:r>
    </w:p>
    <w:p>
      <w:pPr>
        <w:pStyle w:val="3"/>
        <w:keepNext w:val="0"/>
        <w:keepLines w:val="0"/>
        <w:adjustRightInd w:val="0"/>
        <w:snapToGrid w:val="0"/>
        <w:spacing w:before="0" w:after="0" w:line="579" w:lineRule="exact"/>
        <w:ind w:firstLine="680" w:firstLineChars="200"/>
        <w:rPr>
          <w:bCs w:val="0"/>
          <w:spacing w:val="10"/>
          <w:kern w:val="0"/>
        </w:rPr>
      </w:pPr>
      <w:r>
        <w:rPr>
          <w:rFonts w:hint="eastAsia"/>
          <w:bCs w:val="0"/>
          <w:spacing w:val="10"/>
          <w:kern w:val="0"/>
        </w:rPr>
        <w:t>（十四）保险机构负责提供购买的商业保险价值、保险收益、理赔、缴费等情况；</w:t>
      </w:r>
    </w:p>
    <w:p>
      <w:pPr>
        <w:pStyle w:val="3"/>
        <w:keepNext w:val="0"/>
        <w:keepLines w:val="0"/>
        <w:adjustRightInd w:val="0"/>
        <w:snapToGrid w:val="0"/>
        <w:spacing w:before="0" w:after="0" w:line="579" w:lineRule="exact"/>
        <w:ind w:firstLine="680" w:firstLineChars="200"/>
        <w:rPr>
          <w:bCs w:val="0"/>
          <w:spacing w:val="10"/>
          <w:kern w:val="0"/>
        </w:rPr>
      </w:pPr>
      <w:r>
        <w:rPr>
          <w:rFonts w:hint="eastAsia"/>
          <w:bCs w:val="0"/>
          <w:spacing w:val="10"/>
          <w:kern w:val="0"/>
        </w:rPr>
        <w:t>（十五）其他有关部门或单位根据核对工作开展的需要提供相关信息。</w:t>
      </w:r>
    </w:p>
    <w:p>
      <w:pPr>
        <w:pStyle w:val="3"/>
        <w:keepNext w:val="0"/>
        <w:keepLines w:val="0"/>
        <w:adjustRightInd w:val="0"/>
        <w:snapToGrid w:val="0"/>
        <w:spacing w:before="0" w:after="0" w:line="579" w:lineRule="exact"/>
        <w:ind w:firstLine="680" w:firstLineChars="200"/>
        <w:rPr>
          <w:bCs w:val="0"/>
          <w:spacing w:val="10"/>
          <w:kern w:val="0"/>
        </w:rPr>
      </w:pPr>
      <w:r>
        <w:rPr>
          <w:rFonts w:hint="eastAsia"/>
          <w:bCs w:val="0"/>
          <w:spacing w:val="10"/>
          <w:kern w:val="0"/>
        </w:rPr>
        <w:t>以上信息提供部门统称为数据源提供部门。</w:t>
      </w:r>
    </w:p>
    <w:p>
      <w:pPr>
        <w:pStyle w:val="3"/>
        <w:keepNext w:val="0"/>
        <w:keepLines w:val="0"/>
        <w:adjustRightInd w:val="0"/>
        <w:snapToGrid w:val="0"/>
        <w:spacing w:before="0" w:after="0" w:line="579" w:lineRule="exact"/>
        <w:ind w:firstLine="680" w:firstLineChars="200"/>
        <w:rPr>
          <w:bCs w:val="0"/>
          <w:spacing w:val="10"/>
          <w:kern w:val="0"/>
        </w:rPr>
      </w:pPr>
      <w:r>
        <w:rPr>
          <w:rFonts w:hint="eastAsia"/>
          <w:bCs w:val="0"/>
          <w:spacing w:val="10"/>
          <w:kern w:val="0"/>
        </w:rPr>
        <w:t>核对机构应当与各数据源提供部门具体协商数据提供的方式、规范及标准。数据源提供部门应当配合做好有关数据与核对系统的有效对接，充分应用大数据开展信息化查询、比对。</w:t>
      </w:r>
    </w:p>
    <w:p>
      <w:pPr>
        <w:spacing w:line="579" w:lineRule="exact"/>
        <w:ind w:firstLine="640"/>
        <w:rPr>
          <w:rFonts w:hint="eastAsia" w:ascii="仿宋_GB2312" w:eastAsia="仿宋_GB2312"/>
          <w:sz w:val="32"/>
          <w:szCs w:val="32"/>
        </w:rPr>
      </w:pPr>
      <w:r>
        <w:rPr>
          <w:rFonts w:hint="eastAsia" w:ascii="仿宋_GB2312" w:eastAsia="仿宋_GB2312"/>
          <w:sz w:val="32"/>
          <w:szCs w:val="32"/>
        </w:rPr>
        <w:t>数据源提供部门应当确保所提供的信息真实、完整、有效。</w:t>
      </w:r>
    </w:p>
    <w:p>
      <w:pPr>
        <w:pStyle w:val="2"/>
        <w:keepNext w:val="0"/>
        <w:keepLines w:val="0"/>
        <w:adjustRightInd w:val="0"/>
        <w:snapToGrid w:val="0"/>
        <w:spacing w:before="0" w:after="0" w:line="579" w:lineRule="exact"/>
        <w:rPr>
          <w:rFonts w:ascii="Times New Roman" w:hAnsi="Times New Roman"/>
          <w:b w:val="0"/>
          <w:bCs w:val="0"/>
          <w:spacing w:val="10"/>
          <w:kern w:val="0"/>
          <w:sz w:val="32"/>
          <w:szCs w:val="22"/>
        </w:rPr>
      </w:pPr>
    </w:p>
    <w:p>
      <w:pPr>
        <w:pStyle w:val="2"/>
        <w:keepNext w:val="0"/>
        <w:keepLines w:val="0"/>
        <w:adjustRightInd w:val="0"/>
        <w:snapToGrid w:val="0"/>
        <w:spacing w:before="0" w:after="0" w:line="579" w:lineRule="exact"/>
        <w:jc w:val="center"/>
        <w:rPr>
          <w:rFonts w:ascii="黑体" w:hAnsi="黑体" w:eastAsia="黑体"/>
          <w:b w:val="0"/>
          <w:spacing w:val="10"/>
          <w:kern w:val="0"/>
          <w:sz w:val="32"/>
          <w:szCs w:val="32"/>
        </w:rPr>
      </w:pPr>
      <w:r>
        <w:rPr>
          <w:rFonts w:hint="eastAsia" w:ascii="黑体" w:hAnsi="黑体" w:eastAsia="黑体"/>
          <w:b w:val="0"/>
          <w:spacing w:val="10"/>
          <w:kern w:val="0"/>
          <w:sz w:val="32"/>
          <w:szCs w:val="32"/>
        </w:rPr>
        <w:t>第五章  核对程序</w:t>
      </w:r>
    </w:p>
    <w:p>
      <w:pPr>
        <w:adjustRightInd w:val="0"/>
        <w:snapToGrid w:val="0"/>
        <w:spacing w:line="579" w:lineRule="exact"/>
        <w:jc w:val="center"/>
        <w:rPr>
          <w:kern w:val="0"/>
        </w:rPr>
      </w:pPr>
    </w:p>
    <w:p>
      <w:pPr>
        <w:pStyle w:val="3"/>
        <w:keepNext w:val="0"/>
        <w:keepLines w:val="0"/>
        <w:adjustRightInd w:val="0"/>
        <w:snapToGrid w:val="0"/>
        <w:spacing w:before="0" w:after="0" w:line="579" w:lineRule="exact"/>
        <w:ind w:firstLine="680" w:firstLineChars="200"/>
        <w:rPr>
          <w:spacing w:val="10"/>
          <w:kern w:val="0"/>
        </w:rPr>
      </w:pPr>
      <w:r>
        <w:rPr>
          <w:rStyle w:val="7"/>
          <w:rFonts w:hint="eastAsia"/>
          <w:bCs w:val="0"/>
          <w:spacing w:val="10"/>
          <w:kern w:val="0"/>
        </w:rPr>
        <w:t>第十九条【核对报告】</w:t>
      </w:r>
      <w:r>
        <w:rPr>
          <w:rFonts w:hint="eastAsia"/>
          <w:spacing w:val="10"/>
          <w:kern w:val="0"/>
        </w:rPr>
        <w:t>核对机构接受核对委托后，应当在30个工作日完成核对，向委托部门出具《深圳市居民家庭经济状况核对报告》。委托部门收到《深圳市居民家庭经济状况核对报告》后，应当在5个工作日内将核对结果告知核对对象。核对对象对核对结果没有异议的，委托部门应当将核对结果作为审批（确认）的参考。</w:t>
      </w:r>
    </w:p>
    <w:p>
      <w:pPr>
        <w:pStyle w:val="3"/>
        <w:keepNext w:val="0"/>
        <w:keepLines w:val="0"/>
        <w:adjustRightInd w:val="0"/>
        <w:snapToGrid w:val="0"/>
        <w:spacing w:before="0" w:after="0" w:line="579" w:lineRule="exact"/>
        <w:ind w:firstLine="680" w:firstLineChars="200"/>
        <w:rPr>
          <w:spacing w:val="10"/>
          <w:kern w:val="0"/>
        </w:rPr>
      </w:pPr>
      <w:bookmarkStart w:id="12" w:name="_Hlk9014542"/>
      <w:r>
        <w:rPr>
          <w:rStyle w:val="7"/>
          <w:rFonts w:hint="eastAsia"/>
          <w:bCs w:val="0"/>
          <w:spacing w:val="10"/>
          <w:kern w:val="0"/>
        </w:rPr>
        <w:t>第二十条【复核情形】</w:t>
      </w:r>
      <w:bookmarkEnd w:id="12"/>
      <w:r>
        <w:rPr>
          <w:rFonts w:hint="eastAsia"/>
          <w:bCs w:val="0"/>
          <w:spacing w:val="10"/>
          <w:kern w:val="0"/>
        </w:rPr>
        <w:t>核对工作存在下列情形之一的，核对机构</w:t>
      </w:r>
      <w:r>
        <w:rPr>
          <w:rFonts w:hint="eastAsia"/>
          <w:spacing w:val="10"/>
          <w:kern w:val="0"/>
        </w:rPr>
        <w:t>应当对核对结果开展复核工作：</w:t>
      </w:r>
    </w:p>
    <w:p>
      <w:pPr>
        <w:pStyle w:val="3"/>
        <w:keepNext w:val="0"/>
        <w:keepLines w:val="0"/>
        <w:adjustRightInd w:val="0"/>
        <w:snapToGrid w:val="0"/>
        <w:spacing w:before="0" w:after="0" w:line="579" w:lineRule="exact"/>
        <w:ind w:firstLine="680" w:firstLineChars="200"/>
        <w:rPr>
          <w:bCs w:val="0"/>
          <w:spacing w:val="10"/>
          <w:kern w:val="0"/>
        </w:rPr>
      </w:pPr>
      <w:r>
        <w:rPr>
          <w:rFonts w:hint="eastAsia"/>
          <w:bCs w:val="0"/>
          <w:spacing w:val="10"/>
          <w:kern w:val="0"/>
        </w:rPr>
        <w:t>（一）核对对象对核对结果有异议的；</w:t>
      </w:r>
    </w:p>
    <w:p>
      <w:pPr>
        <w:pStyle w:val="3"/>
        <w:keepNext w:val="0"/>
        <w:keepLines w:val="0"/>
        <w:adjustRightInd w:val="0"/>
        <w:snapToGrid w:val="0"/>
        <w:spacing w:before="0" w:after="0" w:line="579" w:lineRule="exact"/>
        <w:ind w:firstLine="680" w:firstLineChars="200"/>
        <w:rPr>
          <w:bCs w:val="0"/>
          <w:spacing w:val="10"/>
          <w:kern w:val="0"/>
        </w:rPr>
      </w:pPr>
      <w:r>
        <w:rPr>
          <w:rFonts w:hint="eastAsia"/>
          <w:bCs w:val="0"/>
          <w:spacing w:val="10"/>
          <w:kern w:val="0"/>
        </w:rPr>
        <w:t>（二）核对对象资格公示期间群众对核对结果提出异议的；</w:t>
      </w:r>
    </w:p>
    <w:p>
      <w:pPr>
        <w:pStyle w:val="3"/>
        <w:keepNext w:val="0"/>
        <w:keepLines w:val="0"/>
        <w:adjustRightInd w:val="0"/>
        <w:snapToGrid w:val="0"/>
        <w:spacing w:before="0" w:after="0" w:line="579" w:lineRule="exact"/>
        <w:ind w:firstLine="680" w:firstLineChars="200"/>
        <w:rPr>
          <w:spacing w:val="10"/>
          <w:kern w:val="0"/>
        </w:rPr>
      </w:pPr>
      <w:r>
        <w:rPr>
          <w:rFonts w:hint="eastAsia"/>
          <w:bCs w:val="0"/>
          <w:spacing w:val="10"/>
          <w:kern w:val="0"/>
        </w:rPr>
        <w:t>（三）核对机构根据法律法规规章及相关规定需要</w:t>
      </w:r>
      <w:r>
        <w:rPr>
          <w:rFonts w:hint="eastAsia"/>
          <w:spacing w:val="10"/>
          <w:kern w:val="0"/>
        </w:rPr>
        <w:t>复核的其他情形。</w:t>
      </w:r>
    </w:p>
    <w:p>
      <w:pPr>
        <w:pStyle w:val="3"/>
        <w:keepNext w:val="0"/>
        <w:keepLines w:val="0"/>
        <w:adjustRightInd w:val="0"/>
        <w:snapToGrid w:val="0"/>
        <w:spacing w:before="0" w:after="0" w:line="579" w:lineRule="exact"/>
        <w:ind w:firstLine="680" w:firstLineChars="200"/>
        <w:rPr>
          <w:bCs w:val="0"/>
          <w:spacing w:val="10"/>
          <w:kern w:val="0"/>
        </w:rPr>
      </w:pPr>
      <w:r>
        <w:rPr>
          <w:rStyle w:val="7"/>
          <w:rFonts w:hint="eastAsia"/>
          <w:bCs w:val="0"/>
          <w:spacing w:val="10"/>
          <w:kern w:val="0"/>
        </w:rPr>
        <w:t>第二十一条【复核工作】</w:t>
      </w:r>
      <w:r>
        <w:rPr>
          <w:rFonts w:hint="eastAsia"/>
          <w:spacing w:val="10"/>
          <w:kern w:val="0"/>
        </w:rPr>
        <w:t>核对对象对核对结果提出异议的，应当自收到核对结果之日起5个工作日内，向委托部门申</w:t>
      </w:r>
      <w:r>
        <w:rPr>
          <w:rFonts w:hint="eastAsia"/>
          <w:bCs w:val="0"/>
          <w:spacing w:val="10"/>
          <w:kern w:val="0"/>
        </w:rPr>
        <w:t>请复核并提供相关证明文件或材料。</w:t>
      </w:r>
    </w:p>
    <w:p>
      <w:pPr>
        <w:pStyle w:val="3"/>
        <w:keepNext w:val="0"/>
        <w:keepLines w:val="0"/>
        <w:adjustRightInd w:val="0"/>
        <w:snapToGrid w:val="0"/>
        <w:spacing w:before="0" w:after="0" w:line="579" w:lineRule="exact"/>
        <w:ind w:firstLine="680" w:firstLineChars="200"/>
        <w:rPr>
          <w:spacing w:val="10"/>
          <w:kern w:val="0"/>
        </w:rPr>
      </w:pPr>
      <w:r>
        <w:rPr>
          <w:rFonts w:hint="eastAsia"/>
          <w:spacing w:val="10"/>
          <w:kern w:val="0"/>
        </w:rPr>
        <w:t>委托部门受理复核申请后，或存在本办法第二十条情形之一，认为需要委托核对机构开展复核的，应当向市核对机构出具书面复核委托书。</w:t>
      </w:r>
    </w:p>
    <w:p>
      <w:pPr>
        <w:pStyle w:val="3"/>
        <w:keepNext w:val="0"/>
        <w:keepLines w:val="0"/>
        <w:adjustRightInd w:val="0"/>
        <w:snapToGrid w:val="0"/>
        <w:spacing w:before="0" w:after="0" w:line="579" w:lineRule="exact"/>
        <w:ind w:firstLine="680" w:firstLineChars="200"/>
        <w:rPr>
          <w:spacing w:val="10"/>
          <w:kern w:val="0"/>
        </w:rPr>
      </w:pPr>
      <w:r>
        <w:rPr>
          <w:rFonts w:hint="eastAsia"/>
          <w:spacing w:val="10"/>
          <w:kern w:val="0"/>
        </w:rPr>
        <w:t>市核对机构应当在接受复核委托后60个工作日内完成复核工作，向委托部门出具《深圳市居民家庭经济状况核对复核报告》。委托部门应当自收到复核报告之日起5个工作日内将复核结果告知核对对象或异议群众。</w:t>
      </w:r>
    </w:p>
    <w:p>
      <w:pPr>
        <w:pStyle w:val="3"/>
        <w:keepNext w:val="0"/>
        <w:keepLines w:val="0"/>
        <w:adjustRightInd w:val="0"/>
        <w:snapToGrid w:val="0"/>
        <w:spacing w:before="0" w:after="0" w:line="579" w:lineRule="exact"/>
        <w:ind w:firstLine="680" w:firstLineChars="200"/>
        <w:rPr>
          <w:spacing w:val="10"/>
          <w:kern w:val="0"/>
        </w:rPr>
      </w:pPr>
      <w:r>
        <w:rPr>
          <w:rFonts w:hint="eastAsia"/>
          <w:spacing w:val="10"/>
          <w:kern w:val="0"/>
        </w:rPr>
        <w:t>复核结果是居民家庭经济状况核对的最终结果，委托部门应当将复核结果作为审批的参考。</w:t>
      </w:r>
    </w:p>
    <w:p>
      <w:pPr>
        <w:pStyle w:val="3"/>
        <w:keepNext w:val="0"/>
        <w:keepLines w:val="0"/>
        <w:adjustRightInd w:val="0"/>
        <w:snapToGrid w:val="0"/>
        <w:spacing w:before="0" w:after="0" w:line="579" w:lineRule="exact"/>
        <w:ind w:firstLine="680" w:firstLineChars="200"/>
        <w:rPr>
          <w:spacing w:val="10"/>
          <w:kern w:val="0"/>
        </w:rPr>
      </w:pPr>
      <w:r>
        <w:rPr>
          <w:rFonts w:hint="eastAsia"/>
          <w:spacing w:val="10"/>
          <w:kern w:val="0"/>
        </w:rPr>
        <w:t>复核工作</w:t>
      </w:r>
      <w:r>
        <w:rPr>
          <w:rFonts w:hint="eastAsia"/>
          <w:color w:val="000000"/>
          <w:spacing w:val="10"/>
          <w:kern w:val="0"/>
        </w:rPr>
        <w:t>可以</w:t>
      </w:r>
      <w:r>
        <w:rPr>
          <w:rFonts w:hint="eastAsia"/>
          <w:spacing w:val="10"/>
          <w:kern w:val="0"/>
        </w:rPr>
        <w:t>通过信息化核对方式及其他合法方式进行，有关单位、组织和个人应当配合。</w:t>
      </w:r>
    </w:p>
    <w:p>
      <w:pPr>
        <w:pStyle w:val="3"/>
        <w:keepNext w:val="0"/>
        <w:keepLines w:val="0"/>
        <w:adjustRightInd w:val="0"/>
        <w:snapToGrid w:val="0"/>
        <w:spacing w:before="0" w:after="0" w:line="579" w:lineRule="exact"/>
        <w:ind w:firstLine="680" w:firstLineChars="200"/>
        <w:rPr>
          <w:spacing w:val="10"/>
          <w:kern w:val="0"/>
        </w:rPr>
      </w:pPr>
      <w:r>
        <w:rPr>
          <w:rStyle w:val="7"/>
          <w:rFonts w:hint="eastAsia"/>
          <w:bCs w:val="0"/>
          <w:spacing w:val="10"/>
          <w:kern w:val="0"/>
        </w:rPr>
        <w:t>第二十二条【中止核对】</w:t>
      </w:r>
      <w:r>
        <w:rPr>
          <w:rFonts w:hint="eastAsia"/>
          <w:spacing w:val="10"/>
          <w:kern w:val="0"/>
        </w:rPr>
        <w:t>核对资料不符合规定的，核对机构应当中止核对，并将相关情况反馈委托部门。委托部门应当及时告知核对对象在20个工作日内补齐核对资料，并在3个工作日内将核对资料移交核对机构。</w:t>
      </w:r>
    </w:p>
    <w:p>
      <w:pPr>
        <w:pStyle w:val="3"/>
        <w:keepNext w:val="0"/>
        <w:keepLines w:val="0"/>
        <w:adjustRightInd w:val="0"/>
        <w:snapToGrid w:val="0"/>
        <w:spacing w:before="0" w:after="0" w:line="579" w:lineRule="exact"/>
        <w:ind w:firstLine="680" w:firstLineChars="200"/>
        <w:rPr>
          <w:spacing w:val="10"/>
          <w:kern w:val="0"/>
        </w:rPr>
      </w:pPr>
      <w:r>
        <w:rPr>
          <w:rFonts w:hint="eastAsia"/>
          <w:spacing w:val="10"/>
          <w:kern w:val="0"/>
        </w:rPr>
        <w:t>由于网络、设备以及技术故障等不可抗力因素导致核对机构无法在规定时间内完成核对的，核对中止。</w:t>
      </w:r>
    </w:p>
    <w:p>
      <w:pPr>
        <w:pStyle w:val="3"/>
        <w:keepNext w:val="0"/>
        <w:keepLines w:val="0"/>
        <w:adjustRightInd w:val="0"/>
        <w:snapToGrid w:val="0"/>
        <w:spacing w:before="0" w:after="0" w:line="579" w:lineRule="exact"/>
        <w:ind w:firstLine="680" w:firstLineChars="200"/>
        <w:rPr>
          <w:spacing w:val="10"/>
          <w:kern w:val="0"/>
        </w:rPr>
      </w:pPr>
      <w:r>
        <w:rPr>
          <w:rFonts w:hint="eastAsia"/>
          <w:spacing w:val="10"/>
          <w:kern w:val="0"/>
        </w:rPr>
        <w:t>核对对象按要求补齐核对资料或者不可抗力因素消失后，核对时间继续计算。</w:t>
      </w:r>
      <w:bookmarkStart w:id="13" w:name="_Hlk9015362"/>
    </w:p>
    <w:p>
      <w:pPr>
        <w:pStyle w:val="3"/>
        <w:keepNext w:val="0"/>
        <w:keepLines w:val="0"/>
        <w:adjustRightInd w:val="0"/>
        <w:snapToGrid w:val="0"/>
        <w:spacing w:before="0" w:after="0" w:line="579" w:lineRule="exact"/>
        <w:ind w:firstLine="680" w:firstLineChars="200"/>
        <w:rPr>
          <w:bCs w:val="0"/>
          <w:spacing w:val="10"/>
          <w:kern w:val="0"/>
        </w:rPr>
      </w:pPr>
      <w:r>
        <w:rPr>
          <w:rStyle w:val="7"/>
          <w:rFonts w:hint="eastAsia"/>
          <w:bCs w:val="0"/>
          <w:spacing w:val="10"/>
          <w:kern w:val="0"/>
        </w:rPr>
        <w:t>第二十三条【终止核对】</w:t>
      </w:r>
      <w:bookmarkEnd w:id="13"/>
      <w:r>
        <w:rPr>
          <w:rFonts w:hint="eastAsia"/>
          <w:bCs w:val="0"/>
          <w:spacing w:val="10"/>
          <w:kern w:val="0"/>
        </w:rPr>
        <w:t>核对对象存在下列情形之一的，核对机构应当终止核对，并书面告知委托部门：</w:t>
      </w:r>
    </w:p>
    <w:p>
      <w:pPr>
        <w:pStyle w:val="3"/>
        <w:keepNext w:val="0"/>
        <w:keepLines w:val="0"/>
        <w:adjustRightInd w:val="0"/>
        <w:snapToGrid w:val="0"/>
        <w:spacing w:before="0" w:after="0" w:line="579" w:lineRule="exact"/>
        <w:ind w:firstLine="680" w:firstLineChars="200"/>
        <w:rPr>
          <w:bCs w:val="0"/>
          <w:spacing w:val="10"/>
          <w:kern w:val="0"/>
        </w:rPr>
      </w:pPr>
      <w:r>
        <w:rPr>
          <w:rFonts w:hint="eastAsia"/>
          <w:spacing w:val="10"/>
          <w:kern w:val="0"/>
        </w:rPr>
        <w:t>（一）</w:t>
      </w:r>
      <w:r>
        <w:rPr>
          <w:rFonts w:hint="eastAsia"/>
          <w:bCs w:val="0"/>
          <w:spacing w:val="10"/>
          <w:kern w:val="0"/>
        </w:rPr>
        <w:t>阻碍核对机构开展核对和认定工作行为；</w:t>
      </w:r>
    </w:p>
    <w:p>
      <w:pPr>
        <w:pStyle w:val="3"/>
        <w:keepNext w:val="0"/>
        <w:keepLines w:val="0"/>
        <w:adjustRightInd w:val="0"/>
        <w:snapToGrid w:val="0"/>
        <w:spacing w:before="0" w:after="0" w:line="579" w:lineRule="exact"/>
        <w:ind w:firstLine="680" w:firstLineChars="200"/>
        <w:rPr>
          <w:bCs w:val="0"/>
          <w:spacing w:val="10"/>
          <w:kern w:val="0"/>
        </w:rPr>
      </w:pPr>
      <w:r>
        <w:rPr>
          <w:rFonts w:hint="eastAsia"/>
          <w:bCs w:val="0"/>
          <w:spacing w:val="10"/>
          <w:kern w:val="0"/>
        </w:rPr>
        <w:t>（二）虚报、瞒报、提供虚假证明材料；</w:t>
      </w:r>
    </w:p>
    <w:p>
      <w:pPr>
        <w:adjustRightInd w:val="0"/>
        <w:snapToGrid w:val="0"/>
        <w:spacing w:line="579" w:lineRule="exact"/>
        <w:ind w:left="680"/>
        <w:rPr>
          <w:rFonts w:hint="eastAsia" w:ascii="仿宋_GB2312" w:eastAsia="仿宋_GB2312"/>
          <w:bCs/>
          <w:kern w:val="0"/>
          <w:sz w:val="32"/>
          <w:szCs w:val="32"/>
        </w:rPr>
      </w:pPr>
      <w:r>
        <w:rPr>
          <w:rFonts w:hint="eastAsia" w:ascii="仿宋_GB2312" w:eastAsia="仿宋_GB2312"/>
          <w:bCs/>
          <w:kern w:val="0"/>
          <w:sz w:val="32"/>
          <w:szCs w:val="32"/>
        </w:rPr>
        <w:t>（三）违法转移财产；</w:t>
      </w:r>
    </w:p>
    <w:p>
      <w:pPr>
        <w:adjustRightInd w:val="0"/>
        <w:snapToGrid w:val="0"/>
        <w:spacing w:line="579" w:lineRule="exact"/>
        <w:ind w:firstLine="640" w:firstLineChars="200"/>
        <w:rPr>
          <w:rFonts w:hint="eastAsia" w:ascii="仿宋_GB2312" w:eastAsia="仿宋_GB2312"/>
          <w:bCs/>
          <w:kern w:val="0"/>
          <w:sz w:val="32"/>
          <w:szCs w:val="32"/>
        </w:rPr>
      </w:pPr>
      <w:r>
        <w:rPr>
          <w:rFonts w:hint="eastAsia" w:ascii="仿宋_GB2312" w:hAnsi="仿宋_GB2312" w:eastAsia="仿宋_GB2312" w:cs="仿宋_GB2312"/>
          <w:kern w:val="0"/>
          <w:sz w:val="32"/>
          <w:szCs w:val="32"/>
        </w:rPr>
        <w:t>（四）核对机构根据法律法规规章有关规定</w:t>
      </w:r>
      <w:r>
        <w:rPr>
          <w:rFonts w:hint="eastAsia" w:ascii="仿宋_GB2312" w:eastAsia="仿宋_GB2312"/>
          <w:bCs/>
          <w:kern w:val="0"/>
          <w:sz w:val="32"/>
          <w:szCs w:val="32"/>
        </w:rPr>
        <w:t>终止核对的其他情形。</w:t>
      </w:r>
    </w:p>
    <w:p>
      <w:pPr>
        <w:adjustRightInd w:val="0"/>
        <w:snapToGrid w:val="0"/>
        <w:spacing w:line="57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核对对象主动申请撤销授权委托核对或无正当理由逾期未补充核对资料的，委托部门应当及时书面告知核对机构终止核对。</w:t>
      </w:r>
    </w:p>
    <w:p>
      <w:pPr>
        <w:adjustRightInd w:val="0"/>
        <w:snapToGrid w:val="0"/>
        <w:spacing w:line="579" w:lineRule="exact"/>
        <w:rPr>
          <w:bCs/>
          <w:kern w:val="0"/>
        </w:rPr>
      </w:pPr>
    </w:p>
    <w:p>
      <w:pPr>
        <w:pStyle w:val="2"/>
        <w:keepNext w:val="0"/>
        <w:keepLines w:val="0"/>
        <w:adjustRightInd w:val="0"/>
        <w:snapToGrid w:val="0"/>
        <w:spacing w:before="0" w:after="0" w:line="579" w:lineRule="exact"/>
        <w:jc w:val="center"/>
        <w:rPr>
          <w:rFonts w:ascii="黑体" w:hAnsi="黑体" w:eastAsia="黑体"/>
          <w:b w:val="0"/>
          <w:spacing w:val="10"/>
          <w:kern w:val="0"/>
          <w:sz w:val="32"/>
          <w:szCs w:val="32"/>
        </w:rPr>
      </w:pPr>
      <w:r>
        <w:rPr>
          <w:rFonts w:hint="eastAsia" w:ascii="黑体" w:hAnsi="黑体" w:eastAsia="黑体"/>
          <w:b w:val="0"/>
          <w:spacing w:val="10"/>
          <w:kern w:val="0"/>
          <w:sz w:val="32"/>
          <w:szCs w:val="32"/>
        </w:rPr>
        <w:t>第六章  核对工作管理</w:t>
      </w:r>
    </w:p>
    <w:p>
      <w:pPr>
        <w:adjustRightInd w:val="0"/>
        <w:snapToGrid w:val="0"/>
        <w:spacing w:line="579" w:lineRule="exact"/>
        <w:jc w:val="center"/>
        <w:rPr>
          <w:kern w:val="0"/>
        </w:rPr>
      </w:pPr>
    </w:p>
    <w:p>
      <w:pPr>
        <w:pStyle w:val="3"/>
        <w:keepNext w:val="0"/>
        <w:keepLines w:val="0"/>
        <w:adjustRightInd w:val="0"/>
        <w:snapToGrid w:val="0"/>
        <w:spacing w:before="0" w:after="0" w:line="579" w:lineRule="exact"/>
        <w:ind w:firstLine="680" w:firstLineChars="200"/>
        <w:rPr>
          <w:bCs w:val="0"/>
          <w:spacing w:val="10"/>
          <w:kern w:val="0"/>
        </w:rPr>
      </w:pPr>
      <w:r>
        <w:rPr>
          <w:rStyle w:val="7"/>
          <w:rFonts w:hint="eastAsia"/>
          <w:bCs w:val="0"/>
          <w:spacing w:val="10"/>
          <w:kern w:val="0"/>
        </w:rPr>
        <w:t>第二十四条【核对制度】</w:t>
      </w:r>
      <w:r>
        <w:rPr>
          <w:rFonts w:hint="eastAsia"/>
          <w:bCs w:val="0"/>
          <w:spacing w:val="10"/>
          <w:kern w:val="0"/>
        </w:rPr>
        <w:t>居民家庭经济状况核对工作的相关工作制度、工作流程由委托部门会同核对机构另行制订。</w:t>
      </w:r>
    </w:p>
    <w:p>
      <w:pPr>
        <w:pStyle w:val="3"/>
        <w:keepNext w:val="0"/>
        <w:keepLines w:val="0"/>
        <w:adjustRightInd w:val="0"/>
        <w:snapToGrid w:val="0"/>
        <w:spacing w:before="0" w:after="0" w:line="579" w:lineRule="exact"/>
        <w:ind w:firstLine="680" w:firstLineChars="200"/>
        <w:rPr>
          <w:spacing w:val="10"/>
          <w:kern w:val="0"/>
        </w:rPr>
      </w:pPr>
      <w:r>
        <w:rPr>
          <w:rStyle w:val="7"/>
          <w:rFonts w:hint="eastAsia"/>
          <w:bCs w:val="0"/>
          <w:spacing w:val="10"/>
          <w:kern w:val="0"/>
        </w:rPr>
        <w:t>第二十五条【核对信息平台】</w:t>
      </w:r>
      <w:r>
        <w:rPr>
          <w:rFonts w:hint="eastAsia"/>
          <w:spacing w:val="10"/>
          <w:kern w:val="0"/>
        </w:rPr>
        <w:t>市核对机构应当根据核对工作要求，建立本市居民家庭经济状况核对信息平台，规范化核对信息传送或者交换机制，整合政府各部门和金融机构的数据信息，实现自动比对的技术模式，建立信息共享长效机制，并通过信息安全技术和制定信息安全制度保障核对信息的安全。</w:t>
      </w:r>
    </w:p>
    <w:p>
      <w:pPr>
        <w:pStyle w:val="3"/>
        <w:keepNext w:val="0"/>
        <w:keepLines w:val="0"/>
        <w:adjustRightInd w:val="0"/>
        <w:snapToGrid w:val="0"/>
        <w:spacing w:before="0" w:after="0" w:line="579" w:lineRule="exact"/>
        <w:ind w:firstLine="680" w:firstLineChars="200"/>
        <w:rPr>
          <w:rFonts w:hAnsi="楷体" w:cs="宋体"/>
          <w:spacing w:val="10"/>
          <w:kern w:val="0"/>
        </w:rPr>
      </w:pPr>
      <w:r>
        <w:rPr>
          <w:rStyle w:val="7"/>
          <w:rFonts w:hint="eastAsia"/>
          <w:bCs w:val="0"/>
          <w:spacing w:val="10"/>
          <w:kern w:val="0"/>
        </w:rPr>
        <w:t>第二十六条【信息保密】</w:t>
      </w:r>
      <w:r>
        <w:rPr>
          <w:rFonts w:hint="eastAsia" w:hAnsi="楷体" w:cs="宋体"/>
          <w:spacing w:val="10"/>
          <w:kern w:val="0"/>
        </w:rPr>
        <w:t>核对机构、委托部门等所有接触居民家庭经济状况核对信息的工作人员，应对相关信息予以保密，不得向与核对工作无关的组织或者个人泄露，不得将核对信息用于与核对工作无关的用途。</w:t>
      </w:r>
    </w:p>
    <w:p>
      <w:pPr>
        <w:pStyle w:val="3"/>
        <w:keepNext w:val="0"/>
        <w:keepLines w:val="0"/>
        <w:adjustRightInd w:val="0"/>
        <w:snapToGrid w:val="0"/>
        <w:spacing w:before="0" w:after="0" w:line="579" w:lineRule="exact"/>
        <w:ind w:firstLine="680" w:firstLineChars="200"/>
        <w:rPr>
          <w:spacing w:val="10"/>
          <w:kern w:val="0"/>
        </w:rPr>
      </w:pPr>
      <w:r>
        <w:rPr>
          <w:rFonts w:hint="eastAsia" w:ascii="黑体" w:hAnsi="黑体" w:eastAsia="黑体"/>
          <w:spacing w:val="10"/>
          <w:kern w:val="0"/>
        </w:rPr>
        <w:t>第二十七条【核对验证和运用】</w:t>
      </w:r>
      <w:r>
        <w:rPr>
          <w:rFonts w:hint="eastAsia"/>
          <w:spacing w:val="10"/>
          <w:kern w:val="0"/>
        </w:rPr>
        <w:t>核对机构应当逐步运用</w:t>
      </w:r>
      <w:r>
        <w:rPr>
          <w:rFonts w:hint="eastAsia"/>
        </w:rPr>
        <w:t>大数据、云计算、智能化、互联网、区块链等先进技术，</w:t>
      </w:r>
      <w:r>
        <w:rPr>
          <w:rFonts w:hint="eastAsia"/>
          <w:spacing w:val="10"/>
          <w:kern w:val="0"/>
        </w:rPr>
        <w:t>通过分析核对对象的支出情况，对核对结果进行验证。</w:t>
      </w:r>
    </w:p>
    <w:p>
      <w:pPr>
        <w:adjustRightInd w:val="0"/>
        <w:snapToGrid w:val="0"/>
        <w:spacing w:line="57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核对机构应当建立核对数据研究、分析机制，建立居民经济状况数据库，开展对居民经济状况各项数据指标的分析、研究工作，为政府决策提供参考。</w:t>
      </w:r>
    </w:p>
    <w:p>
      <w:pPr>
        <w:pStyle w:val="3"/>
        <w:keepNext w:val="0"/>
        <w:keepLines w:val="0"/>
        <w:adjustRightInd w:val="0"/>
        <w:snapToGrid w:val="0"/>
        <w:spacing w:before="0" w:after="0" w:line="579" w:lineRule="exact"/>
        <w:ind w:firstLine="680" w:firstLineChars="200"/>
        <w:rPr>
          <w:kern w:val="0"/>
        </w:rPr>
      </w:pPr>
      <w:r>
        <w:rPr>
          <w:rFonts w:hint="eastAsia" w:ascii="黑体" w:hAnsi="黑体" w:eastAsia="黑体"/>
          <w:spacing w:val="10"/>
          <w:kern w:val="0"/>
        </w:rPr>
        <w:t>第二十八条</w:t>
      </w:r>
      <w:r>
        <w:rPr>
          <w:rFonts w:hint="eastAsia" w:ascii="黑体" w:hAnsi="黑体" w:eastAsia="黑体" w:cs="黑体"/>
          <w:spacing w:val="10"/>
          <w:kern w:val="0"/>
        </w:rPr>
        <w:t>【档案管理】</w:t>
      </w:r>
      <w:r>
        <w:rPr>
          <w:rFonts w:hint="eastAsia"/>
          <w:spacing w:val="10"/>
          <w:kern w:val="0"/>
        </w:rPr>
        <w:t>核对机构应当按照国家、省、市有关档案管理的规定，建立核对和认定档案管理制度。核对机构应当明确纸质档案、电子档案管理办法以及管理期限，核对机构对全部核对和认定档案负有安全、保密义务。</w:t>
      </w:r>
    </w:p>
    <w:p>
      <w:pPr>
        <w:pStyle w:val="3"/>
        <w:keepNext w:val="0"/>
        <w:keepLines w:val="0"/>
        <w:adjustRightInd w:val="0"/>
        <w:snapToGrid w:val="0"/>
        <w:spacing w:before="0" w:after="0" w:line="579" w:lineRule="exact"/>
        <w:ind w:firstLine="680" w:firstLineChars="200"/>
        <w:rPr>
          <w:spacing w:val="10"/>
          <w:kern w:val="0"/>
        </w:rPr>
      </w:pPr>
      <w:r>
        <w:rPr>
          <w:rFonts w:hint="eastAsia" w:ascii="黑体" w:hAnsi="黑体" w:eastAsia="黑体" w:cs="黑体"/>
          <w:spacing w:val="10"/>
          <w:kern w:val="0"/>
        </w:rPr>
        <w:t>第二十九条【举报制度】</w:t>
      </w:r>
      <w:r>
        <w:rPr>
          <w:rFonts w:hint="eastAsia"/>
          <w:spacing w:val="10"/>
          <w:kern w:val="0"/>
        </w:rPr>
        <w:t>核对机构应当建立举报制度，公开举报渠道，鼓励对核对对象的不诚信行为进行举报。举报人举报核对对象有关行为的，应当坚持实事求是的原则，以书面的方式实名举报，并积极提供相关事实材料或线索。</w:t>
      </w:r>
    </w:p>
    <w:p>
      <w:pPr>
        <w:pStyle w:val="2"/>
        <w:adjustRightInd w:val="0"/>
        <w:snapToGrid w:val="0"/>
        <w:spacing w:line="579" w:lineRule="exact"/>
        <w:jc w:val="center"/>
        <w:rPr>
          <w:rFonts w:ascii="黑体" w:hAnsi="黑体" w:eastAsia="黑体"/>
          <w:b w:val="0"/>
          <w:bCs w:val="0"/>
          <w:color w:val="000000"/>
          <w:spacing w:val="10"/>
          <w:kern w:val="0"/>
          <w:sz w:val="32"/>
          <w:szCs w:val="32"/>
        </w:rPr>
      </w:pPr>
      <w:r>
        <w:rPr>
          <w:rFonts w:hint="eastAsia" w:ascii="黑体" w:hAnsi="黑体" w:eastAsia="黑体"/>
          <w:b w:val="0"/>
          <w:bCs w:val="0"/>
          <w:color w:val="000000"/>
          <w:spacing w:val="10"/>
          <w:kern w:val="0"/>
          <w:sz w:val="32"/>
          <w:szCs w:val="32"/>
        </w:rPr>
        <w:t>第七章法律责任</w:t>
      </w:r>
    </w:p>
    <w:p>
      <w:pPr>
        <w:pStyle w:val="3"/>
        <w:keepNext w:val="0"/>
        <w:keepLines w:val="0"/>
        <w:adjustRightInd w:val="0"/>
        <w:snapToGrid w:val="0"/>
        <w:spacing w:before="0" w:after="0" w:line="579" w:lineRule="exact"/>
        <w:ind w:firstLine="680" w:firstLineChars="200"/>
        <w:rPr>
          <w:rFonts w:hint="eastAsia"/>
          <w:bCs w:val="0"/>
          <w:kern w:val="0"/>
        </w:rPr>
      </w:pPr>
      <w:r>
        <w:rPr>
          <w:rFonts w:hint="eastAsia" w:ascii="黑体" w:hAnsi="黑体" w:eastAsia="黑体" w:cs="黑体"/>
          <w:spacing w:val="10"/>
          <w:kern w:val="0"/>
        </w:rPr>
        <w:t>第三十条【核对机构人员责任】</w:t>
      </w:r>
      <w:r>
        <w:rPr>
          <w:rFonts w:hint="eastAsia"/>
          <w:bCs w:val="0"/>
          <w:spacing w:val="10"/>
          <w:kern w:val="0"/>
        </w:rPr>
        <w:t>核对机构及其工作人员不得有下列情形：</w:t>
      </w:r>
    </w:p>
    <w:p>
      <w:pPr>
        <w:pStyle w:val="3"/>
        <w:keepNext w:val="0"/>
        <w:keepLines w:val="0"/>
        <w:numPr>
          <w:ilvl w:val="0"/>
          <w:numId w:val="1"/>
        </w:numPr>
        <w:adjustRightInd w:val="0"/>
        <w:snapToGrid w:val="0"/>
        <w:spacing w:before="0" w:after="0" w:line="579" w:lineRule="exact"/>
        <w:ind w:firstLine="680" w:firstLineChars="200"/>
        <w:rPr>
          <w:rFonts w:hint="eastAsia"/>
          <w:bCs w:val="0"/>
          <w:spacing w:val="10"/>
          <w:kern w:val="0"/>
        </w:rPr>
      </w:pPr>
      <w:r>
        <w:rPr>
          <w:rFonts w:hint="eastAsia"/>
          <w:bCs w:val="0"/>
          <w:spacing w:val="10"/>
          <w:kern w:val="0"/>
        </w:rPr>
        <w:t>对符合条件的授权委托核对不予受理的；</w:t>
      </w:r>
    </w:p>
    <w:p>
      <w:pPr>
        <w:pStyle w:val="3"/>
        <w:keepNext w:val="0"/>
        <w:keepLines w:val="0"/>
        <w:numPr>
          <w:ilvl w:val="0"/>
          <w:numId w:val="1"/>
        </w:numPr>
        <w:adjustRightInd w:val="0"/>
        <w:snapToGrid w:val="0"/>
        <w:spacing w:before="0" w:after="0" w:line="579" w:lineRule="exact"/>
        <w:ind w:firstLine="680" w:firstLineChars="200"/>
        <w:rPr>
          <w:rFonts w:hint="eastAsia"/>
          <w:bCs w:val="0"/>
          <w:spacing w:val="10"/>
          <w:kern w:val="0"/>
        </w:rPr>
      </w:pPr>
      <w:r>
        <w:rPr>
          <w:rFonts w:hint="eastAsia"/>
          <w:bCs w:val="0"/>
          <w:spacing w:val="10"/>
          <w:kern w:val="0"/>
        </w:rPr>
        <w:t>未经申请人授权录入核对信息、提交核对申请或发起信息核对的；</w:t>
      </w:r>
    </w:p>
    <w:p>
      <w:pPr>
        <w:pStyle w:val="3"/>
        <w:keepNext w:val="0"/>
        <w:keepLines w:val="0"/>
        <w:adjustRightInd w:val="0"/>
        <w:snapToGrid w:val="0"/>
        <w:spacing w:before="0" w:after="0" w:line="579" w:lineRule="exact"/>
        <w:ind w:firstLine="680" w:firstLineChars="200"/>
        <w:rPr>
          <w:rFonts w:hint="eastAsia"/>
          <w:bCs w:val="0"/>
          <w:spacing w:val="10"/>
          <w:kern w:val="0"/>
        </w:rPr>
      </w:pPr>
      <w:r>
        <w:rPr>
          <w:rFonts w:hint="eastAsia"/>
          <w:bCs w:val="0"/>
          <w:spacing w:val="10"/>
          <w:kern w:val="0"/>
        </w:rPr>
        <w:t>（三）篡改核对结果的；</w:t>
      </w:r>
    </w:p>
    <w:p>
      <w:pPr>
        <w:pStyle w:val="3"/>
        <w:keepNext w:val="0"/>
        <w:keepLines w:val="0"/>
        <w:adjustRightInd w:val="0"/>
        <w:snapToGrid w:val="0"/>
        <w:spacing w:before="0" w:after="0" w:line="579" w:lineRule="exact"/>
        <w:ind w:firstLine="680" w:firstLineChars="200"/>
        <w:rPr>
          <w:rFonts w:hint="eastAsia"/>
          <w:bCs w:val="0"/>
          <w:spacing w:val="10"/>
          <w:kern w:val="0"/>
        </w:rPr>
      </w:pPr>
      <w:r>
        <w:rPr>
          <w:rFonts w:hint="eastAsia"/>
          <w:bCs w:val="0"/>
          <w:spacing w:val="10"/>
          <w:kern w:val="0"/>
        </w:rPr>
        <w:t>（四）违反本办法第二十六规定，向他人提供核对对象信息的；</w:t>
      </w:r>
    </w:p>
    <w:p>
      <w:pPr>
        <w:pStyle w:val="3"/>
        <w:keepNext w:val="0"/>
        <w:keepLines w:val="0"/>
        <w:adjustRightInd w:val="0"/>
        <w:snapToGrid w:val="0"/>
        <w:spacing w:before="0" w:after="0" w:line="579" w:lineRule="exact"/>
        <w:ind w:firstLine="680" w:firstLineChars="200"/>
        <w:rPr>
          <w:rFonts w:hint="eastAsia"/>
          <w:bCs w:val="0"/>
          <w:spacing w:val="10"/>
          <w:kern w:val="0"/>
        </w:rPr>
      </w:pPr>
      <w:r>
        <w:rPr>
          <w:rFonts w:hint="eastAsia"/>
          <w:bCs w:val="0"/>
          <w:spacing w:val="10"/>
          <w:kern w:val="0"/>
        </w:rPr>
        <w:t>（五）其他违反本办法规定情形的。</w:t>
      </w: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核对机构及其工作人员有本条前款规定情形之一的，由主管部门责令改正，对直接负责的主管人员和其他直接责任人员依法给予处分；构成犯罪的，移送司法机关依法追究刑事责任。</w:t>
      </w:r>
    </w:p>
    <w:p>
      <w:pPr>
        <w:spacing w:line="579" w:lineRule="exact"/>
        <w:ind w:firstLine="680" w:firstLineChars="200"/>
        <w:rPr>
          <w:rFonts w:hint="eastAsia" w:ascii="仿宋_GB2312" w:eastAsia="仿宋_GB2312"/>
          <w:sz w:val="32"/>
          <w:szCs w:val="32"/>
        </w:rPr>
      </w:pPr>
      <w:r>
        <w:rPr>
          <w:rFonts w:hint="eastAsia" w:ascii="黑体" w:hAnsi="黑体" w:eastAsia="黑体" w:cs="黑体"/>
          <w:bCs/>
          <w:spacing w:val="10"/>
          <w:kern w:val="0"/>
          <w:sz w:val="32"/>
          <w:szCs w:val="32"/>
        </w:rPr>
        <w:t>第三十一条【核对对象责任】</w:t>
      </w:r>
      <w:r>
        <w:rPr>
          <w:rFonts w:hint="eastAsia" w:ascii="仿宋_GB2312" w:eastAsia="仿宋_GB2312"/>
          <w:bCs/>
          <w:kern w:val="0"/>
          <w:sz w:val="32"/>
          <w:szCs w:val="32"/>
        </w:rPr>
        <w:t>核对对象有本办法第二十三条第一款规定情形的，核对机构应当将其行为纳入诚信信息管理记录、报送深圳市公共信用信息平台、征信机构，并由有关部门依法追究法律责任。</w:t>
      </w:r>
    </w:p>
    <w:p>
      <w:pPr>
        <w:pStyle w:val="2"/>
        <w:keepNext w:val="0"/>
        <w:keepLines w:val="0"/>
        <w:adjustRightInd w:val="0"/>
        <w:snapToGrid w:val="0"/>
        <w:spacing w:before="0" w:after="0" w:line="579" w:lineRule="exact"/>
        <w:jc w:val="center"/>
        <w:rPr>
          <w:rFonts w:hint="eastAsia" w:ascii="黑体" w:hAnsi="黑体" w:eastAsia="黑体"/>
          <w:b w:val="0"/>
          <w:spacing w:val="10"/>
          <w:kern w:val="0"/>
          <w:sz w:val="32"/>
          <w:szCs w:val="32"/>
        </w:rPr>
      </w:pPr>
    </w:p>
    <w:p>
      <w:pPr>
        <w:pStyle w:val="2"/>
        <w:keepNext w:val="0"/>
        <w:keepLines w:val="0"/>
        <w:adjustRightInd w:val="0"/>
        <w:snapToGrid w:val="0"/>
        <w:spacing w:before="0" w:after="0" w:line="579" w:lineRule="exact"/>
        <w:jc w:val="center"/>
        <w:rPr>
          <w:rFonts w:ascii="黑体" w:hAnsi="黑体" w:eastAsia="黑体"/>
          <w:b w:val="0"/>
          <w:spacing w:val="10"/>
          <w:kern w:val="0"/>
          <w:sz w:val="32"/>
          <w:szCs w:val="32"/>
        </w:rPr>
      </w:pPr>
      <w:r>
        <w:rPr>
          <w:rFonts w:hint="eastAsia" w:ascii="黑体" w:hAnsi="黑体" w:eastAsia="黑体"/>
          <w:b w:val="0"/>
          <w:spacing w:val="10"/>
          <w:kern w:val="0"/>
          <w:sz w:val="32"/>
          <w:szCs w:val="32"/>
        </w:rPr>
        <w:t>第八章  附则</w:t>
      </w:r>
    </w:p>
    <w:p>
      <w:pPr>
        <w:pStyle w:val="3"/>
        <w:keepNext w:val="0"/>
        <w:keepLines w:val="0"/>
        <w:adjustRightInd w:val="0"/>
        <w:snapToGrid w:val="0"/>
        <w:spacing w:before="0" w:after="0" w:line="579" w:lineRule="exact"/>
        <w:rPr>
          <w:rFonts w:ascii="Times New Roman" w:hAnsi="Times New Roman" w:cs="Times New Roman"/>
          <w:bCs w:val="0"/>
          <w:spacing w:val="10"/>
          <w:szCs w:val="22"/>
        </w:rPr>
      </w:pPr>
    </w:p>
    <w:p>
      <w:pPr>
        <w:pStyle w:val="3"/>
        <w:keepNext w:val="0"/>
        <w:keepLines w:val="0"/>
        <w:adjustRightInd w:val="0"/>
        <w:snapToGrid w:val="0"/>
        <w:spacing w:before="0" w:after="0" w:line="579" w:lineRule="exact"/>
        <w:ind w:firstLine="680" w:firstLineChars="200"/>
        <w:rPr>
          <w:bCs w:val="0"/>
          <w:spacing w:val="10"/>
          <w:kern w:val="0"/>
        </w:rPr>
      </w:pPr>
      <w:r>
        <w:rPr>
          <w:rFonts w:hint="eastAsia" w:ascii="黑体" w:hAnsi="黑体" w:eastAsia="黑体" w:cs="黑体"/>
          <w:spacing w:val="10"/>
          <w:kern w:val="0"/>
        </w:rPr>
        <w:t>第三十二条【实施细则】</w:t>
      </w:r>
      <w:r>
        <w:rPr>
          <w:rFonts w:hint="eastAsia"/>
          <w:bCs w:val="0"/>
          <w:spacing w:val="10"/>
          <w:kern w:val="0"/>
        </w:rPr>
        <w:t>市民政局可以根据核对工作需要制定本办法实施细则。</w:t>
      </w:r>
    </w:p>
    <w:p>
      <w:pPr>
        <w:pStyle w:val="3"/>
        <w:keepNext w:val="0"/>
        <w:keepLines w:val="0"/>
        <w:adjustRightInd w:val="0"/>
        <w:snapToGrid w:val="0"/>
        <w:spacing w:before="0" w:after="0" w:line="579" w:lineRule="exact"/>
        <w:ind w:firstLine="680" w:firstLineChars="200"/>
      </w:pPr>
      <w:r>
        <w:rPr>
          <w:rFonts w:hint="eastAsia" w:ascii="黑体" w:hAnsi="黑体" w:eastAsia="黑体" w:cs="黑体"/>
          <w:color w:val="000000"/>
          <w:spacing w:val="10"/>
          <w:kern w:val="0"/>
        </w:rPr>
        <w:t>第三十三条</w:t>
      </w:r>
      <w:r>
        <w:rPr>
          <w:rFonts w:hint="eastAsia" w:ascii="黑体" w:hAnsi="黑体" w:eastAsia="黑体" w:cs="黑体"/>
          <w:spacing w:val="10"/>
          <w:kern w:val="0"/>
        </w:rPr>
        <w:t>【施行日期】</w:t>
      </w:r>
      <w:r>
        <w:rPr>
          <w:rFonts w:hint="eastAsia"/>
          <w:spacing w:val="10"/>
          <w:kern w:val="0"/>
        </w:rPr>
        <w:t>本办法自2020年 月 日起实施。</w:t>
      </w:r>
    </w:p>
    <w:p>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EBFC3"/>
    <w:multiLevelType w:val="singleLevel"/>
    <w:tmpl w:val="4AEEBFC3"/>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90677A"/>
    <w:rsid w:val="50906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rFonts w:eastAsia="仿宋_GB2312"/>
      <w:b/>
      <w:bCs/>
      <w:kern w:val="44"/>
      <w:sz w:val="44"/>
      <w:szCs w:val="44"/>
    </w:rPr>
  </w:style>
  <w:style w:type="paragraph" w:styleId="3">
    <w:name w:val="heading 2"/>
    <w:basedOn w:val="1"/>
    <w:next w:val="1"/>
    <w:semiHidden/>
    <w:unhideWhenUsed/>
    <w:qFormat/>
    <w:uiPriority w:val="9"/>
    <w:pPr>
      <w:keepNext/>
      <w:keepLines/>
      <w:spacing w:before="260" w:after="260" w:line="412" w:lineRule="auto"/>
      <w:outlineLvl w:val="1"/>
    </w:pPr>
    <w:rPr>
      <w:rFonts w:ascii="仿宋_GB2312" w:hAnsi="仿宋_GB2312" w:eastAsia="仿宋_GB2312" w:cs="仿宋_GB2312"/>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Title"/>
    <w:basedOn w:val="1"/>
    <w:next w:val="1"/>
    <w:link w:val="7"/>
    <w:qFormat/>
    <w:uiPriority w:val="10"/>
    <w:pPr>
      <w:spacing w:line="360" w:lineRule="auto"/>
      <w:ind w:firstLine="200" w:firstLineChars="200"/>
      <w:outlineLvl w:val="2"/>
    </w:pPr>
    <w:rPr>
      <w:rFonts w:ascii="Calibri Light" w:hAnsi="Calibri Light" w:eastAsia="黑体"/>
      <w:bCs/>
      <w:sz w:val="32"/>
      <w:szCs w:val="32"/>
    </w:rPr>
  </w:style>
  <w:style w:type="character" w:customStyle="1" w:styleId="7">
    <w:name w:val="标题 Char"/>
    <w:basedOn w:val="6"/>
    <w:link w:val="4"/>
    <w:qFormat/>
    <w:uiPriority w:val="10"/>
    <w:rPr>
      <w:rFonts w:ascii="Calibri Light" w:hAnsi="Calibri Light" w:eastAsia="黑体"/>
      <w:bCs/>
      <w:sz w:val="32"/>
      <w:szCs w:val="32"/>
    </w:rPr>
  </w:style>
  <w:style w:type="paragraph" w:styleId="8">
    <w:name w:val="No Spacing"/>
    <w:qFormat/>
    <w:uiPriority w:val="1"/>
    <w:pPr>
      <w:widowControl w:val="0"/>
      <w:jc w:val="both"/>
    </w:pPr>
    <w:rPr>
      <w:rFonts w:ascii="Times New Roman" w:hAnsi="Times New Roman" w:eastAsia="仿宋_GB2312" w:cs="Times New Roman"/>
      <w:spacing w:val="10"/>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2020-08-14T03:19:00Z</dcterms:created>
  <dc:creator>好饭友</dc:creator>
  <cp:lastModifiedBy>好饭友</cp:lastModifiedBy>
  <dcterms:modified xsi:type="dcterms:W3CDTF">2020-08-14T03:20:47Z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