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深圳市科技研发资金银行托管管理办法</w:t>
      </w:r>
    </w:p>
    <w:p>
      <w:pPr>
        <w:spacing w:line="240" w:lineRule="auto"/>
        <w:jc w:val="center"/>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征求意见</w:t>
      </w:r>
      <w:r>
        <w:rPr>
          <w:rFonts w:hint="eastAsia" w:ascii="楷体" w:hAnsi="楷体" w:eastAsia="楷体"/>
          <w:sz w:val="32"/>
          <w:szCs w:val="32"/>
        </w:rPr>
        <w:t>稿）</w:t>
      </w:r>
    </w:p>
    <w:p>
      <w:pPr>
        <w:spacing w:line="560" w:lineRule="exact"/>
        <w:rPr>
          <w:rFonts w:ascii="黑体" w:hAnsi="黑体" w:eastAsia="黑体"/>
          <w:sz w:val="44"/>
          <w:szCs w:val="44"/>
        </w:rPr>
      </w:pPr>
    </w:p>
    <w:p>
      <w:pPr>
        <w:adjustRightInd w:val="0"/>
        <w:snapToGrid w:val="0"/>
        <w:spacing w:line="560" w:lineRule="exact"/>
        <w:jc w:val="center"/>
        <w:rPr>
          <w:rFonts w:ascii="黑体" w:hAnsi="黑体" w:eastAsia="黑体"/>
          <w:szCs w:val="32"/>
        </w:rPr>
      </w:pPr>
      <w:r>
        <w:rPr>
          <w:rFonts w:hint="eastAsia" w:ascii="黑体" w:hAnsi="黑体" w:eastAsia="黑体"/>
          <w:szCs w:val="32"/>
        </w:rPr>
        <w:t>第一章　总 则</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第一条</w:t>
      </w:r>
      <w:r>
        <w:rPr>
          <w:rFonts w:hint="eastAsia" w:ascii="仿宋_GB2312" w:hAnsi="楷体" w:eastAsia="仿宋_GB2312" w:cs="楷体"/>
          <w:szCs w:val="32"/>
        </w:rPr>
        <w:t>【</w:t>
      </w:r>
      <w:r>
        <w:rPr>
          <w:rFonts w:hint="eastAsia" w:ascii="仿宋_GB2312" w:hAnsi="楷体" w:cs="楷体"/>
          <w:szCs w:val="32"/>
        </w:rPr>
        <w:t>政策</w:t>
      </w:r>
      <w:r>
        <w:rPr>
          <w:rFonts w:hint="eastAsia" w:ascii="仿宋_GB2312" w:hAnsi="楷体" w:eastAsia="仿宋_GB2312" w:cs="楷体"/>
          <w:szCs w:val="32"/>
        </w:rPr>
        <w:t>依据】</w:t>
      </w:r>
      <w:r>
        <w:rPr>
          <w:rFonts w:hint="eastAsia" w:ascii="仿宋_GB2312" w:hAnsi="仿宋" w:eastAsia="仿宋_GB2312"/>
          <w:sz w:val="32"/>
          <w:szCs w:val="32"/>
        </w:rPr>
        <w:t>为</w:t>
      </w:r>
      <w:r>
        <w:rPr>
          <w:rFonts w:hint="eastAsia" w:ascii="仿宋_GB2312" w:hAnsi="仿宋"/>
          <w:szCs w:val="32"/>
        </w:rPr>
        <w:t>了规范市级科技研发资金银行托管，提高专项资金使用效能，根据《预算法》</w:t>
      </w:r>
      <w:r>
        <w:rPr>
          <w:rFonts w:hint="eastAsia" w:ascii="仿宋_GB2312" w:hAnsi="仿宋"/>
          <w:szCs w:val="32"/>
          <w:lang w:eastAsia="zh-CN"/>
        </w:rPr>
        <w:t>、《</w:t>
      </w:r>
      <w:r>
        <w:rPr>
          <w:rFonts w:hint="eastAsia" w:ascii="仿宋_GB2312" w:eastAsia="仿宋_GB2312"/>
          <w:sz w:val="32"/>
          <w:szCs w:val="32"/>
        </w:rPr>
        <w:t>深圳经济特区科技创新条例</w:t>
      </w:r>
      <w:r>
        <w:rPr>
          <w:rFonts w:hint="eastAsia" w:ascii="仿宋_GB2312" w:hAnsi="仿宋"/>
          <w:szCs w:val="32"/>
          <w:lang w:eastAsia="zh-CN"/>
        </w:rPr>
        <w:t>》、</w:t>
      </w:r>
      <w:r>
        <w:rPr>
          <w:rFonts w:hint="eastAsia" w:ascii="仿宋_GB2312" w:hAnsi="仿宋"/>
          <w:szCs w:val="32"/>
        </w:rPr>
        <w:t>《深圳市人民政府关于加强和改进市级财政科研项目资金管理的实施意见（试行）》（深府规〔2018〕9号）《深圳市人民政府关于印发市级财政专项资金管理办法的通知》（深府规〔2018〕12号）等</w:t>
      </w:r>
      <w:r>
        <w:rPr>
          <w:rFonts w:hint="eastAsia" w:ascii="仿宋_GB2312"/>
          <w:szCs w:val="32"/>
        </w:rPr>
        <w:t>，制定本办法。</w:t>
      </w:r>
    </w:p>
    <w:p>
      <w:pPr>
        <w:adjustRightInd w:val="0"/>
        <w:snapToGrid w:val="0"/>
        <w:spacing w:line="560" w:lineRule="exact"/>
        <w:ind w:firstLine="594" w:firstLineChars="200"/>
        <w:rPr>
          <w:rFonts w:ascii="仿宋_GB2312"/>
          <w:szCs w:val="32"/>
        </w:rPr>
      </w:pPr>
      <w:r>
        <w:rPr>
          <w:rFonts w:hint="eastAsia" w:ascii="黑体" w:hAnsi="黑体" w:eastAsia="黑体" w:cs="楷体"/>
          <w:szCs w:val="32"/>
        </w:rPr>
        <w:t>第二条</w:t>
      </w:r>
      <w:r>
        <w:rPr>
          <w:rFonts w:hint="eastAsia" w:ascii="楷体" w:hAnsi="楷体" w:eastAsia="楷体" w:cs="楷体"/>
          <w:szCs w:val="32"/>
        </w:rPr>
        <w:t>【</w:t>
      </w:r>
      <w:r>
        <w:rPr>
          <w:rFonts w:hint="eastAsia" w:ascii="仿宋_GB2312" w:hAnsi="楷体" w:eastAsia="仿宋_GB2312" w:cs="楷体"/>
          <w:szCs w:val="32"/>
        </w:rPr>
        <w:t>适用范围</w:t>
      </w:r>
      <w:r>
        <w:rPr>
          <w:rFonts w:hint="eastAsia" w:ascii="楷体" w:hAnsi="楷体" w:eastAsia="楷体" w:cs="楷体"/>
          <w:sz w:val="32"/>
          <w:szCs w:val="32"/>
        </w:rPr>
        <w:t>】</w:t>
      </w:r>
      <w:r>
        <w:rPr>
          <w:rFonts w:hint="eastAsia" w:ascii="仿宋_GB2312" w:hAnsi="仿宋"/>
          <w:szCs w:val="32"/>
        </w:rPr>
        <w:t>非财政预算管理的科技计划项目承担单位</w:t>
      </w:r>
      <w:r>
        <w:rPr>
          <w:rFonts w:hint="eastAsia" w:ascii="仿宋_GB2312"/>
          <w:szCs w:val="32"/>
        </w:rPr>
        <w:t>（以下简称项目承担单位）</w:t>
      </w:r>
      <w:r>
        <w:rPr>
          <w:rFonts w:hint="eastAsia" w:ascii="仿宋_GB2312" w:hAnsi="仿宋"/>
          <w:szCs w:val="32"/>
        </w:rPr>
        <w:t>事前资助类项目</w:t>
      </w:r>
      <w:r>
        <w:rPr>
          <w:rFonts w:ascii="仿宋_GB2312"/>
          <w:szCs w:val="32"/>
        </w:rPr>
        <w:t>资金的托管账户开立</w:t>
      </w:r>
      <w:r>
        <w:rPr>
          <w:rFonts w:hint="eastAsia" w:ascii="仿宋_GB2312"/>
          <w:szCs w:val="32"/>
        </w:rPr>
        <w:t>、托管资金使用、银行托管等适用</w:t>
      </w:r>
      <w:r>
        <w:rPr>
          <w:rFonts w:hint="eastAsia" w:ascii="仿宋_GB2312" w:hAnsi="仿宋"/>
          <w:szCs w:val="32"/>
        </w:rPr>
        <w:t>本办法</w:t>
      </w:r>
      <w:r>
        <w:rPr>
          <w:rFonts w:hint="eastAsia" w:ascii="仿宋_GB2312"/>
          <w:szCs w:val="32"/>
        </w:rPr>
        <w:t>。</w:t>
      </w:r>
    </w:p>
    <w:p>
      <w:pPr>
        <w:adjustRightInd w:val="0"/>
        <w:snapToGrid w:val="0"/>
        <w:spacing w:line="560" w:lineRule="exact"/>
        <w:ind w:firstLine="594" w:firstLineChars="200"/>
        <w:rPr>
          <w:rFonts w:ascii="仿宋_GB2312" w:hAnsi="仿宋"/>
          <w:szCs w:val="32"/>
        </w:rPr>
      </w:pPr>
      <w:r>
        <w:rPr>
          <w:rFonts w:hint="eastAsia" w:ascii="黑体" w:hAnsi="黑体" w:eastAsia="黑体" w:cs="楷体"/>
          <w:szCs w:val="32"/>
        </w:rPr>
        <w:t>第</w:t>
      </w:r>
      <w:r>
        <w:rPr>
          <w:rFonts w:ascii="黑体" w:hAnsi="黑体" w:eastAsia="黑体" w:cs="楷体"/>
          <w:szCs w:val="32"/>
        </w:rPr>
        <w:t>三</w:t>
      </w:r>
      <w:r>
        <w:rPr>
          <w:rFonts w:hint="eastAsia" w:ascii="黑体" w:hAnsi="黑体" w:eastAsia="黑体" w:cs="楷体"/>
          <w:szCs w:val="32"/>
        </w:rPr>
        <w:t>条</w:t>
      </w:r>
      <w:r>
        <w:rPr>
          <w:rFonts w:hint="eastAsia" w:ascii="楷体" w:hAnsi="楷体" w:eastAsia="楷体" w:cs="楷体"/>
          <w:szCs w:val="32"/>
        </w:rPr>
        <w:t>【</w:t>
      </w:r>
      <w:r>
        <w:rPr>
          <w:rFonts w:hint="eastAsia" w:ascii="仿宋_GB2312" w:hAnsi="楷体" w:eastAsia="仿宋_GB2312" w:cs="楷体"/>
          <w:szCs w:val="32"/>
        </w:rPr>
        <w:t>有关定义</w:t>
      </w:r>
      <w:r>
        <w:rPr>
          <w:rFonts w:hint="eastAsia" w:ascii="楷体" w:hAnsi="楷体" w:eastAsia="楷体" w:cs="楷体"/>
          <w:sz w:val="32"/>
          <w:szCs w:val="32"/>
        </w:rPr>
        <w:t>】</w:t>
      </w:r>
      <w:r>
        <w:rPr>
          <w:rFonts w:hint="eastAsia" w:ascii="仿宋_GB2312" w:hAnsi="仿宋"/>
          <w:szCs w:val="32"/>
        </w:rPr>
        <w:t>事前资助类项目是指</w:t>
      </w:r>
      <w:r>
        <w:rPr>
          <w:rFonts w:ascii="仿宋_GB2312" w:hAnsi="仿宋"/>
          <w:szCs w:val="32"/>
        </w:rPr>
        <w:t>在按照项目合同书或者任务书要求使用资金</w:t>
      </w:r>
      <w:r>
        <w:rPr>
          <w:rFonts w:hint="eastAsia" w:ascii="仿宋_GB2312" w:hAnsi="仿宋"/>
          <w:szCs w:val="32"/>
        </w:rPr>
        <w:t>，</w:t>
      </w:r>
      <w:r>
        <w:rPr>
          <w:rFonts w:ascii="仿宋_GB2312" w:hAnsi="仿宋"/>
          <w:szCs w:val="32"/>
        </w:rPr>
        <w:t>开展研发活动的科技计划项目</w:t>
      </w:r>
      <w:r>
        <w:rPr>
          <w:rFonts w:hint="eastAsia" w:ascii="仿宋_GB2312" w:hAnsi="仿宋"/>
          <w:szCs w:val="32"/>
        </w:rPr>
        <w:t>完成前，由市科技行政主管部门给予科技研发资金资助的项目。</w:t>
      </w:r>
    </w:p>
    <w:p>
      <w:pPr>
        <w:adjustRightInd w:val="0"/>
        <w:snapToGrid w:val="0"/>
        <w:spacing w:line="560" w:lineRule="exact"/>
        <w:ind w:firstLine="594" w:firstLineChars="200"/>
        <w:rPr>
          <w:rFonts w:ascii="仿宋_GB2312" w:hAnsi="仿宋"/>
          <w:szCs w:val="32"/>
        </w:rPr>
      </w:pPr>
      <w:r>
        <w:rPr>
          <w:rFonts w:hint="eastAsia" w:ascii="仿宋_GB2312" w:hAnsi="仿宋"/>
          <w:szCs w:val="32"/>
        </w:rPr>
        <w:t>托管资金是指</w:t>
      </w:r>
      <w:r>
        <w:rPr>
          <w:rFonts w:ascii="仿宋_GB2312"/>
          <w:szCs w:val="32"/>
        </w:rPr>
        <w:t>由</w:t>
      </w:r>
      <w:r>
        <w:rPr>
          <w:rFonts w:hint="eastAsia" w:ascii="仿宋_GB2312"/>
          <w:szCs w:val="32"/>
        </w:rPr>
        <w:t>市科技行政主管部门拨付至项目承担单位特定账号的事前资助类项目资金。</w:t>
      </w:r>
    </w:p>
    <w:p>
      <w:pPr>
        <w:adjustRightInd w:val="0"/>
        <w:snapToGrid w:val="0"/>
        <w:spacing w:line="560" w:lineRule="exact"/>
        <w:ind w:firstLine="594" w:firstLineChars="200"/>
        <w:rPr>
          <w:rFonts w:ascii="仿宋_GB2312"/>
          <w:szCs w:val="32"/>
        </w:rPr>
      </w:pPr>
      <w:r>
        <w:rPr>
          <w:rFonts w:hint="eastAsia" w:ascii="仿宋_GB2312" w:hAnsi="仿宋"/>
          <w:szCs w:val="32"/>
        </w:rPr>
        <w:t>银行托管是指</w:t>
      </w:r>
      <w:r>
        <w:rPr>
          <w:rFonts w:hint="eastAsia" w:ascii="仿宋_GB2312"/>
          <w:szCs w:val="32"/>
        </w:rPr>
        <w:t>银行依规对</w:t>
      </w:r>
      <w:r>
        <w:rPr>
          <w:rFonts w:hint="eastAsia" w:ascii="仿宋_GB2312" w:hAnsi="仿宋"/>
          <w:szCs w:val="32"/>
        </w:rPr>
        <w:t>托管资金</w:t>
      </w:r>
      <w:r>
        <w:rPr>
          <w:rFonts w:hint="eastAsia" w:ascii="仿宋_GB2312"/>
          <w:szCs w:val="32"/>
        </w:rPr>
        <w:t>进行管理的过程。</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第四条</w:t>
      </w:r>
      <w:r>
        <w:rPr>
          <w:rFonts w:hint="eastAsia" w:ascii="楷体" w:hAnsi="楷体" w:eastAsia="楷体" w:cs="楷体"/>
          <w:sz w:val="32"/>
          <w:szCs w:val="32"/>
        </w:rPr>
        <w:t>【</w:t>
      </w:r>
      <w:r>
        <w:rPr>
          <w:rFonts w:hint="eastAsia" w:ascii="仿宋_GB2312" w:hAnsi="楷体" w:eastAsia="仿宋_GB2312" w:cs="楷体"/>
          <w:szCs w:val="32"/>
        </w:rPr>
        <w:t>管理原则</w:t>
      </w:r>
      <w:r>
        <w:rPr>
          <w:rFonts w:hint="eastAsia" w:ascii="楷体" w:hAnsi="楷体" w:eastAsia="楷体" w:cs="楷体"/>
          <w:sz w:val="32"/>
          <w:szCs w:val="32"/>
        </w:rPr>
        <w:t>】</w:t>
      </w:r>
      <w:r>
        <w:rPr>
          <w:rFonts w:hint="eastAsia" w:ascii="仿宋_GB2312" w:hAnsi="仿宋"/>
          <w:szCs w:val="32"/>
        </w:rPr>
        <w:t>市级科技研发资金银行托管管理坚持公开透明、放管结合、统筹集中</w:t>
      </w:r>
      <w:r>
        <w:rPr>
          <w:rFonts w:hint="eastAsia" w:ascii="仿宋_GB2312"/>
          <w:szCs w:val="32"/>
        </w:rPr>
        <w:t>、开放共享的原则：</w:t>
      </w:r>
    </w:p>
    <w:p>
      <w:pPr>
        <w:adjustRightInd w:val="0"/>
        <w:snapToGrid w:val="0"/>
        <w:spacing w:line="560" w:lineRule="exact"/>
        <w:ind w:firstLine="594" w:firstLineChars="200"/>
        <w:rPr>
          <w:rFonts w:ascii="仿宋_GB2312"/>
          <w:szCs w:val="32"/>
        </w:rPr>
      </w:pPr>
    </w:p>
    <w:p>
      <w:pPr>
        <w:adjustRightInd w:val="0"/>
        <w:snapToGrid w:val="0"/>
        <w:spacing w:line="560" w:lineRule="exact"/>
        <w:ind w:firstLine="594" w:firstLineChars="200"/>
        <w:jc w:val="center"/>
        <w:rPr>
          <w:rFonts w:ascii="黑体" w:hAnsi="黑体" w:eastAsia="黑体"/>
          <w:szCs w:val="32"/>
        </w:rPr>
      </w:pPr>
      <w:r>
        <w:rPr>
          <w:rFonts w:hint="eastAsia" w:ascii="黑体" w:hAnsi="黑体" w:eastAsia="黑体"/>
          <w:szCs w:val="32"/>
        </w:rPr>
        <w:t>第二章　职责分工</w:t>
      </w:r>
    </w:p>
    <w:p>
      <w:pPr>
        <w:adjustRightInd w:val="0"/>
        <w:snapToGrid w:val="0"/>
        <w:spacing w:line="560" w:lineRule="exact"/>
        <w:ind w:firstLine="594" w:firstLineChars="200"/>
        <w:rPr>
          <w:rFonts w:ascii="仿宋_GB2312" w:hAnsi="仿宋_GB2312" w:cs="仿宋_GB2312" w:eastAsiaTheme="minorEastAsia"/>
          <w:sz w:val="21"/>
          <w:szCs w:val="32"/>
        </w:rPr>
      </w:pPr>
      <w:r>
        <w:rPr>
          <w:rFonts w:hint="eastAsia" w:ascii="黑体" w:hAnsi="黑体" w:eastAsia="黑体" w:cs="楷体"/>
          <w:szCs w:val="32"/>
        </w:rPr>
        <w:t>第五条</w:t>
      </w:r>
      <w:r>
        <w:rPr>
          <w:rFonts w:hint="eastAsia" w:ascii="楷体" w:hAnsi="楷体" w:eastAsia="楷体" w:cs="楷体"/>
          <w:szCs w:val="32"/>
        </w:rPr>
        <w:t>【</w:t>
      </w:r>
      <w:r>
        <w:rPr>
          <w:rFonts w:hint="eastAsia" w:ascii="仿宋_GB2312" w:hAnsi="楷体" w:eastAsia="仿宋_GB2312" w:cs="楷体"/>
          <w:szCs w:val="32"/>
        </w:rPr>
        <w:t>主管部门职责</w:t>
      </w:r>
      <w:r>
        <w:rPr>
          <w:rFonts w:hint="eastAsia" w:ascii="楷体" w:hAnsi="楷体" w:eastAsia="楷体" w:cs="楷体"/>
          <w:sz w:val="32"/>
          <w:szCs w:val="32"/>
        </w:rPr>
        <w:t>】</w:t>
      </w:r>
      <w:r>
        <w:rPr>
          <w:rFonts w:hint="eastAsia" w:ascii="仿宋_GB2312" w:hAnsi="仿宋_GB2312" w:cs="仿宋_GB2312"/>
          <w:szCs w:val="32"/>
        </w:rPr>
        <w:t>市科技行政主管部门是科技研发资金托管的主管部门。工作职责：</w:t>
      </w:r>
    </w:p>
    <w:p>
      <w:pPr>
        <w:adjustRightInd w:val="0"/>
        <w:snapToGrid w:val="0"/>
        <w:spacing w:line="560" w:lineRule="exact"/>
        <w:ind w:firstLine="594" w:firstLineChars="200"/>
        <w:rPr>
          <w:rFonts w:ascii="仿宋_GB2312"/>
          <w:szCs w:val="32"/>
        </w:rPr>
      </w:pPr>
      <w:r>
        <w:rPr>
          <w:rFonts w:hint="eastAsia" w:ascii="仿宋_GB2312"/>
          <w:szCs w:val="32"/>
        </w:rPr>
        <w:t>（一）负责科技研发资金的具体管理，制定、修订资金托管托相关管理办法；</w:t>
      </w:r>
    </w:p>
    <w:p>
      <w:pPr>
        <w:adjustRightInd w:val="0"/>
        <w:snapToGrid w:val="0"/>
        <w:spacing w:line="560" w:lineRule="exact"/>
        <w:ind w:firstLine="594" w:firstLineChars="200"/>
        <w:rPr>
          <w:rFonts w:ascii="仿宋_GB2312"/>
          <w:szCs w:val="32"/>
        </w:rPr>
      </w:pPr>
      <w:r>
        <w:rPr>
          <w:rFonts w:hint="eastAsia" w:ascii="仿宋_GB2312"/>
          <w:szCs w:val="32"/>
        </w:rPr>
        <w:t>（二）受理、备案、公布符合资格的托管银行，并对托管银行进行管理；</w:t>
      </w:r>
    </w:p>
    <w:p>
      <w:pPr>
        <w:adjustRightInd w:val="0"/>
        <w:snapToGrid w:val="0"/>
        <w:spacing w:line="560" w:lineRule="exact"/>
        <w:ind w:firstLine="594" w:firstLineChars="200"/>
        <w:rPr>
          <w:rFonts w:ascii="仿宋_GB2312"/>
          <w:szCs w:val="32"/>
        </w:rPr>
      </w:pPr>
      <w:r>
        <w:rPr>
          <w:rFonts w:hint="eastAsia" w:ascii="仿宋_GB2312"/>
          <w:szCs w:val="32"/>
        </w:rPr>
        <w:t>（三）下达项目文件，签订项目合同书（任务书），明确资金具体用途，并按照本办法及有关规定拨付资金；</w:t>
      </w:r>
    </w:p>
    <w:p>
      <w:pPr>
        <w:adjustRightInd w:val="0"/>
        <w:snapToGrid w:val="0"/>
        <w:spacing w:line="560" w:lineRule="exact"/>
        <w:ind w:firstLine="594" w:firstLineChars="200"/>
        <w:rPr>
          <w:rFonts w:ascii="仿宋_GB2312"/>
          <w:szCs w:val="32"/>
        </w:rPr>
      </w:pPr>
      <w:r>
        <w:rPr>
          <w:rFonts w:hint="eastAsia" w:ascii="仿宋_GB2312"/>
          <w:szCs w:val="32"/>
        </w:rPr>
        <w:t>（四）</w:t>
      </w:r>
      <w:r>
        <w:rPr>
          <w:rFonts w:ascii="仿宋_GB2312"/>
          <w:szCs w:val="32"/>
        </w:rPr>
        <w:t>依规处理</w:t>
      </w:r>
      <w:r>
        <w:rPr>
          <w:rFonts w:hint="eastAsia" w:ascii="仿宋_GB2312"/>
          <w:szCs w:val="32"/>
        </w:rPr>
        <w:t>项目的调整、延期、撤销、终止、验收（结转结余）、资金垫付、资金利息处置等；</w:t>
      </w:r>
    </w:p>
    <w:p>
      <w:pPr>
        <w:adjustRightInd w:val="0"/>
        <w:snapToGrid w:val="0"/>
        <w:spacing w:line="560" w:lineRule="exact"/>
        <w:ind w:firstLine="594" w:firstLineChars="200"/>
        <w:rPr>
          <w:rFonts w:ascii="仿宋_GB2312"/>
          <w:szCs w:val="32"/>
        </w:rPr>
      </w:pPr>
      <w:r>
        <w:rPr>
          <w:rFonts w:hint="eastAsia" w:ascii="仿宋_GB2312"/>
          <w:szCs w:val="32"/>
        </w:rPr>
        <w:t>（</w:t>
      </w:r>
      <w:r>
        <w:rPr>
          <w:rFonts w:ascii="仿宋_GB2312"/>
          <w:szCs w:val="32"/>
        </w:rPr>
        <w:t>五</w:t>
      </w:r>
      <w:r>
        <w:rPr>
          <w:rFonts w:hint="eastAsia" w:ascii="仿宋_GB2312"/>
          <w:szCs w:val="32"/>
        </w:rPr>
        <w:t>）负责与托管银行信息对接，管理风险预警（含失信）名单，收集数据和报表。</w:t>
      </w:r>
    </w:p>
    <w:p>
      <w:pPr>
        <w:adjustRightInd w:val="0"/>
        <w:snapToGrid w:val="0"/>
        <w:spacing w:line="560" w:lineRule="exact"/>
        <w:ind w:firstLine="594" w:firstLineChars="200"/>
        <w:rPr>
          <w:rFonts w:ascii="仿宋_GB2312"/>
          <w:szCs w:val="32"/>
        </w:rPr>
      </w:pPr>
      <w:r>
        <w:rPr>
          <w:rFonts w:hint="eastAsia" w:ascii="仿宋_GB2312"/>
          <w:szCs w:val="32"/>
        </w:rPr>
        <w:t>（六）负责受资助项目的预算管理和资金使用托管，包括专项资金拨付合规性、使用安全、监督检查、绩效评价、信息公开等。</w:t>
      </w:r>
    </w:p>
    <w:p>
      <w:pPr>
        <w:adjustRightInd w:val="0"/>
        <w:snapToGrid w:val="0"/>
        <w:spacing w:line="560" w:lineRule="exact"/>
        <w:ind w:firstLine="594" w:firstLineChars="200"/>
        <w:rPr>
          <w:rFonts w:ascii="仿宋_GB2312"/>
          <w:b w:val="0"/>
          <w:szCs w:val="32"/>
        </w:rPr>
      </w:pPr>
      <w:r>
        <w:rPr>
          <w:rFonts w:ascii="仿宋_GB2312" w:hAnsi="仿宋_GB2312" w:cs="仿宋_GB2312"/>
          <w:szCs w:val="32"/>
        </w:rPr>
        <w:t xml:space="preserve"> </w:t>
      </w:r>
      <w:r>
        <w:rPr>
          <w:rFonts w:hint="eastAsia" w:ascii="黑体" w:hAnsi="黑体" w:eastAsia="黑体" w:cs="楷体"/>
          <w:szCs w:val="32"/>
        </w:rPr>
        <w:t>第六条【</w:t>
      </w:r>
      <w:r>
        <w:rPr>
          <w:rFonts w:hint="eastAsia" w:ascii="仿宋_GB2312" w:hAnsi="黑体" w:eastAsia="仿宋_GB2312" w:cs="楷体"/>
          <w:szCs w:val="32"/>
        </w:rPr>
        <w:t>托管银行职责</w:t>
      </w:r>
      <w:r>
        <w:rPr>
          <w:rFonts w:hint="eastAsia" w:ascii="黑体" w:hAnsi="黑体" w:eastAsia="黑体" w:cs="楷体"/>
          <w:szCs w:val="32"/>
        </w:rPr>
        <w:t>】</w:t>
      </w:r>
      <w:r>
        <w:rPr>
          <w:rFonts w:hint="eastAsia" w:ascii="仿宋_GB2312"/>
          <w:szCs w:val="32"/>
        </w:rPr>
        <w:t>市科技研发资金托管银行（以下简称托管银行）</w:t>
      </w:r>
      <w:r>
        <w:rPr>
          <w:rFonts w:hint="eastAsia" w:ascii="仿宋_GB2312" w:hAnsi="仿宋_GB2312" w:cs="仿宋_GB2312"/>
          <w:szCs w:val="32"/>
        </w:rPr>
        <w:t>工作职责：</w:t>
      </w:r>
    </w:p>
    <w:p>
      <w:pPr>
        <w:adjustRightInd w:val="0"/>
        <w:snapToGrid w:val="0"/>
        <w:spacing w:line="560" w:lineRule="exact"/>
        <w:ind w:firstLine="594" w:firstLineChars="200"/>
        <w:rPr>
          <w:rFonts w:ascii="仿宋_GB2312"/>
          <w:szCs w:val="32"/>
        </w:rPr>
      </w:pPr>
      <w:r>
        <w:rPr>
          <w:rFonts w:hint="eastAsia" w:ascii="仿宋_GB2312"/>
          <w:szCs w:val="32"/>
        </w:rPr>
        <w:t>（一）配合项目承担单位开立、变更和撤销资金托管账户，对项目承担单位的托管账户进行管理，监控账户冻结或扣划情况；</w:t>
      </w:r>
    </w:p>
    <w:p>
      <w:pPr>
        <w:adjustRightInd w:val="0"/>
        <w:snapToGrid w:val="0"/>
        <w:spacing w:line="560" w:lineRule="exact"/>
        <w:ind w:firstLine="594" w:firstLineChars="200"/>
        <w:rPr>
          <w:rFonts w:ascii="仿宋_GB2312"/>
          <w:szCs w:val="32"/>
        </w:rPr>
      </w:pPr>
      <w:r>
        <w:rPr>
          <w:rFonts w:hint="eastAsia" w:ascii="仿宋_GB2312"/>
          <w:szCs w:val="32"/>
        </w:rPr>
        <w:t>（二）根据资金管理办法、项目下达文件、项目合同书（任务书）或其他相关规定进行资金托管。对项目承担单位的用款申请进行合规性审核，符合条件的用款申请及时办理付款；按项目建立台账，定期向项目承担单位发</w:t>
      </w:r>
      <w:r>
        <w:rPr>
          <w:rFonts w:ascii="仿宋_GB2312"/>
          <w:szCs w:val="32"/>
        </w:rPr>
        <w:t>送</w:t>
      </w:r>
      <w:r>
        <w:rPr>
          <w:rFonts w:hint="eastAsia" w:ascii="仿宋_GB2312"/>
          <w:szCs w:val="32"/>
        </w:rPr>
        <w:t>项目资金使用情况表；</w:t>
      </w:r>
    </w:p>
    <w:p>
      <w:pPr>
        <w:adjustRightInd w:val="0"/>
        <w:snapToGrid w:val="0"/>
        <w:spacing w:line="560" w:lineRule="exact"/>
        <w:ind w:firstLine="594" w:firstLineChars="200"/>
        <w:rPr>
          <w:rFonts w:ascii="仿宋_GB2312"/>
          <w:szCs w:val="32"/>
        </w:rPr>
      </w:pPr>
      <w:r>
        <w:rPr>
          <w:rFonts w:hint="eastAsia" w:ascii="仿宋_GB2312"/>
          <w:szCs w:val="32"/>
        </w:rPr>
        <w:t>（三）建设本行市内统一的专项资金项目托管台账管理系统，与市科技行政主管部门进行信息沟通，定期报送资金托管情况和报表数据；</w:t>
      </w:r>
    </w:p>
    <w:p>
      <w:pPr>
        <w:adjustRightInd w:val="0"/>
        <w:snapToGrid w:val="0"/>
        <w:spacing w:line="560" w:lineRule="exact"/>
        <w:ind w:firstLine="594" w:firstLineChars="200"/>
        <w:rPr>
          <w:rFonts w:ascii="仿宋_GB2312"/>
          <w:szCs w:val="32"/>
        </w:rPr>
      </w:pPr>
      <w:r>
        <w:rPr>
          <w:rFonts w:hint="eastAsia" w:ascii="仿宋_GB2312"/>
          <w:szCs w:val="32"/>
        </w:rPr>
        <w:t>（</w:t>
      </w:r>
      <w:r>
        <w:rPr>
          <w:rFonts w:ascii="仿宋_GB2312"/>
          <w:szCs w:val="32"/>
        </w:rPr>
        <w:t>四</w:t>
      </w:r>
      <w:r>
        <w:rPr>
          <w:rFonts w:hint="eastAsia" w:ascii="仿宋_GB2312"/>
          <w:szCs w:val="32"/>
        </w:rPr>
        <w:t>）适当提高项目承担单位的授信额度，合理降低相关贷款利率；</w:t>
      </w:r>
    </w:p>
    <w:p>
      <w:pPr>
        <w:adjustRightInd w:val="0"/>
        <w:snapToGrid w:val="0"/>
        <w:spacing w:line="560" w:lineRule="exact"/>
        <w:ind w:firstLine="594" w:firstLineChars="200"/>
        <w:rPr>
          <w:rFonts w:ascii="仿宋_GB2312"/>
          <w:szCs w:val="32"/>
        </w:rPr>
      </w:pPr>
      <w:r>
        <w:rPr>
          <w:rFonts w:hint="eastAsia" w:ascii="仿宋_GB2312"/>
          <w:szCs w:val="32"/>
        </w:rPr>
        <w:t>（</w:t>
      </w:r>
      <w:r>
        <w:rPr>
          <w:rFonts w:ascii="仿宋_GB2312"/>
          <w:szCs w:val="32"/>
        </w:rPr>
        <w:t>五</w:t>
      </w:r>
      <w:r>
        <w:rPr>
          <w:rFonts w:hint="eastAsia" w:ascii="仿宋_GB2312"/>
          <w:szCs w:val="32"/>
        </w:rPr>
        <w:t>）协助科技行政主管部门追回撤销、终止和验收不通过的项目资金；</w:t>
      </w:r>
    </w:p>
    <w:p>
      <w:pPr>
        <w:adjustRightInd w:val="0"/>
        <w:snapToGrid w:val="0"/>
        <w:spacing w:line="560" w:lineRule="exact"/>
        <w:ind w:firstLine="594" w:firstLineChars="200"/>
        <w:rPr>
          <w:rFonts w:ascii="仿宋_GB2312"/>
          <w:szCs w:val="32"/>
        </w:rPr>
      </w:pPr>
      <w:r>
        <w:rPr>
          <w:rFonts w:hint="eastAsia" w:ascii="仿宋_GB2312"/>
          <w:szCs w:val="32"/>
        </w:rPr>
        <w:t>（</w:t>
      </w:r>
      <w:r>
        <w:rPr>
          <w:rFonts w:ascii="仿宋_GB2312"/>
          <w:szCs w:val="32"/>
        </w:rPr>
        <w:t>六</w:t>
      </w:r>
      <w:r>
        <w:rPr>
          <w:rFonts w:hint="eastAsia" w:ascii="仿宋_GB2312"/>
          <w:szCs w:val="32"/>
        </w:rPr>
        <w:t>）配合审计、监督、绩效评价和再评价等工作。</w:t>
      </w:r>
    </w:p>
    <w:p>
      <w:pPr>
        <w:adjustRightInd w:val="0"/>
        <w:snapToGrid w:val="0"/>
        <w:spacing w:line="560" w:lineRule="exact"/>
        <w:ind w:firstLine="594" w:firstLineChars="200"/>
        <w:rPr>
          <w:rFonts w:ascii="仿宋_GB2312" w:eastAsiaTheme="minorEastAsia"/>
          <w:b/>
          <w:sz w:val="21"/>
          <w:szCs w:val="32"/>
        </w:rPr>
      </w:pPr>
      <w:r>
        <w:rPr>
          <w:rFonts w:hint="eastAsia" w:ascii="黑体" w:hAnsi="黑体" w:eastAsia="黑体" w:cs="楷体"/>
          <w:szCs w:val="32"/>
        </w:rPr>
        <w:t>第七条</w:t>
      </w:r>
      <w:r>
        <w:rPr>
          <w:rFonts w:hint="eastAsia" w:ascii="楷体" w:hAnsi="楷体" w:eastAsia="楷体" w:cs="楷体"/>
          <w:szCs w:val="32"/>
        </w:rPr>
        <w:t>【</w:t>
      </w:r>
      <w:r>
        <w:rPr>
          <w:rFonts w:hint="eastAsia" w:ascii="仿宋_GB2312" w:hAnsi="楷体" w:eastAsia="仿宋_GB2312" w:cs="楷体"/>
          <w:szCs w:val="32"/>
        </w:rPr>
        <w:t>项目承担单位职责</w:t>
      </w:r>
      <w:r>
        <w:rPr>
          <w:rFonts w:hint="eastAsia" w:ascii="楷体" w:hAnsi="楷体" w:eastAsia="楷体" w:cs="楷体"/>
          <w:szCs w:val="32"/>
        </w:rPr>
        <w:t>】</w:t>
      </w:r>
      <w:r>
        <w:rPr>
          <w:rFonts w:hint="eastAsia" w:ascii="仿宋_GB2312" w:hAnsi="仿宋_GB2312" w:cs="仿宋_GB2312"/>
          <w:szCs w:val="32"/>
        </w:rPr>
        <w:t>项目承担单位工作职责：</w:t>
      </w:r>
    </w:p>
    <w:p>
      <w:pPr>
        <w:adjustRightInd w:val="0"/>
        <w:snapToGrid w:val="0"/>
        <w:spacing w:line="560" w:lineRule="exact"/>
        <w:ind w:firstLine="594" w:firstLineChars="200"/>
        <w:rPr>
          <w:rFonts w:ascii="仿宋_GB2312"/>
          <w:szCs w:val="32"/>
        </w:rPr>
      </w:pPr>
      <w:r>
        <w:rPr>
          <w:rFonts w:hint="eastAsia" w:ascii="仿宋_GB2312"/>
          <w:szCs w:val="32"/>
        </w:rPr>
        <w:t>（一）在托管银行开立托管账户，并</w:t>
      </w:r>
      <w:r>
        <w:rPr>
          <w:rFonts w:hint="eastAsia" w:ascii="仿宋_GB2312" w:eastAsia="仿宋_GB2312" w:hAnsiTheme="minorHAnsi" w:cstheme="minorBidi"/>
          <w:kern w:val="2"/>
          <w:sz w:val="32"/>
          <w:szCs w:val="32"/>
          <w:lang w:val="en-US" w:eastAsia="zh-CN" w:bidi="ar-SA"/>
        </w:rPr>
        <w:t>按管理要求</w:t>
      </w:r>
      <w:bookmarkStart w:id="0" w:name="_GoBack"/>
      <w:bookmarkEnd w:id="0"/>
      <w:r>
        <w:rPr>
          <w:rFonts w:ascii="仿宋_GB2312"/>
          <w:szCs w:val="32"/>
        </w:rPr>
        <w:t>及时</w:t>
      </w:r>
      <w:r>
        <w:rPr>
          <w:rFonts w:hint="eastAsia" w:ascii="仿宋_GB2312"/>
          <w:szCs w:val="32"/>
        </w:rPr>
        <w:t>变更、撤销；</w:t>
      </w:r>
    </w:p>
    <w:p>
      <w:pPr>
        <w:adjustRightInd w:val="0"/>
        <w:snapToGrid w:val="0"/>
        <w:spacing w:line="560" w:lineRule="exact"/>
        <w:ind w:firstLine="594" w:firstLineChars="200"/>
        <w:rPr>
          <w:rFonts w:ascii="仿宋_GB2312"/>
          <w:szCs w:val="32"/>
        </w:rPr>
      </w:pPr>
      <w:r>
        <w:rPr>
          <w:rFonts w:hint="eastAsia" w:ascii="仿宋_GB2312"/>
          <w:szCs w:val="32"/>
        </w:rPr>
        <w:t>（二）根据要求向市科技行政主管部门提供财政拨款所需的材料；</w:t>
      </w:r>
    </w:p>
    <w:p>
      <w:pPr>
        <w:adjustRightInd w:val="0"/>
        <w:snapToGrid w:val="0"/>
        <w:spacing w:line="560" w:lineRule="exact"/>
        <w:ind w:firstLine="594" w:firstLineChars="200"/>
        <w:rPr>
          <w:rFonts w:ascii="仿宋_GB2312"/>
          <w:szCs w:val="32"/>
        </w:rPr>
      </w:pPr>
      <w:r>
        <w:rPr>
          <w:rFonts w:hint="eastAsia" w:ascii="仿宋_GB2312"/>
          <w:szCs w:val="32"/>
        </w:rPr>
        <w:t>（三）按照科研资金管理办法、项目下达文件、项目合同书（任务书）或其他相关规定使用项目资金，向托管银行提出资金使用申请；</w:t>
      </w:r>
    </w:p>
    <w:p>
      <w:pPr>
        <w:adjustRightInd w:val="0"/>
        <w:snapToGrid w:val="0"/>
        <w:spacing w:line="560" w:lineRule="exact"/>
        <w:ind w:firstLine="594" w:firstLineChars="200"/>
        <w:rPr>
          <w:rFonts w:ascii="仿宋_GB2312"/>
          <w:szCs w:val="32"/>
        </w:rPr>
      </w:pPr>
      <w:r>
        <w:rPr>
          <w:rFonts w:hint="eastAsia" w:ascii="仿宋_GB2312"/>
          <w:szCs w:val="32"/>
        </w:rPr>
        <w:t>（四）按项目与银行对账，确认项目资金使用情况；</w:t>
      </w:r>
    </w:p>
    <w:p>
      <w:pPr>
        <w:adjustRightInd w:val="0"/>
        <w:snapToGrid w:val="0"/>
        <w:spacing w:line="560" w:lineRule="exact"/>
        <w:ind w:firstLine="594" w:firstLineChars="200"/>
        <w:rPr>
          <w:rFonts w:ascii="仿宋_GB2312"/>
          <w:szCs w:val="32"/>
        </w:rPr>
      </w:pPr>
      <w:r>
        <w:rPr>
          <w:rFonts w:hint="eastAsia" w:ascii="仿宋_GB2312"/>
          <w:szCs w:val="32"/>
        </w:rPr>
        <w:t>（五）配合审计、监督、绩效评价和再评价等工作。</w:t>
      </w:r>
    </w:p>
    <w:p>
      <w:pPr>
        <w:adjustRightInd w:val="0"/>
        <w:snapToGrid w:val="0"/>
        <w:spacing w:line="560" w:lineRule="exact"/>
        <w:ind w:firstLine="594" w:firstLineChars="200"/>
        <w:jc w:val="both"/>
        <w:rPr>
          <w:rFonts w:ascii="黑体" w:hAnsi="黑体" w:eastAsia="黑体"/>
          <w:szCs w:val="32"/>
        </w:rPr>
      </w:pPr>
    </w:p>
    <w:p>
      <w:pPr>
        <w:adjustRightInd w:val="0"/>
        <w:snapToGrid w:val="0"/>
        <w:spacing w:line="560" w:lineRule="exact"/>
        <w:ind w:firstLine="594" w:firstLineChars="200"/>
        <w:jc w:val="center"/>
        <w:rPr>
          <w:rFonts w:ascii="仿宋_GB2312"/>
          <w:szCs w:val="32"/>
        </w:rPr>
      </w:pPr>
      <w:r>
        <w:rPr>
          <w:rFonts w:hint="eastAsia" w:ascii="黑体" w:hAnsi="黑体" w:eastAsia="黑体"/>
          <w:szCs w:val="32"/>
        </w:rPr>
        <w:t>第三章  托管银行</w:t>
      </w:r>
    </w:p>
    <w:p>
      <w:pPr>
        <w:adjustRightInd w:val="0"/>
        <w:snapToGrid w:val="0"/>
        <w:spacing w:line="560" w:lineRule="exact"/>
        <w:ind w:firstLine="594" w:firstLineChars="200"/>
        <w:rPr>
          <w:rFonts w:ascii="仿宋_GB2312"/>
          <w:szCs w:val="32"/>
        </w:rPr>
      </w:pPr>
      <w:r>
        <w:rPr>
          <w:rFonts w:hint="eastAsia" w:ascii="黑体" w:hAnsi="黑体" w:eastAsia="黑体" w:cs="楷体"/>
          <w:szCs w:val="32"/>
        </w:rPr>
        <w:t>第八条</w:t>
      </w:r>
      <w:r>
        <w:rPr>
          <w:rFonts w:hint="eastAsia" w:ascii="楷体" w:hAnsi="楷体" w:eastAsia="楷体" w:cs="楷体"/>
          <w:szCs w:val="32"/>
        </w:rPr>
        <w:t>【</w:t>
      </w:r>
      <w:r>
        <w:rPr>
          <w:rFonts w:hint="eastAsia" w:ascii="仿宋_GB2312" w:hAnsi="楷体" w:cs="楷体"/>
          <w:szCs w:val="32"/>
        </w:rPr>
        <w:t>条件资格</w:t>
      </w:r>
      <w:r>
        <w:rPr>
          <w:rFonts w:hint="eastAsia" w:ascii="楷体" w:hAnsi="楷体" w:eastAsia="楷体" w:cs="楷体"/>
          <w:szCs w:val="32"/>
        </w:rPr>
        <w:t>】</w:t>
      </w:r>
      <w:r>
        <w:rPr>
          <w:rFonts w:hint="eastAsia" w:ascii="仿宋_GB2312"/>
          <w:szCs w:val="32"/>
        </w:rPr>
        <w:t>纳入市银行监管部门考核的商业银行、具备服务科技企业职能的政策性银行，符合以下条件的，可以以总行或深圳一级分支机构（分行）为单位，向市科技行政主管部门申请托管银行备案。市科技行政主管部门对备案申请进行审核。</w:t>
      </w:r>
    </w:p>
    <w:p>
      <w:pPr>
        <w:adjustRightInd w:val="0"/>
        <w:snapToGrid w:val="0"/>
        <w:spacing w:line="560" w:lineRule="exact"/>
        <w:ind w:firstLine="594" w:firstLineChars="200"/>
        <w:rPr>
          <w:rFonts w:ascii="仿宋_GB2312"/>
          <w:szCs w:val="32"/>
        </w:rPr>
      </w:pPr>
      <w:r>
        <w:rPr>
          <w:rFonts w:hint="eastAsia" w:ascii="仿宋_GB2312"/>
          <w:szCs w:val="32"/>
        </w:rPr>
        <w:t>（一）资金汇划系统能够保证资金在本行系统内实时到账；内部管理规范，内控制度健全，具备专项资金托管相关的严格的操作规程和保密措施。</w:t>
      </w:r>
    </w:p>
    <w:p>
      <w:pPr>
        <w:adjustRightInd w:val="0"/>
        <w:snapToGrid w:val="0"/>
        <w:spacing w:line="560" w:lineRule="exact"/>
        <w:ind w:firstLine="594" w:firstLineChars="200"/>
        <w:rPr>
          <w:rFonts w:ascii="仿宋_GB2312"/>
          <w:szCs w:val="32"/>
        </w:rPr>
      </w:pPr>
      <w:r>
        <w:rPr>
          <w:rFonts w:hint="eastAsia" w:ascii="仿宋_GB2312"/>
          <w:szCs w:val="32"/>
        </w:rPr>
        <w:t>（二）具备实施专项资金集中管理信息系统，及时、全面、准确地记录、反映专项资金信息，包括以下功能：</w:t>
      </w:r>
    </w:p>
    <w:p>
      <w:pPr>
        <w:adjustRightInd w:val="0"/>
        <w:snapToGrid w:val="0"/>
        <w:spacing w:line="560" w:lineRule="exact"/>
        <w:ind w:firstLine="594" w:firstLineChars="200"/>
        <w:rPr>
          <w:rFonts w:ascii="仿宋_GB2312"/>
          <w:szCs w:val="32"/>
        </w:rPr>
      </w:pPr>
      <w:r>
        <w:rPr>
          <w:rFonts w:hint="eastAsia" w:ascii="仿宋_GB2312"/>
          <w:szCs w:val="32"/>
        </w:rPr>
        <w:t>1.过程管理功能。实现对项目资金的用款申请、分级审核、转账确认、收入确认等，过程可追溯。</w:t>
      </w:r>
    </w:p>
    <w:p>
      <w:pPr>
        <w:adjustRightInd w:val="0"/>
        <w:snapToGrid w:val="0"/>
        <w:spacing w:line="560" w:lineRule="exact"/>
        <w:ind w:firstLine="594" w:firstLineChars="200"/>
        <w:rPr>
          <w:rFonts w:ascii="仿宋_GB2312"/>
          <w:szCs w:val="32"/>
        </w:rPr>
      </w:pPr>
      <w:r>
        <w:rPr>
          <w:rFonts w:hint="eastAsia" w:ascii="仿宋_GB2312"/>
          <w:szCs w:val="32"/>
        </w:rPr>
        <w:t>2.资金核算功能。可分户、按项目核算收支和计息。</w:t>
      </w:r>
    </w:p>
    <w:p>
      <w:pPr>
        <w:adjustRightInd w:val="0"/>
        <w:snapToGrid w:val="0"/>
        <w:spacing w:line="560" w:lineRule="exact"/>
        <w:ind w:firstLine="594" w:firstLineChars="200"/>
        <w:rPr>
          <w:rFonts w:ascii="仿宋_GB2312"/>
          <w:szCs w:val="32"/>
        </w:rPr>
      </w:pPr>
      <w:r>
        <w:rPr>
          <w:rFonts w:hint="eastAsia" w:ascii="仿宋_GB2312"/>
          <w:szCs w:val="32"/>
        </w:rPr>
        <w:t>3.资金管控功能。付款方或收款方任意一方在风险预警名单内时，应提示预警；支付按项目止付、解除止付；同名账户转款进行提醒，并经二次确认；项目款项用途自动比对，对超用途用款默认拒绝，经二次确认同意的需实行次日操作。</w:t>
      </w:r>
    </w:p>
    <w:p>
      <w:pPr>
        <w:adjustRightInd w:val="0"/>
        <w:snapToGrid w:val="0"/>
        <w:spacing w:line="560" w:lineRule="exact"/>
        <w:ind w:firstLine="594" w:firstLineChars="200"/>
        <w:rPr>
          <w:rFonts w:ascii="仿宋_GB2312"/>
          <w:szCs w:val="32"/>
        </w:rPr>
      </w:pPr>
      <w:r>
        <w:rPr>
          <w:rFonts w:hint="eastAsia" w:ascii="仿宋_GB2312"/>
          <w:szCs w:val="32"/>
        </w:rPr>
        <w:t>4.项目资金管理。按项目记录台账。</w:t>
      </w:r>
    </w:p>
    <w:p>
      <w:pPr>
        <w:adjustRightInd w:val="0"/>
        <w:snapToGrid w:val="0"/>
        <w:spacing w:line="560" w:lineRule="exact"/>
        <w:ind w:firstLine="594" w:firstLineChars="200"/>
        <w:rPr>
          <w:rFonts w:ascii="仿宋_GB2312"/>
          <w:szCs w:val="32"/>
        </w:rPr>
      </w:pPr>
      <w:r>
        <w:rPr>
          <w:rFonts w:hint="eastAsia" w:ascii="仿宋_GB2312"/>
          <w:szCs w:val="32"/>
        </w:rPr>
        <w:t>5.数据报表功能。可根据管理要求自动生成数据报表，包括季报。</w:t>
      </w:r>
    </w:p>
    <w:p>
      <w:pPr>
        <w:adjustRightInd w:val="0"/>
        <w:snapToGrid w:val="0"/>
        <w:spacing w:line="560" w:lineRule="exact"/>
        <w:ind w:firstLine="594" w:firstLineChars="200"/>
        <w:rPr>
          <w:rFonts w:ascii="仿宋_GB2312"/>
          <w:szCs w:val="32"/>
        </w:rPr>
      </w:pPr>
      <w:r>
        <w:rPr>
          <w:rFonts w:hint="eastAsia" w:ascii="仿宋_GB2312"/>
          <w:szCs w:val="32"/>
        </w:rPr>
        <w:t>6.信息系统建设。信息系统具备上述管理功能，并能与市科技行政主管部门业务系统建立数据交换接口。</w:t>
      </w:r>
    </w:p>
    <w:p>
      <w:pPr>
        <w:adjustRightInd w:val="0"/>
        <w:snapToGrid w:val="0"/>
        <w:spacing w:line="560" w:lineRule="exact"/>
        <w:ind w:firstLine="594" w:firstLineChars="200"/>
        <w:rPr>
          <w:rFonts w:ascii="仿宋_GB2312"/>
          <w:szCs w:val="32"/>
        </w:rPr>
      </w:pPr>
      <w:r>
        <w:rPr>
          <w:rFonts w:hint="eastAsia" w:ascii="仿宋_GB2312"/>
          <w:szCs w:val="32"/>
        </w:rPr>
        <w:t>（三）与市科技行政主管部门签订合作协议或备忘录，接受相关信息对社会公示。在项目合同书（任务书）上，与市科技行政主管部门和项目承担单位签订三方合同。</w:t>
      </w:r>
    </w:p>
    <w:p>
      <w:pPr>
        <w:adjustRightInd w:val="0"/>
        <w:snapToGrid w:val="0"/>
        <w:spacing w:line="560" w:lineRule="exact"/>
        <w:ind w:firstLine="594" w:firstLineChars="200"/>
        <w:rPr>
          <w:rFonts w:ascii="仿宋_GB2312"/>
          <w:szCs w:val="32"/>
        </w:rPr>
      </w:pPr>
      <w:r>
        <w:rPr>
          <w:rFonts w:hint="eastAsia" w:ascii="黑体" w:hAnsi="黑体" w:eastAsia="黑体"/>
          <w:szCs w:val="32"/>
        </w:rPr>
        <w:t>第九条</w:t>
      </w:r>
      <w:r>
        <w:rPr>
          <w:rFonts w:hint="eastAsia" w:ascii="仿宋_GB2312"/>
          <w:szCs w:val="32"/>
        </w:rPr>
        <w:t>【服务网点】托管银行可以向市科技行政主管部门申请服务网点。服务网点应当相对集中。市科技行政主管部门根据银行服务质量，按照相对集中的原则，对服务网点申请进行审核备案。</w:t>
      </w:r>
    </w:p>
    <w:p>
      <w:pPr>
        <w:adjustRightInd w:val="0"/>
        <w:snapToGrid w:val="0"/>
        <w:spacing w:line="560" w:lineRule="exact"/>
        <w:ind w:firstLine="594" w:firstLineChars="200"/>
        <w:rPr>
          <w:rFonts w:ascii="仿宋_GB2312"/>
          <w:szCs w:val="32"/>
        </w:rPr>
      </w:pPr>
      <w:r>
        <w:rPr>
          <w:rFonts w:hint="eastAsia" w:ascii="仿宋_GB2312"/>
          <w:szCs w:val="32"/>
        </w:rPr>
        <w:t xml:space="preserve"> </w:t>
      </w:r>
      <w:r>
        <w:rPr>
          <w:rFonts w:hint="eastAsia" w:ascii="黑体" w:hAnsi="黑体" w:eastAsia="黑体"/>
          <w:szCs w:val="32"/>
        </w:rPr>
        <w:t>第十条</w:t>
      </w:r>
      <w:r>
        <w:rPr>
          <w:rFonts w:hint="eastAsia" w:ascii="仿宋_GB2312"/>
          <w:szCs w:val="32"/>
        </w:rPr>
        <w:t>【内控要求】托管银行应当完善内部管理制度，建立安全可信的信息化管理系统，在对申请资料进行严格审查的基础上，最大程度地为项目承担单位提供便利。</w:t>
      </w:r>
    </w:p>
    <w:p>
      <w:pPr>
        <w:adjustRightInd w:val="0"/>
        <w:snapToGrid w:val="0"/>
        <w:spacing w:line="560" w:lineRule="exact"/>
        <w:ind w:firstLine="594" w:firstLineChars="200"/>
        <w:rPr>
          <w:rFonts w:ascii="仿宋_GB2312"/>
          <w:szCs w:val="32"/>
        </w:rPr>
      </w:pPr>
      <w:r>
        <w:rPr>
          <w:rFonts w:hint="eastAsia" w:ascii="仿宋_GB2312"/>
          <w:szCs w:val="32"/>
        </w:rPr>
        <w:t>（一）全市范围内所有提供托管服务的网点实行统一的服务规范。</w:t>
      </w:r>
    </w:p>
    <w:p>
      <w:pPr>
        <w:adjustRightInd w:val="0"/>
        <w:snapToGrid w:val="0"/>
        <w:spacing w:line="560" w:lineRule="exact"/>
        <w:ind w:firstLine="594" w:firstLineChars="200"/>
        <w:rPr>
          <w:rFonts w:ascii="仿宋_GB2312"/>
          <w:szCs w:val="32"/>
        </w:rPr>
      </w:pPr>
      <w:r>
        <w:rPr>
          <w:rFonts w:hint="eastAsia" w:ascii="仿宋_GB2312"/>
          <w:szCs w:val="32"/>
        </w:rPr>
        <w:t>（二）建立完善的托管岗位责任制和资金用款审核内部控制制度，明确岗位职责、工作规程、审核要求、风险防范等机制。</w:t>
      </w:r>
    </w:p>
    <w:p>
      <w:pPr>
        <w:adjustRightInd w:val="0"/>
        <w:snapToGrid w:val="0"/>
        <w:spacing w:line="560" w:lineRule="exact"/>
        <w:ind w:firstLine="594" w:firstLineChars="200"/>
        <w:rPr>
          <w:rFonts w:ascii="仿宋_GB2312"/>
          <w:szCs w:val="32"/>
        </w:rPr>
      </w:pPr>
      <w:r>
        <w:rPr>
          <w:rFonts w:hint="eastAsia" w:ascii="仿宋_GB2312"/>
          <w:szCs w:val="32"/>
        </w:rPr>
        <w:t>（三）</w:t>
      </w:r>
      <w:r>
        <w:rPr>
          <w:rFonts w:ascii="仿宋_GB2312"/>
          <w:szCs w:val="32"/>
        </w:rPr>
        <w:t>按照</w:t>
      </w:r>
      <w:r>
        <w:rPr>
          <w:rFonts w:hint="eastAsia" w:ascii="仿宋_GB2312"/>
          <w:szCs w:val="32"/>
        </w:rPr>
        <w:t>项目建立完善的资金台账，按项目详细记录每笔收支明细。</w:t>
      </w:r>
    </w:p>
    <w:p>
      <w:pPr>
        <w:adjustRightInd w:val="0"/>
        <w:snapToGrid w:val="0"/>
        <w:spacing w:line="560" w:lineRule="exact"/>
        <w:ind w:firstLine="594" w:firstLineChars="200"/>
        <w:rPr>
          <w:rFonts w:ascii="仿宋_GB2312"/>
          <w:szCs w:val="32"/>
        </w:rPr>
      </w:pPr>
      <w:r>
        <w:rPr>
          <w:rFonts w:hint="eastAsia" w:ascii="仿宋_GB2312"/>
          <w:szCs w:val="32"/>
        </w:rPr>
        <w:t>（四）在资金托管服务过程中发现项目承担单位存在的重大失信行为和风险状况，应及时上报市科技行政主管部门。</w:t>
      </w:r>
    </w:p>
    <w:p>
      <w:pPr>
        <w:adjustRightInd w:val="0"/>
        <w:snapToGrid w:val="0"/>
        <w:spacing w:line="560" w:lineRule="exact"/>
        <w:ind w:firstLine="594" w:firstLineChars="200"/>
        <w:rPr>
          <w:rFonts w:ascii="仿宋_GB2312"/>
          <w:szCs w:val="32"/>
        </w:rPr>
      </w:pPr>
      <w:r>
        <w:rPr>
          <w:rFonts w:hint="eastAsia" w:ascii="黑体" w:hAnsi="黑体" w:eastAsia="黑体" w:cs="楷体"/>
          <w:szCs w:val="32"/>
        </w:rPr>
        <w:t>第十一条</w:t>
      </w:r>
      <w:r>
        <w:rPr>
          <w:rFonts w:hint="eastAsia" w:ascii="楷体" w:hAnsi="楷体" w:eastAsia="楷体" w:cs="楷体"/>
          <w:szCs w:val="32"/>
        </w:rPr>
        <w:t>【</w:t>
      </w:r>
      <w:r>
        <w:rPr>
          <w:rFonts w:hint="eastAsia" w:ascii="仿宋_GB2312" w:hAnsi="楷体" w:cs="楷体"/>
          <w:szCs w:val="32"/>
        </w:rPr>
        <w:t>银行和网点</w:t>
      </w:r>
      <w:r>
        <w:rPr>
          <w:rFonts w:hint="eastAsia" w:ascii="仿宋_GB2312" w:hAnsi="楷体" w:eastAsia="仿宋_GB2312" w:cs="楷体"/>
          <w:szCs w:val="32"/>
        </w:rPr>
        <w:t>退出</w:t>
      </w:r>
      <w:r>
        <w:rPr>
          <w:rFonts w:hint="eastAsia" w:ascii="楷体" w:hAnsi="楷体" w:eastAsia="楷体" w:cs="楷体"/>
          <w:szCs w:val="32"/>
        </w:rPr>
        <w:t>】</w:t>
      </w:r>
      <w:r>
        <w:rPr>
          <w:rFonts w:hint="eastAsia" w:ascii="仿宋_GB2312"/>
          <w:szCs w:val="32"/>
        </w:rPr>
        <w:t>托管银行或网点主动退出、被动退出的，或者取消托管银行或网点资质的，其所管理的托管账户应当进行迁移。</w:t>
      </w:r>
    </w:p>
    <w:p>
      <w:pPr>
        <w:adjustRightInd w:val="0"/>
        <w:snapToGrid w:val="0"/>
        <w:spacing w:line="560" w:lineRule="exact"/>
        <w:ind w:firstLine="594" w:firstLineChars="200"/>
        <w:rPr>
          <w:rFonts w:ascii="仿宋_GB2312"/>
          <w:szCs w:val="32"/>
        </w:rPr>
      </w:pPr>
      <w:r>
        <w:rPr>
          <w:rFonts w:hint="eastAsia" w:ascii="黑体" w:hAnsi="黑体" w:eastAsia="黑体"/>
          <w:szCs w:val="32"/>
        </w:rPr>
        <w:t>第十二条</w:t>
      </w:r>
      <w:r>
        <w:rPr>
          <w:rFonts w:hint="eastAsia" w:ascii="仿宋_GB2312"/>
          <w:szCs w:val="32"/>
        </w:rPr>
        <w:t>【管理监督】市科技行政主管部门可委托中介机构，对托管银行在专项资金的使用、管理和监督的情况进行鉴证监督，出具评估报告。</w:t>
      </w:r>
    </w:p>
    <w:p>
      <w:pPr>
        <w:adjustRightInd w:val="0"/>
        <w:snapToGrid w:val="0"/>
        <w:spacing w:line="560" w:lineRule="exact"/>
        <w:ind w:firstLine="594" w:firstLineChars="200"/>
        <w:rPr>
          <w:rFonts w:ascii="仿宋_GB2312"/>
          <w:szCs w:val="32"/>
        </w:rPr>
      </w:pPr>
      <w:r>
        <w:rPr>
          <w:rFonts w:hint="eastAsia" w:ascii="仿宋_GB2312"/>
          <w:szCs w:val="32"/>
        </w:rPr>
        <w:t>对于项目承担单位投诉较多的托管银行，市科技行政主管部门将视情况采用提醒、警告乃至取消其托管银行资格的方式予以处理。对于其中涉及违法违规的行为，将移送有关部门处理。</w:t>
      </w:r>
    </w:p>
    <w:p>
      <w:pPr>
        <w:adjustRightInd w:val="0"/>
        <w:snapToGrid w:val="0"/>
        <w:spacing w:line="560" w:lineRule="exact"/>
        <w:ind w:firstLine="594" w:firstLineChars="200"/>
        <w:jc w:val="both"/>
        <w:rPr>
          <w:rFonts w:ascii="黑体" w:hAnsi="黑体" w:eastAsia="黑体"/>
          <w:szCs w:val="32"/>
        </w:rPr>
      </w:pPr>
    </w:p>
    <w:p>
      <w:pPr>
        <w:adjustRightInd w:val="0"/>
        <w:snapToGrid w:val="0"/>
        <w:spacing w:line="560" w:lineRule="exact"/>
        <w:ind w:firstLine="594" w:firstLineChars="200"/>
        <w:jc w:val="center"/>
        <w:rPr>
          <w:rFonts w:ascii="仿宋_GB2312" w:hAnsi="仿宋" w:cs="宋体"/>
          <w:color w:val="333333"/>
          <w:kern w:val="0"/>
          <w:szCs w:val="32"/>
          <w:shd w:val="clear" w:color="auto" w:fill="FFFFFF"/>
        </w:rPr>
      </w:pPr>
      <w:r>
        <w:rPr>
          <w:rFonts w:hint="eastAsia" w:ascii="黑体" w:hAnsi="黑体" w:eastAsia="黑体"/>
          <w:szCs w:val="32"/>
        </w:rPr>
        <w:t>第四章　托管账户</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第十三条</w:t>
      </w:r>
      <w:r>
        <w:rPr>
          <w:rFonts w:hint="eastAsia" w:ascii="楷体" w:hAnsi="楷体" w:eastAsia="楷体" w:cs="楷体"/>
          <w:szCs w:val="32"/>
        </w:rPr>
        <w:t>【</w:t>
      </w:r>
      <w:r>
        <w:rPr>
          <w:rFonts w:hint="eastAsia" w:ascii="仿宋_GB2312" w:hAnsi="楷体" w:eastAsia="仿宋_GB2312" w:cs="楷体"/>
          <w:szCs w:val="32"/>
        </w:rPr>
        <w:t>账户</w:t>
      </w:r>
      <w:r>
        <w:rPr>
          <w:rFonts w:ascii="仿宋_GB2312" w:hAnsi="楷体" w:eastAsia="仿宋_GB2312" w:cs="楷体"/>
          <w:szCs w:val="32"/>
        </w:rPr>
        <w:t>开立</w:t>
      </w:r>
      <w:r>
        <w:rPr>
          <w:rFonts w:hint="eastAsia" w:ascii="楷体" w:hAnsi="楷体" w:eastAsia="楷体" w:cs="楷体"/>
          <w:szCs w:val="32"/>
        </w:rPr>
        <w:t>】</w:t>
      </w:r>
      <w:r>
        <w:rPr>
          <w:rFonts w:hint="eastAsia" w:ascii="仿宋_GB2312"/>
          <w:szCs w:val="32"/>
        </w:rPr>
        <w:t>市科技行政主管部门</w:t>
      </w:r>
      <w:r>
        <w:rPr>
          <w:rFonts w:ascii="仿宋_GB2312"/>
          <w:szCs w:val="32"/>
        </w:rPr>
        <w:t>对外</w:t>
      </w:r>
      <w:r>
        <w:rPr>
          <w:rFonts w:hint="eastAsia" w:ascii="仿宋_GB2312"/>
          <w:szCs w:val="32"/>
        </w:rPr>
        <w:t>公布托管银行及网点名录、相关制度文件，项目承担单位可以自主选择托管银行开立托管账户。每个项目承担单位只能开立一个托管账户，开通网上银行功能，统一接受市科技研发资助项目资金。</w:t>
      </w:r>
    </w:p>
    <w:p>
      <w:pPr>
        <w:adjustRightInd w:val="0"/>
        <w:snapToGrid w:val="0"/>
        <w:spacing w:line="560" w:lineRule="exact"/>
        <w:ind w:firstLine="594" w:firstLineChars="200"/>
        <w:rPr>
          <w:rFonts w:ascii="仿宋_GB2312"/>
          <w:szCs w:val="32"/>
        </w:rPr>
      </w:pPr>
      <w:r>
        <w:rPr>
          <w:rFonts w:hint="eastAsia" w:ascii="仿宋_GB2312"/>
          <w:szCs w:val="32"/>
        </w:rPr>
        <w:t>托管银行在开立或确定托管账户时</w:t>
      </w:r>
      <w:r>
        <w:rPr>
          <w:rFonts w:ascii="仿宋_GB2312"/>
          <w:szCs w:val="32"/>
        </w:rPr>
        <w:t>应当</w:t>
      </w:r>
      <w:r>
        <w:rPr>
          <w:rFonts w:hint="eastAsia" w:ascii="仿宋_GB2312"/>
          <w:szCs w:val="32"/>
        </w:rPr>
        <w:t>核查账户唯一性。</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第十四条</w:t>
      </w:r>
      <w:r>
        <w:rPr>
          <w:rFonts w:hint="eastAsia" w:ascii="楷体" w:hAnsi="楷体" w:eastAsia="楷体" w:cs="楷体"/>
          <w:szCs w:val="32"/>
        </w:rPr>
        <w:t>【</w:t>
      </w:r>
      <w:r>
        <w:rPr>
          <w:rFonts w:hint="eastAsia" w:ascii="仿宋_GB2312" w:hAnsi="楷体" w:eastAsia="仿宋_GB2312" w:cs="楷体"/>
          <w:szCs w:val="32"/>
        </w:rPr>
        <w:t>账户变更</w:t>
      </w:r>
      <w:r>
        <w:rPr>
          <w:rFonts w:hint="eastAsia" w:ascii="楷体" w:hAnsi="楷体" w:eastAsia="楷体" w:cs="楷体"/>
          <w:szCs w:val="32"/>
        </w:rPr>
        <w:t>】</w:t>
      </w:r>
      <w:r>
        <w:rPr>
          <w:rFonts w:hint="eastAsia" w:ascii="仿宋_GB2312"/>
          <w:szCs w:val="32"/>
        </w:rPr>
        <w:t>托管银行账户原则上不能变更，确有客观原因需要变更的，拟开户托管银行需报送账户变更申请资料，市科技行政主管部门按照同一银行网点优先的原则进行审核。</w:t>
      </w:r>
    </w:p>
    <w:p>
      <w:pPr>
        <w:adjustRightInd w:val="0"/>
        <w:snapToGrid w:val="0"/>
        <w:spacing w:line="560" w:lineRule="exact"/>
        <w:ind w:firstLine="594" w:firstLineChars="200"/>
        <w:rPr>
          <w:rFonts w:ascii="仿宋_GB2312" w:hAnsi="楷体" w:cs="楷体" w:eastAsiaTheme="minorEastAsia"/>
          <w:sz w:val="21"/>
          <w:szCs w:val="32"/>
        </w:rPr>
      </w:pPr>
      <w:r>
        <w:rPr>
          <w:rFonts w:hint="eastAsia" w:ascii="黑体" w:hAnsi="黑体" w:eastAsia="黑体" w:cs="楷体"/>
          <w:szCs w:val="32"/>
        </w:rPr>
        <w:t>第十</w:t>
      </w:r>
      <w:r>
        <w:rPr>
          <w:rFonts w:ascii="黑体" w:hAnsi="黑体" w:eastAsia="黑体" w:cs="楷体"/>
          <w:szCs w:val="32"/>
        </w:rPr>
        <w:t>五</w:t>
      </w:r>
      <w:r>
        <w:rPr>
          <w:rFonts w:hint="eastAsia" w:ascii="黑体" w:hAnsi="黑体" w:eastAsia="黑体" w:cs="楷体"/>
          <w:szCs w:val="32"/>
        </w:rPr>
        <w:t>条</w:t>
      </w:r>
      <w:r>
        <w:rPr>
          <w:rFonts w:hint="eastAsia" w:ascii="楷体" w:hAnsi="楷体" w:eastAsia="楷体" w:cs="楷体"/>
          <w:szCs w:val="32"/>
        </w:rPr>
        <w:t>【</w:t>
      </w:r>
      <w:r>
        <w:rPr>
          <w:rFonts w:hint="eastAsia" w:ascii="仿宋_GB2312" w:hAnsi="楷体" w:eastAsia="仿宋_GB2312" w:cs="楷体"/>
          <w:szCs w:val="32"/>
        </w:rPr>
        <w:t>账户迁移</w:t>
      </w:r>
      <w:r>
        <w:rPr>
          <w:rFonts w:hint="eastAsia" w:ascii="楷体" w:hAnsi="楷体" w:eastAsia="楷体" w:cs="楷体"/>
          <w:szCs w:val="32"/>
        </w:rPr>
        <w:t>】</w:t>
      </w:r>
      <w:r>
        <w:rPr>
          <w:rFonts w:hint="eastAsia" w:ascii="仿宋_GB2312" w:hAnsi="楷体" w:eastAsia="仿宋_GB2312" w:cs="楷体"/>
          <w:szCs w:val="32"/>
        </w:rPr>
        <w:t>托管</w:t>
      </w:r>
      <w:r>
        <w:rPr>
          <w:rFonts w:hint="eastAsia" w:ascii="仿宋_GB2312"/>
          <w:szCs w:val="32"/>
        </w:rPr>
        <w:t>银行不再履行资金托管的，托管账户资金</w:t>
      </w:r>
      <w:r>
        <w:rPr>
          <w:rFonts w:ascii="仿宋_GB2312"/>
          <w:szCs w:val="32"/>
        </w:rPr>
        <w:t>应当</w:t>
      </w:r>
      <w:r>
        <w:rPr>
          <w:rFonts w:hint="eastAsia" w:ascii="仿宋_GB2312"/>
          <w:szCs w:val="32"/>
        </w:rPr>
        <w:t>进行迁移。</w:t>
      </w:r>
    </w:p>
    <w:p>
      <w:pPr>
        <w:adjustRightInd w:val="0"/>
        <w:snapToGrid w:val="0"/>
        <w:spacing w:line="560" w:lineRule="exact"/>
        <w:ind w:firstLine="594" w:firstLineChars="200"/>
        <w:rPr>
          <w:rFonts w:ascii="仿宋_GB2312"/>
          <w:szCs w:val="32"/>
        </w:rPr>
      </w:pPr>
      <w:r>
        <w:rPr>
          <w:rFonts w:hint="eastAsia" w:ascii="仿宋_GB2312"/>
          <w:szCs w:val="32"/>
        </w:rPr>
        <w:t>项目承担单位与原托管银行核对账户资金、项目清单明细，并将账户资金情况、项目文件、项目台账等移交给</w:t>
      </w:r>
      <w:r>
        <w:rPr>
          <w:rFonts w:ascii="仿宋_GB2312"/>
          <w:szCs w:val="32"/>
        </w:rPr>
        <w:t>新托管</w:t>
      </w:r>
      <w:r>
        <w:rPr>
          <w:rFonts w:hint="eastAsia" w:ascii="仿宋_GB2312"/>
          <w:szCs w:val="32"/>
        </w:rPr>
        <w:t>银行。</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第十六条</w:t>
      </w:r>
      <w:r>
        <w:rPr>
          <w:rFonts w:hint="eastAsia" w:ascii="楷体" w:hAnsi="楷体" w:eastAsia="楷体" w:cs="楷体"/>
          <w:szCs w:val="32"/>
        </w:rPr>
        <w:t>【</w:t>
      </w:r>
      <w:r>
        <w:rPr>
          <w:rFonts w:hint="eastAsia" w:ascii="仿宋_GB2312" w:hAnsi="楷体" w:eastAsia="仿宋_GB2312" w:cs="楷体"/>
          <w:szCs w:val="32"/>
        </w:rPr>
        <w:t>账户销户</w:t>
      </w:r>
      <w:r>
        <w:rPr>
          <w:rFonts w:hint="eastAsia" w:ascii="楷体" w:hAnsi="楷体" w:eastAsia="楷体" w:cs="楷体"/>
          <w:szCs w:val="32"/>
        </w:rPr>
        <w:t>】</w:t>
      </w:r>
      <w:r>
        <w:rPr>
          <w:rFonts w:hint="eastAsia" w:ascii="仿宋_GB2312"/>
          <w:szCs w:val="32"/>
        </w:rPr>
        <w:t>托管账户资金清零后，可以办理销户。项目承担单位的托管账户销户后需再开立账户的，原则上在原销户银行办理，更换开户银行的，需报市科技行政主管部门审核。</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szCs w:val="32"/>
        </w:rPr>
        <w:t>第十七条</w:t>
      </w:r>
      <w:r>
        <w:rPr>
          <w:rFonts w:hint="eastAsia" w:ascii="仿宋_GB2312"/>
          <w:szCs w:val="32"/>
        </w:rPr>
        <w:t>【账户异常】有关机关对托管账户进行查封、冻结、划扣的，托管银行</w:t>
      </w:r>
      <w:r>
        <w:rPr>
          <w:rFonts w:ascii="仿宋_GB2312"/>
          <w:szCs w:val="32"/>
        </w:rPr>
        <w:t>应当在</w:t>
      </w:r>
      <w:r>
        <w:rPr>
          <w:rFonts w:hint="eastAsia" w:ascii="仿宋_GB2312"/>
          <w:szCs w:val="32"/>
        </w:rPr>
        <w:t>5个工作日内告知市科技行政主管部门，市科技行政主管部门将项目承担单位纳入风险预警名单。托管账户解除冻扣且无其他违规事项的，将项目承担单位移出风险预警名单。</w:t>
      </w:r>
    </w:p>
    <w:p>
      <w:pPr>
        <w:adjustRightInd w:val="0"/>
        <w:snapToGrid w:val="0"/>
        <w:spacing w:line="560" w:lineRule="exact"/>
        <w:ind w:firstLine="374" w:firstLineChars="200"/>
        <w:rPr>
          <w:rFonts w:ascii="仿宋_GB2312" w:eastAsiaTheme="minorEastAsia"/>
          <w:sz w:val="21"/>
          <w:szCs w:val="32"/>
        </w:rPr>
      </w:pPr>
    </w:p>
    <w:p>
      <w:pPr>
        <w:adjustRightInd w:val="0"/>
        <w:snapToGrid w:val="0"/>
        <w:spacing w:line="560" w:lineRule="exact"/>
        <w:ind w:firstLine="594" w:firstLineChars="200"/>
        <w:jc w:val="center"/>
        <w:rPr>
          <w:rFonts w:ascii="黑体" w:hAnsi="黑体" w:eastAsia="黑体"/>
          <w:szCs w:val="32"/>
        </w:rPr>
      </w:pPr>
      <w:r>
        <w:rPr>
          <w:rFonts w:hint="eastAsia" w:ascii="黑体" w:hAnsi="黑体" w:eastAsia="黑体"/>
          <w:szCs w:val="32"/>
        </w:rPr>
        <w:t>第四章　资金托管</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第十八条</w:t>
      </w:r>
      <w:r>
        <w:rPr>
          <w:rFonts w:hint="eastAsia" w:ascii="楷体" w:hAnsi="楷体" w:eastAsia="楷体" w:cs="楷体"/>
          <w:szCs w:val="32"/>
        </w:rPr>
        <w:t>【</w:t>
      </w:r>
      <w:r>
        <w:rPr>
          <w:rFonts w:hint="eastAsia" w:ascii="仿宋_GB2312" w:hAnsi="楷体" w:eastAsia="仿宋_GB2312" w:cs="楷体"/>
          <w:szCs w:val="32"/>
        </w:rPr>
        <w:t>项目拨款</w:t>
      </w:r>
      <w:r>
        <w:rPr>
          <w:rFonts w:hint="eastAsia" w:ascii="楷体" w:hAnsi="楷体" w:eastAsia="楷体" w:cs="楷体"/>
          <w:szCs w:val="32"/>
        </w:rPr>
        <w:t>】</w:t>
      </w:r>
      <w:r>
        <w:rPr>
          <w:rFonts w:hint="eastAsia" w:ascii="仿宋_GB2312"/>
          <w:szCs w:val="32"/>
        </w:rPr>
        <w:t>市科技行政主管部门按照国库集中支付有关规定和银行托管要求，将项目资助资金拨付至项目承担单位托管账户。</w:t>
      </w:r>
    </w:p>
    <w:p>
      <w:pPr>
        <w:adjustRightInd w:val="0"/>
        <w:snapToGrid w:val="0"/>
        <w:spacing w:line="560" w:lineRule="exact"/>
        <w:ind w:firstLine="594" w:firstLineChars="200"/>
        <w:rPr>
          <w:rFonts w:ascii="仿宋_GB2312"/>
          <w:szCs w:val="32"/>
        </w:rPr>
      </w:pPr>
      <w:r>
        <w:rPr>
          <w:rFonts w:hint="eastAsia" w:ascii="仿宋_GB2312"/>
          <w:szCs w:val="32"/>
        </w:rPr>
        <w:t>市科技行政主管部门应当通知项目承担单位提供由托管银行出具的托管账户凭证，并准备项目拨款其他材料。</w:t>
      </w:r>
    </w:p>
    <w:p>
      <w:pPr>
        <w:adjustRightInd w:val="0"/>
        <w:snapToGrid w:val="0"/>
        <w:spacing w:line="560" w:lineRule="exact"/>
        <w:ind w:firstLine="594" w:firstLineChars="200"/>
        <w:rPr>
          <w:rFonts w:ascii="仿宋_GB2312"/>
          <w:szCs w:val="32"/>
        </w:rPr>
      </w:pPr>
      <w:r>
        <w:rPr>
          <w:rFonts w:hint="eastAsia" w:ascii="黑体" w:hAnsi="黑体" w:eastAsia="黑体" w:cs="楷体"/>
          <w:szCs w:val="32"/>
        </w:rPr>
        <w:t>第十九条</w:t>
      </w:r>
      <w:r>
        <w:rPr>
          <w:rFonts w:hint="eastAsia" w:ascii="楷体" w:hAnsi="楷体" w:eastAsia="楷体" w:cs="楷体"/>
          <w:szCs w:val="32"/>
        </w:rPr>
        <w:t>【</w:t>
      </w:r>
      <w:r>
        <w:rPr>
          <w:rFonts w:hint="eastAsia" w:ascii="仿宋_GB2312" w:hAnsi="楷体" w:cs="楷体"/>
          <w:szCs w:val="32"/>
        </w:rPr>
        <w:t>托管依据</w:t>
      </w:r>
      <w:r>
        <w:rPr>
          <w:rFonts w:hint="eastAsia" w:ascii="楷体" w:hAnsi="楷体" w:eastAsia="楷体" w:cs="楷体"/>
          <w:szCs w:val="32"/>
        </w:rPr>
        <w:t>】</w:t>
      </w:r>
      <w:r>
        <w:rPr>
          <w:rFonts w:hint="eastAsia" w:ascii="仿宋_GB2312"/>
          <w:szCs w:val="32"/>
        </w:rPr>
        <w:t>市科技行政主管部门</w:t>
      </w:r>
      <w:r>
        <w:rPr>
          <w:rFonts w:ascii="仿宋_GB2312"/>
          <w:szCs w:val="32"/>
        </w:rPr>
        <w:t>应当</w:t>
      </w:r>
      <w:r>
        <w:rPr>
          <w:rFonts w:hint="eastAsia" w:ascii="仿宋_GB2312"/>
          <w:szCs w:val="32"/>
        </w:rPr>
        <w:t>以项目下达文件和项目合同书（任务书）等书面形式，明确项目资金的托管要求，提供给项目承担单位和托管银行。项目资金托管要求</w:t>
      </w:r>
      <w:r>
        <w:rPr>
          <w:rFonts w:ascii="仿宋_GB2312"/>
          <w:szCs w:val="32"/>
        </w:rPr>
        <w:t>包括预算明细</w:t>
      </w:r>
      <w:r>
        <w:rPr>
          <w:rFonts w:hint="eastAsia" w:ascii="仿宋_GB2312"/>
          <w:szCs w:val="32"/>
        </w:rPr>
        <w:t>、</w:t>
      </w:r>
      <w:r>
        <w:rPr>
          <w:rFonts w:ascii="仿宋_GB2312"/>
          <w:szCs w:val="32"/>
        </w:rPr>
        <w:t>用款进度计划</w:t>
      </w:r>
      <w:r>
        <w:rPr>
          <w:rFonts w:hint="eastAsia" w:ascii="仿宋_GB2312"/>
          <w:szCs w:val="32"/>
        </w:rPr>
        <w:t>、</w:t>
      </w:r>
      <w:r>
        <w:rPr>
          <w:rFonts w:ascii="仿宋_GB2312"/>
          <w:szCs w:val="32"/>
        </w:rPr>
        <w:t>验收时间和凭证</w:t>
      </w:r>
      <w:r>
        <w:rPr>
          <w:rFonts w:hint="eastAsia" w:ascii="仿宋_GB2312"/>
          <w:szCs w:val="32"/>
        </w:rPr>
        <w:t>等。</w:t>
      </w:r>
    </w:p>
    <w:p>
      <w:pPr>
        <w:adjustRightInd w:val="0"/>
        <w:snapToGrid w:val="0"/>
        <w:spacing w:line="560" w:lineRule="exact"/>
        <w:ind w:firstLine="594" w:firstLineChars="200"/>
        <w:rPr>
          <w:rFonts w:ascii="仿宋_GB2312"/>
          <w:szCs w:val="32"/>
        </w:rPr>
      </w:pPr>
      <w:r>
        <w:rPr>
          <w:rFonts w:hint="eastAsia" w:ascii="仿宋_GB2312"/>
          <w:szCs w:val="32"/>
        </w:rPr>
        <w:t>托管银行根据资金管理办法、项目下达文件、项目合同书（任务书）或其他相关规定对资金的使用进行托管，确认专项资金的收入与审核项目资金的支付。</w:t>
      </w:r>
    </w:p>
    <w:p>
      <w:pPr>
        <w:adjustRightInd w:val="0"/>
        <w:snapToGrid w:val="0"/>
        <w:spacing w:line="560" w:lineRule="exact"/>
        <w:ind w:firstLine="594" w:firstLineChars="200"/>
        <w:rPr>
          <w:rFonts w:ascii="仿宋_GB2312"/>
          <w:szCs w:val="32"/>
        </w:rPr>
      </w:pPr>
      <w:r>
        <w:rPr>
          <w:rFonts w:hint="eastAsia" w:ascii="黑体" w:hAnsi="黑体" w:eastAsia="黑体" w:cs="楷体"/>
          <w:szCs w:val="32"/>
        </w:rPr>
        <w:t>第二十条</w:t>
      </w:r>
      <w:r>
        <w:rPr>
          <w:rFonts w:hint="eastAsia" w:ascii="楷体" w:hAnsi="楷体" w:eastAsia="楷体" w:cs="楷体"/>
          <w:szCs w:val="32"/>
        </w:rPr>
        <w:t>【</w:t>
      </w:r>
      <w:r>
        <w:rPr>
          <w:rFonts w:hint="eastAsia" w:ascii="仿宋_GB2312" w:hAnsi="楷体" w:eastAsia="仿宋_GB2312" w:cs="楷体"/>
          <w:szCs w:val="32"/>
        </w:rPr>
        <w:t>入账登记</w:t>
      </w:r>
      <w:r>
        <w:rPr>
          <w:rFonts w:hint="eastAsia" w:ascii="楷体" w:hAnsi="楷体" w:eastAsia="楷体" w:cs="楷体"/>
          <w:szCs w:val="32"/>
        </w:rPr>
        <w:t>】托管</w:t>
      </w:r>
      <w:r>
        <w:rPr>
          <w:rFonts w:hint="eastAsia" w:ascii="仿宋_GB2312"/>
          <w:szCs w:val="32"/>
        </w:rPr>
        <w:t>银行应当为每个项目的资金设置单独台账，单独核算；收到项目资金拨款后，应当在2个工作日内通知项目承担单位到款情况。</w:t>
      </w:r>
    </w:p>
    <w:p>
      <w:pPr>
        <w:adjustRightInd w:val="0"/>
        <w:snapToGrid w:val="0"/>
        <w:spacing w:line="560" w:lineRule="exact"/>
        <w:ind w:firstLine="594" w:firstLineChars="200"/>
        <w:rPr>
          <w:rFonts w:ascii="仿宋_GB2312"/>
          <w:szCs w:val="32"/>
        </w:rPr>
      </w:pPr>
      <w:r>
        <w:rPr>
          <w:rFonts w:hint="eastAsia" w:ascii="黑体" w:hAnsi="黑体" w:eastAsia="黑体" w:cs="楷体"/>
          <w:szCs w:val="32"/>
        </w:rPr>
        <w:t>第二十一条</w:t>
      </w:r>
      <w:r>
        <w:rPr>
          <w:rFonts w:hint="eastAsia" w:ascii="楷体" w:hAnsi="楷体" w:eastAsia="楷体" w:cs="楷体"/>
          <w:szCs w:val="32"/>
        </w:rPr>
        <w:t>【</w:t>
      </w:r>
      <w:r>
        <w:rPr>
          <w:rFonts w:ascii="仿宋_GB2312" w:hAnsi="楷体" w:cs="楷体"/>
          <w:szCs w:val="32"/>
        </w:rPr>
        <w:t>使用</w:t>
      </w:r>
      <w:r>
        <w:rPr>
          <w:rFonts w:hint="eastAsia" w:ascii="仿宋_GB2312" w:hAnsi="楷体" w:eastAsia="仿宋_GB2312" w:cs="楷体"/>
          <w:szCs w:val="32"/>
        </w:rPr>
        <w:t>规则</w:t>
      </w:r>
      <w:r>
        <w:rPr>
          <w:rFonts w:hint="eastAsia" w:ascii="楷体" w:hAnsi="楷体" w:eastAsia="楷体" w:cs="楷体"/>
          <w:szCs w:val="32"/>
        </w:rPr>
        <w:t>】</w:t>
      </w:r>
      <w:r>
        <w:rPr>
          <w:rFonts w:hint="eastAsia" w:ascii="仿宋_GB2312"/>
          <w:szCs w:val="32"/>
        </w:rPr>
        <w:t>项目承担单位和托管银行应共同遵守以下资金使用规则:</w:t>
      </w:r>
    </w:p>
    <w:p>
      <w:pPr>
        <w:adjustRightInd w:val="0"/>
        <w:snapToGrid w:val="0"/>
        <w:spacing w:line="560" w:lineRule="exact"/>
        <w:ind w:firstLine="594" w:firstLineChars="200"/>
        <w:rPr>
          <w:rFonts w:ascii="仿宋_GB2312"/>
          <w:szCs w:val="32"/>
        </w:rPr>
      </w:pPr>
      <w:r>
        <w:rPr>
          <w:rFonts w:hint="eastAsia" w:ascii="仿宋_GB2312"/>
          <w:b w:val="0"/>
          <w:szCs w:val="32"/>
        </w:rPr>
        <w:t>（一）按规定的用途、进度计划使用和审批资金</w:t>
      </w:r>
      <w:r>
        <w:rPr>
          <w:rFonts w:hint="eastAsia" w:ascii="仿宋_GB2312"/>
          <w:szCs w:val="32"/>
        </w:rPr>
        <w:t>。项目承担单位应严格按照项目管理文件等要求，按资金用途和进度计划使用，原则上项目合同书（任务书）约定的项目截止期后不能使用资金，对于用款票据能证明发生在合同期内的除外，例如：用于专利申请、论文发表等可能发生于项目完成后的费用等。其他超出合同期约定的项目截止期使用资金的情形，需经市科技行政主管部门批准后才可办理资金拨付。市政府另有规定的除外。</w:t>
      </w:r>
    </w:p>
    <w:p>
      <w:pPr>
        <w:adjustRightInd w:val="0"/>
        <w:snapToGrid w:val="0"/>
        <w:spacing w:line="560" w:lineRule="exact"/>
        <w:ind w:firstLine="594" w:firstLineChars="200"/>
        <w:rPr>
          <w:rFonts w:ascii="仿宋_GB2312"/>
          <w:szCs w:val="32"/>
        </w:rPr>
      </w:pPr>
      <w:r>
        <w:rPr>
          <w:rFonts w:hint="eastAsia" w:ascii="仿宋_GB2312"/>
          <w:szCs w:val="32"/>
        </w:rPr>
        <w:t>（二）托管资金不得转定期、购买理财产品、抵押质押等影响流动性的处置，不得提取现金、购买购物卡和提货券等有价支付凭证，不得用于预算管理单位编制内在职人员工资性支出，不得用于偿还债务。</w:t>
      </w:r>
    </w:p>
    <w:p>
      <w:pPr>
        <w:adjustRightInd w:val="0"/>
        <w:snapToGrid w:val="0"/>
        <w:spacing w:line="560" w:lineRule="exact"/>
        <w:ind w:firstLine="594" w:firstLineChars="200"/>
        <w:rPr>
          <w:rFonts w:ascii="仿宋_GB2312"/>
          <w:szCs w:val="32"/>
        </w:rPr>
      </w:pPr>
      <w:r>
        <w:rPr>
          <w:rFonts w:hint="eastAsia" w:ascii="仿宋_GB2312"/>
          <w:b w:val="0"/>
          <w:szCs w:val="32"/>
        </w:rPr>
        <w:t>（</w:t>
      </w:r>
      <w:r>
        <w:rPr>
          <w:rFonts w:hint="eastAsia" w:ascii="仿宋_GB2312"/>
          <w:szCs w:val="32"/>
        </w:rPr>
        <w:t>三</w:t>
      </w:r>
      <w:r>
        <w:rPr>
          <w:rFonts w:hint="eastAsia" w:ascii="仿宋_GB2312"/>
          <w:b w:val="0"/>
          <w:szCs w:val="32"/>
        </w:rPr>
        <w:t>）确保款项使用真实、合法、有效</w:t>
      </w:r>
      <w:r>
        <w:rPr>
          <w:rFonts w:hint="eastAsia" w:ascii="仿宋_GB2312"/>
          <w:szCs w:val="32"/>
        </w:rPr>
        <w:t>。资金的使用应基于真实、合法、有效的经济行为。严禁虚构用款事项，篡改伪造资金使用合同和用款批复文件，使用不合规票证或不合规使用票证。托管银行有权对违反上述原则的拨款行为，暂停拨付或终止拨付。</w:t>
      </w:r>
    </w:p>
    <w:p>
      <w:pPr>
        <w:adjustRightInd w:val="0"/>
        <w:snapToGrid w:val="0"/>
        <w:spacing w:line="560" w:lineRule="exact"/>
        <w:ind w:firstLine="594" w:firstLineChars="200"/>
        <w:rPr>
          <w:rFonts w:ascii="仿宋_GB2312"/>
          <w:szCs w:val="32"/>
        </w:rPr>
      </w:pPr>
      <w:r>
        <w:rPr>
          <w:rFonts w:hint="eastAsia" w:ascii="仿宋_GB2312"/>
          <w:b w:val="0"/>
          <w:szCs w:val="32"/>
        </w:rPr>
        <w:t>（</w:t>
      </w:r>
      <w:r>
        <w:rPr>
          <w:rFonts w:hint="eastAsia" w:ascii="仿宋_GB2312"/>
          <w:szCs w:val="32"/>
        </w:rPr>
        <w:t>四</w:t>
      </w:r>
      <w:r>
        <w:rPr>
          <w:rFonts w:hint="eastAsia" w:ascii="仿宋_GB2312"/>
          <w:b w:val="0"/>
          <w:szCs w:val="32"/>
        </w:rPr>
        <w:t>）项目调整应按要求备案</w:t>
      </w:r>
      <w:r>
        <w:rPr>
          <w:rFonts w:hint="eastAsia" w:ascii="仿宋_GB2312"/>
          <w:szCs w:val="32"/>
        </w:rPr>
        <w:t>。项目执行过程中需要对资金的用途、使用计划等进行调整的，项目承担单位按照《深圳市科技研发资金管理办法》相关要求，报送市科技行政主管部门和托管银行备案。</w:t>
      </w:r>
    </w:p>
    <w:p>
      <w:pPr>
        <w:adjustRightInd w:val="0"/>
        <w:snapToGrid w:val="0"/>
        <w:spacing w:line="560" w:lineRule="exact"/>
        <w:ind w:firstLine="594" w:firstLineChars="200"/>
        <w:rPr>
          <w:rFonts w:ascii="仿宋_GB2312"/>
          <w:szCs w:val="32"/>
        </w:rPr>
      </w:pPr>
      <w:r>
        <w:rPr>
          <w:rFonts w:hint="eastAsia" w:ascii="仿宋_GB2312"/>
          <w:b w:val="0"/>
          <w:szCs w:val="32"/>
        </w:rPr>
        <w:t>（</w:t>
      </w:r>
      <w:r>
        <w:rPr>
          <w:rFonts w:ascii="仿宋_GB2312"/>
          <w:szCs w:val="32"/>
        </w:rPr>
        <w:t>五</w:t>
      </w:r>
      <w:r>
        <w:rPr>
          <w:rFonts w:hint="eastAsia" w:ascii="仿宋_GB2312"/>
          <w:b w:val="0"/>
          <w:szCs w:val="32"/>
        </w:rPr>
        <w:t>）托管资金使用</w:t>
      </w:r>
      <w:r>
        <w:rPr>
          <w:rFonts w:hint="eastAsia" w:ascii="仿宋_GB2312"/>
          <w:szCs w:val="32"/>
        </w:rPr>
        <w:t>。项目资金采用对公转账方式划拨至供货商或服务提供商；对于符合相关管理要求，需支付的个人人工费用、项目间接费、个人的差旅费、专家评审费以及符合条件的结余款和利息，项目承担单位需提供证明材料后，可直接支付。</w:t>
      </w:r>
    </w:p>
    <w:p>
      <w:pPr>
        <w:adjustRightInd w:val="0"/>
        <w:snapToGrid w:val="0"/>
        <w:spacing w:line="560" w:lineRule="exact"/>
        <w:ind w:firstLine="594" w:firstLineChars="200"/>
        <w:rPr>
          <w:rFonts w:ascii="仿宋_GB2312"/>
          <w:szCs w:val="32"/>
        </w:rPr>
      </w:pPr>
      <w:r>
        <w:rPr>
          <w:rFonts w:hint="eastAsia" w:ascii="仿宋_GB2312"/>
          <w:b w:val="0"/>
          <w:szCs w:val="32"/>
        </w:rPr>
        <w:t>（</w:t>
      </w:r>
      <w:r>
        <w:rPr>
          <w:rFonts w:hint="eastAsia" w:ascii="仿宋_GB2312"/>
          <w:szCs w:val="32"/>
        </w:rPr>
        <w:t>六</w:t>
      </w:r>
      <w:r>
        <w:rPr>
          <w:rFonts w:hint="eastAsia" w:ascii="仿宋_GB2312"/>
          <w:b w:val="0"/>
          <w:szCs w:val="32"/>
        </w:rPr>
        <w:t>）结余资金的处理</w:t>
      </w:r>
      <w:r>
        <w:rPr>
          <w:rFonts w:hint="eastAsia" w:ascii="仿宋_GB2312"/>
          <w:szCs w:val="32"/>
        </w:rPr>
        <w:t>。对于一次性通过验收的项目，其结余资金和利息由项目承担单位统筹用于本单位研发活动。对于未能一次性通过验收的项目，其结余资金和利息退回市财政。</w:t>
      </w:r>
    </w:p>
    <w:p>
      <w:pPr>
        <w:adjustRightInd w:val="0"/>
        <w:snapToGrid w:val="0"/>
        <w:spacing w:line="560" w:lineRule="exact"/>
        <w:ind w:firstLine="594" w:firstLineChars="200"/>
        <w:rPr>
          <w:rFonts w:ascii="仿宋_GB2312"/>
          <w:szCs w:val="32"/>
        </w:rPr>
      </w:pPr>
      <w:r>
        <w:rPr>
          <w:rFonts w:hint="eastAsia" w:ascii="仿宋_GB2312"/>
          <w:b w:val="0"/>
          <w:szCs w:val="32"/>
        </w:rPr>
        <w:t>（</w:t>
      </w:r>
      <w:r>
        <w:rPr>
          <w:rFonts w:hint="eastAsia" w:ascii="仿宋_GB2312"/>
          <w:szCs w:val="32"/>
        </w:rPr>
        <w:t>七</w:t>
      </w:r>
      <w:r>
        <w:rPr>
          <w:rFonts w:hint="eastAsia" w:ascii="仿宋_GB2312"/>
          <w:b w:val="0"/>
          <w:szCs w:val="32"/>
        </w:rPr>
        <w:t>）联合申报项目的处理</w:t>
      </w:r>
      <w:r>
        <w:rPr>
          <w:rFonts w:hint="eastAsia" w:ascii="仿宋_GB2312"/>
          <w:szCs w:val="32"/>
        </w:rPr>
        <w:t>。市科技行政主管部门将项目资金拨付至牵头单位。牵头单位根据项目合同书（任务书）和项目开展情况等，拨付各合作方的项目资金。</w:t>
      </w:r>
    </w:p>
    <w:p>
      <w:pPr>
        <w:adjustRightInd w:val="0"/>
        <w:snapToGrid w:val="0"/>
        <w:spacing w:line="560" w:lineRule="exact"/>
        <w:ind w:firstLine="594" w:firstLineChars="200"/>
        <w:rPr>
          <w:rFonts w:ascii="仿宋_GB2312"/>
          <w:szCs w:val="32"/>
        </w:rPr>
      </w:pPr>
      <w:r>
        <w:rPr>
          <w:rFonts w:hint="eastAsia" w:ascii="仿宋_GB2312"/>
          <w:szCs w:val="32"/>
        </w:rPr>
        <w:t>1.合作单位为深圳市内的预算管理单位，直接拨付至其零余额账户、基本账户或指定结算户。</w:t>
      </w:r>
    </w:p>
    <w:p>
      <w:pPr>
        <w:adjustRightInd w:val="0"/>
        <w:snapToGrid w:val="0"/>
        <w:spacing w:line="560" w:lineRule="exact"/>
        <w:ind w:firstLine="594" w:firstLineChars="200"/>
        <w:rPr>
          <w:rFonts w:ascii="仿宋_GB2312"/>
          <w:szCs w:val="32"/>
        </w:rPr>
      </w:pPr>
      <w:r>
        <w:rPr>
          <w:rFonts w:hint="eastAsia" w:ascii="仿宋_GB2312"/>
          <w:szCs w:val="32"/>
        </w:rPr>
        <w:t>2.合作单位为深圳市内的非预算管理单位，拨付至其托管银行账户。</w:t>
      </w:r>
    </w:p>
    <w:p>
      <w:pPr>
        <w:adjustRightInd w:val="0"/>
        <w:snapToGrid w:val="0"/>
        <w:spacing w:line="560" w:lineRule="exact"/>
        <w:ind w:firstLine="594" w:firstLineChars="200"/>
        <w:rPr>
          <w:rFonts w:ascii="仿宋_GB2312"/>
          <w:szCs w:val="32"/>
        </w:rPr>
      </w:pPr>
      <w:r>
        <w:rPr>
          <w:rFonts w:hint="eastAsia" w:ascii="仿宋_GB2312"/>
          <w:szCs w:val="32"/>
        </w:rPr>
        <w:t>3.合作单位为深圳市外单位，一般不拨付至其相关账户，原则上相关费用在牵头单位支出。</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第二十二条</w:t>
      </w:r>
      <w:r>
        <w:rPr>
          <w:rFonts w:hint="eastAsia" w:ascii="楷体" w:hAnsi="楷体" w:eastAsia="楷体" w:cs="楷体"/>
          <w:szCs w:val="32"/>
        </w:rPr>
        <w:t>【</w:t>
      </w:r>
      <w:r>
        <w:rPr>
          <w:rFonts w:hint="eastAsia" w:ascii="仿宋_GB2312" w:hAnsi="楷体" w:eastAsia="仿宋_GB2312" w:cs="楷体"/>
          <w:szCs w:val="32"/>
        </w:rPr>
        <w:t>申请划款</w:t>
      </w:r>
      <w:r>
        <w:rPr>
          <w:rFonts w:hint="eastAsia" w:ascii="楷体" w:hAnsi="楷体" w:eastAsia="楷体" w:cs="楷体"/>
          <w:szCs w:val="32"/>
        </w:rPr>
        <w:t>】</w:t>
      </w:r>
      <w:r>
        <w:rPr>
          <w:rFonts w:hint="eastAsia" w:ascii="仿宋_GB2312"/>
          <w:szCs w:val="32"/>
        </w:rPr>
        <w:t>项目承担单位</w:t>
      </w:r>
      <w:r>
        <w:rPr>
          <w:rFonts w:ascii="仿宋_GB2312"/>
          <w:szCs w:val="32"/>
        </w:rPr>
        <w:t>使用</w:t>
      </w:r>
      <w:r>
        <w:rPr>
          <w:rFonts w:hint="eastAsia" w:ascii="仿宋_GB2312"/>
          <w:szCs w:val="32"/>
        </w:rPr>
        <w:t>项目资金，应当按管理办法、项目合同书（任务书）、批复等规定，向托管银行申请划款，</w:t>
      </w:r>
      <w:r>
        <w:rPr>
          <w:rFonts w:ascii="仿宋_GB2312"/>
          <w:szCs w:val="32"/>
        </w:rPr>
        <w:t>并</w:t>
      </w:r>
      <w:r>
        <w:rPr>
          <w:rFonts w:hint="eastAsia" w:ascii="仿宋_GB2312"/>
          <w:szCs w:val="32"/>
        </w:rPr>
        <w:t>提交以下材料：</w:t>
      </w:r>
    </w:p>
    <w:p>
      <w:pPr>
        <w:adjustRightInd w:val="0"/>
        <w:snapToGrid w:val="0"/>
        <w:spacing w:line="560" w:lineRule="exact"/>
        <w:ind w:firstLine="594" w:firstLineChars="200"/>
        <w:rPr>
          <w:rFonts w:ascii="仿宋_GB2312"/>
          <w:szCs w:val="32"/>
        </w:rPr>
      </w:pPr>
      <w:r>
        <w:rPr>
          <w:rFonts w:hint="eastAsia" w:ascii="仿宋_GB2312"/>
          <w:szCs w:val="32"/>
        </w:rPr>
        <w:t>（一）托管账户资金划款申请表；</w:t>
      </w:r>
    </w:p>
    <w:p>
      <w:pPr>
        <w:adjustRightInd w:val="0"/>
        <w:snapToGrid w:val="0"/>
        <w:spacing w:line="560" w:lineRule="exact"/>
        <w:ind w:firstLine="594" w:firstLineChars="200"/>
        <w:rPr>
          <w:rFonts w:ascii="仿宋_GB2312"/>
          <w:szCs w:val="32"/>
        </w:rPr>
      </w:pPr>
      <w:r>
        <w:rPr>
          <w:rFonts w:hint="eastAsia" w:ascii="仿宋_GB2312"/>
          <w:szCs w:val="32"/>
        </w:rPr>
        <w:t>（二）支付指令。支付指令为网上银行电子支付指令、支票、转账凭证的其中之一，优先使用网上银行电子支付指令；</w:t>
      </w:r>
    </w:p>
    <w:p>
      <w:pPr>
        <w:adjustRightInd w:val="0"/>
        <w:snapToGrid w:val="0"/>
        <w:spacing w:line="560" w:lineRule="exact"/>
        <w:ind w:firstLine="594" w:firstLineChars="200"/>
        <w:rPr>
          <w:rFonts w:ascii="仿宋_GB2312"/>
          <w:szCs w:val="32"/>
        </w:rPr>
      </w:pPr>
      <w:r>
        <w:rPr>
          <w:rFonts w:hint="eastAsia" w:ascii="仿宋_GB2312"/>
          <w:szCs w:val="32"/>
        </w:rPr>
        <w:t>（三）资金托管要求文件，验原件；</w:t>
      </w:r>
    </w:p>
    <w:p>
      <w:pPr>
        <w:adjustRightInd w:val="0"/>
        <w:snapToGrid w:val="0"/>
        <w:spacing w:line="560" w:lineRule="exact"/>
        <w:ind w:firstLine="594" w:firstLineChars="200"/>
        <w:rPr>
          <w:rFonts w:ascii="仿宋_GB2312"/>
          <w:szCs w:val="32"/>
        </w:rPr>
      </w:pPr>
      <w:r>
        <w:rPr>
          <w:rFonts w:hint="eastAsia" w:ascii="仿宋_GB2312"/>
          <w:szCs w:val="32"/>
        </w:rPr>
        <w:t>（四）款项用途材料：</w:t>
      </w:r>
    </w:p>
    <w:p>
      <w:pPr>
        <w:adjustRightInd w:val="0"/>
        <w:snapToGrid w:val="0"/>
        <w:spacing w:line="560" w:lineRule="exact"/>
        <w:ind w:firstLine="594" w:firstLineChars="200"/>
        <w:rPr>
          <w:rFonts w:ascii="仿宋_GB2312"/>
          <w:szCs w:val="32"/>
          <w:highlight w:val="yellow"/>
        </w:rPr>
      </w:pPr>
      <w:r>
        <w:rPr>
          <w:rFonts w:hint="eastAsia" w:ascii="仿宋_GB2312"/>
          <w:szCs w:val="32"/>
        </w:rPr>
        <w:t>1.用于购买商品、服务的，提供商品或服务采购合同和验收证明复印件，验原件。项目承担单位的采购需符合《中华人民共和国政府采购法》。属《深圳经济特区政府采购条例》规定必须集中采购事业单位或社会团体有关项目，还应按政府采购规定提供相应资料。上述资料复印件上应加盖项目承担单位公章。</w:t>
      </w:r>
    </w:p>
    <w:p>
      <w:pPr>
        <w:adjustRightInd w:val="0"/>
        <w:snapToGrid w:val="0"/>
        <w:spacing w:line="560" w:lineRule="exact"/>
        <w:ind w:firstLine="594" w:firstLineChars="200"/>
        <w:rPr>
          <w:rFonts w:ascii="仿宋_GB2312"/>
          <w:szCs w:val="32"/>
        </w:rPr>
      </w:pPr>
      <w:r>
        <w:rPr>
          <w:rFonts w:hint="eastAsia" w:ascii="仿宋_GB2312"/>
          <w:szCs w:val="32"/>
        </w:rPr>
        <w:t>2.用于补助原材料、辅助材料、直接人工成本等成本和费用支出，以及由项目承担单位代缴个人所得税的专家咨询支出的，提供相关凭证的复印件，并在复印件上加盖公章。</w:t>
      </w:r>
    </w:p>
    <w:p>
      <w:pPr>
        <w:adjustRightInd w:val="0"/>
        <w:snapToGrid w:val="0"/>
        <w:spacing w:line="560" w:lineRule="exact"/>
        <w:ind w:firstLine="594" w:firstLineChars="200"/>
        <w:rPr>
          <w:rFonts w:ascii="仿宋_GB2312"/>
          <w:szCs w:val="32"/>
        </w:rPr>
      </w:pPr>
      <w:r>
        <w:rPr>
          <w:rFonts w:hint="eastAsia" w:ascii="仿宋_GB2312"/>
          <w:szCs w:val="32"/>
        </w:rPr>
        <w:t>3.用于其它支出的，由项目承担单位编制费用清单原件，附上相关凭证的复印件。清单应由项目负责人、项目承担单位财务负责人、项目承担单位负责人共同签署，并同时加盖项目承担单位公章和财务专用章。</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第二十三条</w:t>
      </w:r>
      <w:r>
        <w:rPr>
          <w:rFonts w:hint="eastAsia" w:ascii="楷体" w:hAnsi="楷体" w:eastAsia="楷体" w:cs="楷体"/>
          <w:szCs w:val="32"/>
        </w:rPr>
        <w:t>【</w:t>
      </w:r>
      <w:r>
        <w:rPr>
          <w:rFonts w:hint="eastAsia" w:ascii="仿宋_GB2312" w:hAnsi="楷体" w:eastAsia="仿宋_GB2312" w:cs="楷体"/>
          <w:szCs w:val="32"/>
        </w:rPr>
        <w:t>划款审核</w:t>
      </w:r>
      <w:r>
        <w:rPr>
          <w:rFonts w:hint="eastAsia" w:ascii="楷体" w:hAnsi="楷体" w:eastAsia="楷体" w:cs="楷体"/>
          <w:szCs w:val="32"/>
        </w:rPr>
        <w:t>】</w:t>
      </w:r>
      <w:r>
        <w:rPr>
          <w:rFonts w:hint="eastAsia" w:ascii="仿宋_GB2312"/>
          <w:szCs w:val="32"/>
        </w:rPr>
        <w:t>托管银行应根据资金管理办法和项目管理文件，逐笔审核项目承担单位用款申请。</w:t>
      </w:r>
    </w:p>
    <w:p>
      <w:pPr>
        <w:adjustRightInd w:val="0"/>
        <w:snapToGrid w:val="0"/>
        <w:spacing w:line="560" w:lineRule="exact"/>
        <w:ind w:firstLine="594" w:firstLineChars="200"/>
        <w:rPr>
          <w:rFonts w:ascii="仿宋_GB2312"/>
          <w:szCs w:val="32"/>
        </w:rPr>
      </w:pPr>
      <w:r>
        <w:rPr>
          <w:rFonts w:hint="eastAsia" w:ascii="仿宋_GB2312"/>
          <w:szCs w:val="32"/>
        </w:rPr>
        <w:t>托管银行应当检查收付款方是否在风险预警名单中，任意一方在名单中，应提示预警。</w:t>
      </w:r>
    </w:p>
    <w:p>
      <w:pPr>
        <w:adjustRightInd w:val="0"/>
        <w:snapToGrid w:val="0"/>
        <w:spacing w:line="560" w:lineRule="exact"/>
        <w:ind w:firstLine="594" w:firstLineChars="200"/>
        <w:rPr>
          <w:rFonts w:ascii="仿宋_GB2312"/>
          <w:szCs w:val="32"/>
        </w:rPr>
      </w:pPr>
      <w:r>
        <w:rPr>
          <w:rFonts w:hint="eastAsia" w:ascii="仿宋_GB2312"/>
          <w:szCs w:val="32"/>
        </w:rPr>
        <w:t>经资料审核、名单查验通过后，托管银行应当对符合条件的用款申请予以拨付。申请资料不齐备的用款申请，托管银行不予受理，并应一次性告知应补充的资料，受理后经审核不符合规定的用款申请托管银行应予拒付。</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第二十</w:t>
      </w:r>
      <w:r>
        <w:rPr>
          <w:rFonts w:ascii="黑体" w:hAnsi="黑体" w:eastAsia="黑体" w:cs="楷体"/>
          <w:szCs w:val="32"/>
        </w:rPr>
        <w:t>四</w:t>
      </w:r>
      <w:r>
        <w:rPr>
          <w:rFonts w:hint="eastAsia" w:ascii="黑体" w:hAnsi="黑体" w:eastAsia="黑体" w:cs="楷体"/>
          <w:szCs w:val="32"/>
        </w:rPr>
        <w:t>条</w:t>
      </w:r>
      <w:r>
        <w:rPr>
          <w:rFonts w:hint="eastAsia" w:ascii="楷体" w:hAnsi="楷体" w:eastAsia="楷体" w:cs="楷体"/>
          <w:szCs w:val="32"/>
        </w:rPr>
        <w:t>【</w:t>
      </w:r>
      <w:r>
        <w:rPr>
          <w:rFonts w:hint="eastAsia" w:ascii="仿宋_GB2312" w:hAnsi="楷体" w:eastAsia="仿宋_GB2312" w:cs="楷体"/>
          <w:szCs w:val="32"/>
        </w:rPr>
        <w:t>划款时限</w:t>
      </w:r>
      <w:r>
        <w:rPr>
          <w:rFonts w:hint="eastAsia" w:ascii="楷体" w:hAnsi="楷体" w:eastAsia="楷体" w:cs="楷体"/>
          <w:szCs w:val="32"/>
        </w:rPr>
        <w:t>】</w:t>
      </w:r>
      <w:r>
        <w:rPr>
          <w:rFonts w:hint="eastAsia" w:ascii="仿宋_GB2312"/>
          <w:szCs w:val="32"/>
        </w:rPr>
        <w:t>符合条件的用款申请，托管银行应在3个工作日内完成审核并办理划款。</w:t>
      </w:r>
    </w:p>
    <w:p>
      <w:pPr>
        <w:adjustRightInd w:val="0"/>
        <w:snapToGrid w:val="0"/>
        <w:spacing w:line="560" w:lineRule="exact"/>
        <w:ind w:firstLine="594" w:firstLineChars="200"/>
        <w:rPr>
          <w:rFonts w:ascii="仿宋_GB2312"/>
          <w:szCs w:val="32"/>
        </w:rPr>
      </w:pPr>
      <w:r>
        <w:rPr>
          <w:rFonts w:hint="eastAsia" w:ascii="仿宋_GB2312"/>
          <w:szCs w:val="32"/>
        </w:rPr>
        <w:t>对于用款申请情况复杂、需通过背景调查核实情况或需向市科技行政主管部门征求意见的，托管银行应当场受理并告知项目承担单位不能及时办理的原因，并在5个工作日内核实情况，核实结果及时告知项目承担单位，5个工作日内无法核实情况的，应及时告知市科技行政主管部门。</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第二十</w:t>
      </w:r>
      <w:r>
        <w:rPr>
          <w:rFonts w:ascii="黑体" w:hAnsi="黑体" w:eastAsia="黑体" w:cs="楷体"/>
          <w:szCs w:val="32"/>
        </w:rPr>
        <w:t>五</w:t>
      </w:r>
      <w:r>
        <w:rPr>
          <w:rFonts w:hint="eastAsia" w:ascii="黑体" w:hAnsi="黑体" w:eastAsia="黑体" w:cs="楷体"/>
          <w:szCs w:val="32"/>
        </w:rPr>
        <w:t>条</w:t>
      </w:r>
      <w:r>
        <w:rPr>
          <w:rFonts w:hint="eastAsia" w:ascii="楷体" w:hAnsi="楷体" w:eastAsia="楷体" w:cs="楷体"/>
          <w:szCs w:val="32"/>
        </w:rPr>
        <w:t>【</w:t>
      </w:r>
      <w:r>
        <w:rPr>
          <w:rFonts w:hint="eastAsia" w:ascii="仿宋_GB2312" w:hAnsi="楷体" w:eastAsia="仿宋_GB2312" w:cs="楷体"/>
          <w:szCs w:val="32"/>
        </w:rPr>
        <w:t>出款登记</w:t>
      </w:r>
      <w:r>
        <w:rPr>
          <w:rFonts w:hint="eastAsia" w:ascii="楷体" w:hAnsi="楷体" w:eastAsia="楷体" w:cs="楷体"/>
          <w:szCs w:val="32"/>
        </w:rPr>
        <w:t>】</w:t>
      </w:r>
      <w:r>
        <w:rPr>
          <w:rFonts w:hint="eastAsia" w:ascii="仿宋_GB2312"/>
          <w:szCs w:val="32"/>
        </w:rPr>
        <w:t>项目资金划拨完成后，托管银行应及时登记项目台账，详细记录付款人、付款项目、划款时间、资金用途、收款人、收款账号等内容，并对有关资料做好项目档案管理。</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第二十六条</w:t>
      </w:r>
      <w:r>
        <w:rPr>
          <w:rFonts w:hint="eastAsia" w:ascii="楷体" w:hAnsi="楷体" w:eastAsia="楷体" w:cs="楷体"/>
          <w:szCs w:val="32"/>
        </w:rPr>
        <w:t>【</w:t>
      </w:r>
      <w:r>
        <w:rPr>
          <w:rFonts w:hint="eastAsia" w:ascii="仿宋_GB2312" w:hAnsi="楷体" w:eastAsia="仿宋_GB2312" w:cs="楷体"/>
          <w:szCs w:val="32"/>
        </w:rPr>
        <w:t>项目结算</w:t>
      </w:r>
      <w:r>
        <w:rPr>
          <w:rFonts w:hint="eastAsia" w:ascii="楷体" w:hAnsi="楷体" w:eastAsia="楷体" w:cs="楷体"/>
          <w:szCs w:val="32"/>
        </w:rPr>
        <w:t>】</w:t>
      </w:r>
      <w:r>
        <w:rPr>
          <w:rFonts w:hint="eastAsia" w:ascii="仿宋_GB2312"/>
          <w:szCs w:val="32"/>
        </w:rPr>
        <w:t>出现以下情况之一时，应进行项目资金结算：</w:t>
      </w:r>
    </w:p>
    <w:p>
      <w:pPr>
        <w:adjustRightInd w:val="0"/>
        <w:snapToGrid w:val="0"/>
        <w:spacing w:line="560" w:lineRule="exact"/>
        <w:ind w:firstLine="594" w:firstLineChars="200"/>
        <w:rPr>
          <w:rFonts w:ascii="仿宋_GB2312" w:eastAsiaTheme="minorEastAsia"/>
          <w:sz w:val="21"/>
          <w:szCs w:val="32"/>
        </w:rPr>
      </w:pPr>
      <w:r>
        <w:rPr>
          <w:rFonts w:hint="eastAsia" w:ascii="仿宋_GB2312"/>
          <w:b w:val="0"/>
          <w:szCs w:val="32"/>
        </w:rPr>
        <w:t>（一）项目完成并验收通过。</w:t>
      </w:r>
      <w:r>
        <w:rPr>
          <w:rFonts w:hint="eastAsia" w:ascii="仿宋_GB2312"/>
          <w:szCs w:val="32"/>
        </w:rPr>
        <w:t>项目通过市科技行政主管部门验收（结题）后，项目承担单位凭验收文件或凭据向托管银行提出资金结算。一次性通过验收的项目，其结余资金和利息由项目承担单位统筹用于本单位研发活动；未能一次性通过验收的项目，其结余资金和利息退回市财政。</w:t>
      </w:r>
    </w:p>
    <w:p>
      <w:pPr>
        <w:adjustRightInd w:val="0"/>
        <w:snapToGrid w:val="0"/>
        <w:spacing w:line="560" w:lineRule="exact"/>
        <w:ind w:firstLine="594" w:firstLineChars="200"/>
        <w:rPr>
          <w:rFonts w:ascii="仿宋_GB2312" w:eastAsiaTheme="minorEastAsia"/>
          <w:sz w:val="21"/>
          <w:szCs w:val="32"/>
        </w:rPr>
      </w:pPr>
      <w:r>
        <w:rPr>
          <w:rFonts w:hint="eastAsia" w:ascii="仿宋_GB2312"/>
          <w:b w:val="0"/>
          <w:szCs w:val="32"/>
        </w:rPr>
        <w:t>（二）项目验收未通过或撤销等。</w:t>
      </w:r>
      <w:r>
        <w:rPr>
          <w:rFonts w:hint="eastAsia" w:ascii="仿宋_GB2312"/>
          <w:szCs w:val="32"/>
        </w:rPr>
        <w:t>项目验收不通过或因其他原因造成项目撤销、终止等情况的，市科技行政主管部门出具书面意见。项目结余资金和利息按照资金管理办法、市行政主管部门有关规定和书面意见处理；未有规定的，项目结余资金和利息需上缴收回。</w:t>
      </w:r>
    </w:p>
    <w:p>
      <w:pPr>
        <w:adjustRightInd w:val="0"/>
        <w:snapToGrid w:val="0"/>
        <w:spacing w:line="560" w:lineRule="exact"/>
        <w:ind w:firstLine="594" w:firstLineChars="200"/>
        <w:rPr>
          <w:rFonts w:ascii="仿宋_GB2312"/>
          <w:szCs w:val="32"/>
        </w:rPr>
      </w:pPr>
      <w:r>
        <w:rPr>
          <w:rFonts w:hint="eastAsia" w:ascii="仿宋_GB2312"/>
          <w:szCs w:val="32"/>
        </w:rPr>
        <w:t>对于需要上缴结余资金和利息的项目承担单位，应在3个月内办理完成。上缴资金应分项目办理，并提供项目名称、科目等信息。上缴收回在3个月内未完成且无客观原因的，项目承担单位纳入风险预警名单1年。托管银行完成资金结算后，应将结果报市科技行政主管部门备案，并将项目所有材料结案归档，方便审计、监督检查调取资料。</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第二十七条</w:t>
      </w:r>
      <w:r>
        <w:rPr>
          <w:rFonts w:hint="eastAsia" w:ascii="楷体" w:hAnsi="楷体" w:eastAsia="楷体" w:cs="楷体"/>
          <w:szCs w:val="32"/>
        </w:rPr>
        <w:t>【</w:t>
      </w:r>
      <w:r>
        <w:rPr>
          <w:rFonts w:hint="eastAsia" w:ascii="仿宋_GB2312" w:hAnsi="楷体" w:eastAsia="仿宋_GB2312" w:cs="楷体"/>
          <w:szCs w:val="32"/>
        </w:rPr>
        <w:t>错误救济</w:t>
      </w:r>
      <w:r>
        <w:rPr>
          <w:rFonts w:hint="eastAsia" w:ascii="楷体" w:hAnsi="楷体" w:eastAsia="楷体" w:cs="楷体"/>
          <w:szCs w:val="32"/>
        </w:rPr>
        <w:t>】</w:t>
      </w:r>
      <w:r>
        <w:rPr>
          <w:rFonts w:hint="eastAsia" w:ascii="仿宋_GB2312"/>
          <w:szCs w:val="32"/>
        </w:rPr>
        <w:t xml:space="preserve">托管账户收到错误汇划的资金，托管银行收集材料，提出申请并报市科技行政主管部门审核。市科技行政主管部门同意的，托管银行办理支付。 </w:t>
      </w:r>
    </w:p>
    <w:p>
      <w:pPr>
        <w:adjustRightInd w:val="0"/>
        <w:snapToGrid w:val="0"/>
        <w:spacing w:line="560" w:lineRule="exact"/>
        <w:ind w:firstLine="594" w:firstLineChars="200"/>
        <w:jc w:val="left"/>
        <w:rPr>
          <w:rFonts w:ascii="仿宋_GB2312" w:eastAsiaTheme="minorEastAsia"/>
          <w:sz w:val="21"/>
          <w:szCs w:val="32"/>
        </w:rPr>
      </w:pPr>
      <w:r>
        <w:rPr>
          <w:rFonts w:hint="eastAsia" w:ascii="黑体" w:hAnsi="黑体" w:eastAsia="黑体" w:cs="楷体"/>
          <w:szCs w:val="32"/>
        </w:rPr>
        <w:t>第二十</w:t>
      </w:r>
      <w:r>
        <w:rPr>
          <w:rFonts w:ascii="黑体" w:hAnsi="黑体" w:eastAsia="黑体" w:cs="楷体"/>
          <w:szCs w:val="32"/>
        </w:rPr>
        <w:t>八</w:t>
      </w:r>
      <w:r>
        <w:rPr>
          <w:rFonts w:hint="eastAsia" w:ascii="黑体" w:hAnsi="黑体" w:eastAsia="黑体" w:cs="楷体"/>
          <w:szCs w:val="32"/>
        </w:rPr>
        <w:t>条</w:t>
      </w:r>
      <w:r>
        <w:rPr>
          <w:rFonts w:hint="eastAsia" w:ascii="楷体" w:hAnsi="楷体" w:eastAsia="楷体" w:cs="楷体"/>
          <w:szCs w:val="32"/>
        </w:rPr>
        <w:t>【</w:t>
      </w:r>
      <w:r>
        <w:rPr>
          <w:rFonts w:hint="eastAsia" w:ascii="仿宋_GB2312" w:hAnsi="楷体" w:eastAsia="仿宋_GB2312" w:cs="楷体"/>
          <w:szCs w:val="32"/>
        </w:rPr>
        <w:t>规则解释</w:t>
      </w:r>
      <w:r>
        <w:rPr>
          <w:rFonts w:hint="eastAsia" w:ascii="楷体" w:hAnsi="楷体" w:eastAsia="楷体" w:cs="楷体"/>
          <w:szCs w:val="32"/>
        </w:rPr>
        <w:t>】</w:t>
      </w:r>
      <w:r>
        <w:rPr>
          <w:rFonts w:hint="eastAsia" w:ascii="仿宋_GB2312"/>
          <w:szCs w:val="32"/>
        </w:rPr>
        <w:t>在项目合同书（任务书）等项目文件委托执行过程中，项目承担单位与托管银行存在意见分歧的，由市科技行政主管部门</w:t>
      </w:r>
      <w:r>
        <w:rPr>
          <w:rFonts w:ascii="仿宋_GB2312"/>
          <w:szCs w:val="32"/>
        </w:rPr>
        <w:t>负责解释</w:t>
      </w:r>
      <w:r>
        <w:rPr>
          <w:rFonts w:hint="eastAsia" w:ascii="仿宋_GB2312"/>
          <w:szCs w:val="32"/>
        </w:rPr>
        <w:t>。</w:t>
      </w:r>
    </w:p>
    <w:p>
      <w:pPr>
        <w:adjustRightInd w:val="0"/>
        <w:snapToGrid w:val="0"/>
        <w:spacing w:line="560" w:lineRule="exact"/>
        <w:ind w:firstLine="594" w:firstLineChars="200"/>
        <w:jc w:val="left"/>
        <w:rPr>
          <w:rFonts w:ascii="仿宋_GB2312"/>
          <w:szCs w:val="32"/>
        </w:rPr>
      </w:pPr>
    </w:p>
    <w:p>
      <w:pPr>
        <w:adjustRightInd w:val="0"/>
        <w:snapToGrid w:val="0"/>
        <w:spacing w:line="560" w:lineRule="exact"/>
        <w:ind w:firstLine="594" w:firstLineChars="200"/>
        <w:jc w:val="center"/>
        <w:rPr>
          <w:rFonts w:ascii="黑体" w:hAnsi="黑体" w:eastAsia="黑体"/>
          <w:szCs w:val="32"/>
        </w:rPr>
      </w:pPr>
      <w:r>
        <w:rPr>
          <w:rFonts w:hint="eastAsia" w:ascii="黑体" w:hAnsi="黑体" w:eastAsia="黑体"/>
          <w:szCs w:val="32"/>
        </w:rPr>
        <w:t>第六章　</w:t>
      </w:r>
      <w:r>
        <w:rPr>
          <w:rFonts w:ascii="黑体" w:hAnsi="黑体" w:eastAsia="黑体"/>
          <w:szCs w:val="32"/>
        </w:rPr>
        <w:t>法律责任</w:t>
      </w:r>
    </w:p>
    <w:p>
      <w:pPr>
        <w:adjustRightInd w:val="0"/>
        <w:snapToGrid w:val="0"/>
        <w:spacing w:line="560" w:lineRule="exact"/>
        <w:ind w:firstLine="594" w:firstLineChars="200"/>
        <w:rPr>
          <w:rFonts w:ascii="仿宋_GB2312"/>
          <w:szCs w:val="32"/>
        </w:rPr>
      </w:pPr>
      <w:r>
        <w:rPr>
          <w:rFonts w:hint="eastAsia" w:ascii="黑体" w:hAnsi="黑体" w:eastAsia="黑体" w:cs="楷体"/>
          <w:szCs w:val="32"/>
        </w:rPr>
        <w:t>第二十九条</w:t>
      </w:r>
      <w:r>
        <w:rPr>
          <w:rFonts w:hint="eastAsia" w:ascii="楷体" w:hAnsi="楷体" w:eastAsia="楷体" w:cs="楷体"/>
          <w:szCs w:val="32"/>
        </w:rPr>
        <w:t>【</w:t>
      </w:r>
      <w:r>
        <w:rPr>
          <w:rFonts w:hint="eastAsia" w:ascii="仿宋_GB2312" w:hAnsi="楷体" w:eastAsia="仿宋_GB2312" w:cs="楷体"/>
          <w:szCs w:val="32"/>
        </w:rPr>
        <w:t>项目承担单位</w:t>
      </w:r>
      <w:r>
        <w:rPr>
          <w:rFonts w:hint="eastAsia" w:ascii="楷体" w:hAnsi="楷体" w:eastAsia="楷体" w:cs="楷体"/>
          <w:szCs w:val="32"/>
        </w:rPr>
        <w:t>】</w:t>
      </w:r>
      <w:r>
        <w:rPr>
          <w:rFonts w:hint="eastAsia" w:ascii="仿宋_GB2312"/>
          <w:szCs w:val="32"/>
        </w:rPr>
        <w:t>项目承担单位和申报人虚报、冒领、截留、挪用专项资金，或者违反专项资金管理政策、管理办法，或者违反本管理办法及其他财经纪律的，由市科技行政主管部门责令改正，同时按照《财政违法行为处罚处分条例》、《深圳市科技研发资金管理办法》等有关规定进行处理。</w:t>
      </w:r>
    </w:p>
    <w:p>
      <w:pPr>
        <w:adjustRightInd w:val="0"/>
        <w:snapToGrid w:val="0"/>
        <w:spacing w:line="560" w:lineRule="exact"/>
        <w:ind w:firstLine="594" w:firstLineChars="200"/>
        <w:rPr>
          <w:rFonts w:ascii="仿宋_GB2312"/>
          <w:szCs w:val="32"/>
        </w:rPr>
      </w:pPr>
      <w:r>
        <w:rPr>
          <w:rFonts w:hint="eastAsia" w:ascii="黑体" w:hAnsi="黑体" w:eastAsia="黑体" w:cs="楷体"/>
          <w:szCs w:val="32"/>
        </w:rPr>
        <w:t>第</w:t>
      </w:r>
      <w:r>
        <w:rPr>
          <w:rFonts w:ascii="黑体" w:hAnsi="黑体" w:eastAsia="黑体" w:cs="楷体"/>
          <w:szCs w:val="32"/>
        </w:rPr>
        <w:t>三十</w:t>
      </w:r>
      <w:r>
        <w:rPr>
          <w:rFonts w:hint="eastAsia" w:ascii="黑体" w:hAnsi="黑体" w:eastAsia="黑体" w:cs="楷体"/>
          <w:szCs w:val="32"/>
        </w:rPr>
        <w:t>条</w:t>
      </w:r>
      <w:r>
        <w:rPr>
          <w:rFonts w:hint="eastAsia" w:ascii="楷体" w:hAnsi="楷体" w:eastAsia="楷体" w:cs="楷体"/>
          <w:szCs w:val="32"/>
        </w:rPr>
        <w:t>【</w:t>
      </w:r>
      <w:r>
        <w:rPr>
          <w:rFonts w:hint="eastAsia" w:ascii="仿宋_GB2312" w:hAnsi="楷体" w:eastAsia="仿宋_GB2312" w:cs="楷体"/>
          <w:szCs w:val="32"/>
        </w:rPr>
        <w:t>银行责任</w:t>
      </w:r>
      <w:r>
        <w:rPr>
          <w:rFonts w:hint="eastAsia" w:ascii="楷体" w:hAnsi="楷体" w:eastAsia="楷体" w:cs="楷体"/>
          <w:szCs w:val="32"/>
        </w:rPr>
        <w:t>】</w:t>
      </w:r>
      <w:r>
        <w:rPr>
          <w:rFonts w:hint="eastAsia" w:ascii="仿宋_GB2312"/>
          <w:szCs w:val="32"/>
        </w:rPr>
        <w:t>托管银行未按要求实行资金托管，或违反规定拖延划款、搭售服务的，项目承担单位可向市科技行政主管部门进行举报或投诉。造成托管资金损失的，且托管银行未充分履行托管职责、不能提供有效免责证明材料，托管银行负全额赔偿责任。</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第三十一条</w:t>
      </w:r>
      <w:r>
        <w:rPr>
          <w:rFonts w:hint="eastAsia" w:ascii="楷体" w:hAnsi="楷体" w:eastAsia="楷体" w:cs="楷体"/>
          <w:szCs w:val="32"/>
        </w:rPr>
        <w:t>【</w:t>
      </w:r>
      <w:r>
        <w:rPr>
          <w:rFonts w:hint="eastAsia" w:ascii="仿宋_GB2312" w:hAnsi="楷体" w:eastAsia="仿宋_GB2312" w:cs="楷体"/>
          <w:szCs w:val="32"/>
        </w:rPr>
        <w:t>公职人员责任</w:t>
      </w:r>
      <w:r>
        <w:rPr>
          <w:rFonts w:hint="eastAsia" w:ascii="楷体" w:hAnsi="楷体" w:eastAsia="楷体" w:cs="楷体"/>
          <w:szCs w:val="32"/>
        </w:rPr>
        <w:t>】</w:t>
      </w:r>
      <w:r>
        <w:rPr>
          <w:rFonts w:hint="eastAsia" w:ascii="仿宋_GB2312"/>
          <w:szCs w:val="32"/>
        </w:rPr>
        <w:t>市科技行政主管部门工作人员违反本办法，没有认真履行职责，在管理和监督工作中滥用职权、玩忽职守、徇私舞弊的，按照《预算法》、《公务员法》、《行政监察法》、《财政违法行为处罚处分条例》等有关规定进行处理。</w:t>
      </w:r>
    </w:p>
    <w:p>
      <w:pPr>
        <w:adjustRightInd w:val="0"/>
        <w:snapToGrid w:val="0"/>
        <w:spacing w:line="560" w:lineRule="exact"/>
        <w:ind w:firstLine="594" w:firstLineChars="200"/>
        <w:rPr>
          <w:rFonts w:ascii="仿宋_GB2312"/>
          <w:szCs w:val="32"/>
        </w:rPr>
      </w:pPr>
    </w:p>
    <w:p>
      <w:pPr>
        <w:adjustRightInd w:val="0"/>
        <w:snapToGrid w:val="0"/>
        <w:spacing w:line="560" w:lineRule="exact"/>
        <w:ind w:firstLine="594" w:firstLineChars="200"/>
        <w:jc w:val="center"/>
        <w:rPr>
          <w:rFonts w:ascii="仿宋_GB2312"/>
          <w:szCs w:val="32"/>
        </w:rPr>
      </w:pPr>
      <w:r>
        <w:rPr>
          <w:rFonts w:hint="eastAsia" w:ascii="黑体" w:hAnsi="黑体" w:eastAsia="黑体"/>
          <w:szCs w:val="32"/>
        </w:rPr>
        <w:t>第七章　附则</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第三十二条</w:t>
      </w:r>
      <w:r>
        <w:rPr>
          <w:rFonts w:hint="eastAsia" w:ascii="楷体" w:hAnsi="楷体" w:eastAsia="楷体" w:cs="楷体"/>
          <w:szCs w:val="32"/>
        </w:rPr>
        <w:t>【</w:t>
      </w:r>
      <w:r>
        <w:rPr>
          <w:rFonts w:hint="eastAsia" w:ascii="仿宋_GB2312" w:hAnsi="楷体" w:eastAsia="仿宋_GB2312" w:cs="楷体"/>
          <w:szCs w:val="32"/>
        </w:rPr>
        <w:t>调整</w:t>
      </w:r>
      <w:r>
        <w:rPr>
          <w:rFonts w:hint="eastAsia" w:ascii="楷体" w:hAnsi="楷体" w:eastAsia="楷体" w:cs="楷体"/>
          <w:szCs w:val="32"/>
        </w:rPr>
        <w:t>】</w:t>
      </w:r>
      <w:r>
        <w:rPr>
          <w:rFonts w:hint="eastAsia" w:ascii="仿宋_GB2312"/>
          <w:szCs w:val="32"/>
        </w:rPr>
        <w:t>国家、省、市对科研资金的管理提出的新要求，本办法相关规定应遵从其要求而适当调整。</w:t>
      </w:r>
    </w:p>
    <w:p>
      <w:pPr>
        <w:adjustRightInd w:val="0"/>
        <w:snapToGrid w:val="0"/>
        <w:spacing w:line="560" w:lineRule="exact"/>
        <w:ind w:firstLine="594" w:firstLineChars="200"/>
        <w:rPr>
          <w:rFonts w:ascii="仿宋_GB2312" w:eastAsiaTheme="minorEastAsia"/>
          <w:sz w:val="21"/>
          <w:szCs w:val="32"/>
        </w:rPr>
      </w:pPr>
      <w:r>
        <w:rPr>
          <w:rFonts w:hint="eastAsia" w:ascii="黑体" w:hAnsi="黑体" w:eastAsia="黑体" w:cs="楷体"/>
          <w:szCs w:val="32"/>
        </w:rPr>
        <w:t>第三十三条</w:t>
      </w:r>
      <w:r>
        <w:rPr>
          <w:rFonts w:hint="eastAsia" w:ascii="楷体" w:hAnsi="楷体" w:eastAsia="楷体" w:cs="楷体"/>
          <w:szCs w:val="32"/>
        </w:rPr>
        <w:t>【</w:t>
      </w:r>
      <w:r>
        <w:rPr>
          <w:rFonts w:hint="eastAsia" w:ascii="仿宋_GB2312" w:hAnsi="楷体" w:eastAsia="仿宋_GB2312" w:cs="楷体"/>
          <w:szCs w:val="32"/>
        </w:rPr>
        <w:t>有效期</w:t>
      </w:r>
      <w:r>
        <w:rPr>
          <w:rFonts w:hint="eastAsia" w:ascii="楷体" w:hAnsi="楷体" w:eastAsia="楷体" w:cs="楷体"/>
          <w:szCs w:val="32"/>
        </w:rPr>
        <w:t>】</w:t>
      </w:r>
      <w:r>
        <w:rPr>
          <w:rFonts w:hint="eastAsia" w:ascii="仿宋_GB2312"/>
          <w:szCs w:val="32"/>
        </w:rPr>
        <w:t>本办法自  年 月 日起生效，有效期五年。</w:t>
      </w:r>
    </w:p>
    <w:p>
      <w:pPr>
        <w:adjustRightInd w:val="0"/>
        <w:snapToGrid w:val="0"/>
        <w:spacing w:line="580" w:lineRule="exact"/>
        <w:rPr>
          <w:rFonts w:ascii="黑体" w:hAnsi="黑体" w:eastAsia="黑体"/>
          <w:b/>
          <w:sz w:val="44"/>
          <w:szCs w:val="44"/>
        </w:rPr>
      </w:pPr>
    </w:p>
    <w:sectPr>
      <w:footerReference r:id="rId3" w:type="default"/>
      <w:pgSz w:w="11906" w:h="16838"/>
      <w:pgMar w:top="1440" w:right="1797" w:bottom="1440" w:left="1797" w:header="851" w:footer="992" w:gutter="0"/>
      <w:pgNumType w:fmt="numberInDash"/>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764773"/>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trackRevisions w:val="1"/>
  <w:documentProtection w:enforcement="0"/>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F8"/>
    <w:rsid w:val="00002916"/>
    <w:rsid w:val="00016AEE"/>
    <w:rsid w:val="000216E8"/>
    <w:rsid w:val="0002521D"/>
    <w:rsid w:val="00035DC8"/>
    <w:rsid w:val="0005672C"/>
    <w:rsid w:val="00076BB4"/>
    <w:rsid w:val="000A2795"/>
    <w:rsid w:val="000A38B8"/>
    <w:rsid w:val="000B6EEF"/>
    <w:rsid w:val="000C4C9F"/>
    <w:rsid w:val="000E7337"/>
    <w:rsid w:val="001001A8"/>
    <w:rsid w:val="001157F3"/>
    <w:rsid w:val="0014603D"/>
    <w:rsid w:val="00161BC3"/>
    <w:rsid w:val="0016444F"/>
    <w:rsid w:val="001650F8"/>
    <w:rsid w:val="00181C2E"/>
    <w:rsid w:val="001852C1"/>
    <w:rsid w:val="001A3CAF"/>
    <w:rsid w:val="001C19B7"/>
    <w:rsid w:val="001C340D"/>
    <w:rsid w:val="001C438B"/>
    <w:rsid w:val="001E1CA8"/>
    <w:rsid w:val="001E4DB2"/>
    <w:rsid w:val="001E5AED"/>
    <w:rsid w:val="001E6497"/>
    <w:rsid w:val="001F1BC5"/>
    <w:rsid w:val="002107EC"/>
    <w:rsid w:val="002274F8"/>
    <w:rsid w:val="002373F8"/>
    <w:rsid w:val="002429EE"/>
    <w:rsid w:val="00242BB9"/>
    <w:rsid w:val="002712AE"/>
    <w:rsid w:val="002A53BF"/>
    <w:rsid w:val="002B590B"/>
    <w:rsid w:val="002C124C"/>
    <w:rsid w:val="002D331D"/>
    <w:rsid w:val="002E2CCD"/>
    <w:rsid w:val="002F22F8"/>
    <w:rsid w:val="002F6404"/>
    <w:rsid w:val="002F7016"/>
    <w:rsid w:val="0030607E"/>
    <w:rsid w:val="00313D88"/>
    <w:rsid w:val="00325B7D"/>
    <w:rsid w:val="0032626A"/>
    <w:rsid w:val="0033789E"/>
    <w:rsid w:val="0034098D"/>
    <w:rsid w:val="00353C69"/>
    <w:rsid w:val="00395B97"/>
    <w:rsid w:val="00397D89"/>
    <w:rsid w:val="003A461D"/>
    <w:rsid w:val="003A7148"/>
    <w:rsid w:val="003B41A9"/>
    <w:rsid w:val="003C07D0"/>
    <w:rsid w:val="003C3CB2"/>
    <w:rsid w:val="003D1F8A"/>
    <w:rsid w:val="003D479C"/>
    <w:rsid w:val="003F3D15"/>
    <w:rsid w:val="003F508C"/>
    <w:rsid w:val="003F7F68"/>
    <w:rsid w:val="00400849"/>
    <w:rsid w:val="00411DE5"/>
    <w:rsid w:val="00412B6E"/>
    <w:rsid w:val="004177E8"/>
    <w:rsid w:val="0042759A"/>
    <w:rsid w:val="00431A47"/>
    <w:rsid w:val="00446AB2"/>
    <w:rsid w:val="0048654D"/>
    <w:rsid w:val="00491945"/>
    <w:rsid w:val="00496481"/>
    <w:rsid w:val="00496EFE"/>
    <w:rsid w:val="004A1AE3"/>
    <w:rsid w:val="004C3642"/>
    <w:rsid w:val="004E3B01"/>
    <w:rsid w:val="004F25C5"/>
    <w:rsid w:val="00505BB4"/>
    <w:rsid w:val="00537E05"/>
    <w:rsid w:val="00542E97"/>
    <w:rsid w:val="00547C4A"/>
    <w:rsid w:val="005546E9"/>
    <w:rsid w:val="005557CC"/>
    <w:rsid w:val="00561AC3"/>
    <w:rsid w:val="0056592E"/>
    <w:rsid w:val="00581262"/>
    <w:rsid w:val="005A5045"/>
    <w:rsid w:val="005C29CC"/>
    <w:rsid w:val="005D68D0"/>
    <w:rsid w:val="005F1B3F"/>
    <w:rsid w:val="005F7386"/>
    <w:rsid w:val="00606274"/>
    <w:rsid w:val="0060628C"/>
    <w:rsid w:val="00611B5B"/>
    <w:rsid w:val="00624C52"/>
    <w:rsid w:val="00641796"/>
    <w:rsid w:val="00664BA5"/>
    <w:rsid w:val="00676F7A"/>
    <w:rsid w:val="00677166"/>
    <w:rsid w:val="00683C94"/>
    <w:rsid w:val="006C37ED"/>
    <w:rsid w:val="006D3F35"/>
    <w:rsid w:val="006E0E02"/>
    <w:rsid w:val="006F35A9"/>
    <w:rsid w:val="006F3CFE"/>
    <w:rsid w:val="00706EB5"/>
    <w:rsid w:val="007118AC"/>
    <w:rsid w:val="00715460"/>
    <w:rsid w:val="00722AFC"/>
    <w:rsid w:val="0074413F"/>
    <w:rsid w:val="00771F87"/>
    <w:rsid w:val="007A792E"/>
    <w:rsid w:val="007B19AF"/>
    <w:rsid w:val="007D6FE7"/>
    <w:rsid w:val="007F5B9F"/>
    <w:rsid w:val="007F739E"/>
    <w:rsid w:val="008069AE"/>
    <w:rsid w:val="00807764"/>
    <w:rsid w:val="008154DA"/>
    <w:rsid w:val="00817629"/>
    <w:rsid w:val="00841F5F"/>
    <w:rsid w:val="00857267"/>
    <w:rsid w:val="00867C60"/>
    <w:rsid w:val="008739C8"/>
    <w:rsid w:val="008768F4"/>
    <w:rsid w:val="00891025"/>
    <w:rsid w:val="00891A89"/>
    <w:rsid w:val="008A26C4"/>
    <w:rsid w:val="008D3511"/>
    <w:rsid w:val="008D781B"/>
    <w:rsid w:val="008D7948"/>
    <w:rsid w:val="009042DE"/>
    <w:rsid w:val="00915707"/>
    <w:rsid w:val="00942381"/>
    <w:rsid w:val="00944322"/>
    <w:rsid w:val="00955AA5"/>
    <w:rsid w:val="00957BDC"/>
    <w:rsid w:val="00963DBD"/>
    <w:rsid w:val="00967E50"/>
    <w:rsid w:val="009753AE"/>
    <w:rsid w:val="009B4F33"/>
    <w:rsid w:val="009C51DA"/>
    <w:rsid w:val="009D79FB"/>
    <w:rsid w:val="009E03C3"/>
    <w:rsid w:val="009F03D7"/>
    <w:rsid w:val="00A0422C"/>
    <w:rsid w:val="00A046A8"/>
    <w:rsid w:val="00A10269"/>
    <w:rsid w:val="00A14BC5"/>
    <w:rsid w:val="00A33BCE"/>
    <w:rsid w:val="00A4337E"/>
    <w:rsid w:val="00A50532"/>
    <w:rsid w:val="00A6687A"/>
    <w:rsid w:val="00A734D1"/>
    <w:rsid w:val="00A73A3D"/>
    <w:rsid w:val="00A814B8"/>
    <w:rsid w:val="00A97AA3"/>
    <w:rsid w:val="00AA5E89"/>
    <w:rsid w:val="00AB1E21"/>
    <w:rsid w:val="00AD4D2D"/>
    <w:rsid w:val="00AE04BA"/>
    <w:rsid w:val="00AF0FF8"/>
    <w:rsid w:val="00AF2E92"/>
    <w:rsid w:val="00AF6A31"/>
    <w:rsid w:val="00B15721"/>
    <w:rsid w:val="00B377DB"/>
    <w:rsid w:val="00B37E17"/>
    <w:rsid w:val="00B624A4"/>
    <w:rsid w:val="00B645BC"/>
    <w:rsid w:val="00B64C2D"/>
    <w:rsid w:val="00B66175"/>
    <w:rsid w:val="00B67925"/>
    <w:rsid w:val="00B70D7F"/>
    <w:rsid w:val="00B776A9"/>
    <w:rsid w:val="00B95D10"/>
    <w:rsid w:val="00BA0074"/>
    <w:rsid w:val="00BA3508"/>
    <w:rsid w:val="00BA38F5"/>
    <w:rsid w:val="00BC0D4B"/>
    <w:rsid w:val="00BC3D4E"/>
    <w:rsid w:val="00BD5A14"/>
    <w:rsid w:val="00C0719C"/>
    <w:rsid w:val="00C170F6"/>
    <w:rsid w:val="00C331E2"/>
    <w:rsid w:val="00C41DA4"/>
    <w:rsid w:val="00C4672B"/>
    <w:rsid w:val="00C50F54"/>
    <w:rsid w:val="00C5258D"/>
    <w:rsid w:val="00C52863"/>
    <w:rsid w:val="00C52D10"/>
    <w:rsid w:val="00C55348"/>
    <w:rsid w:val="00C56830"/>
    <w:rsid w:val="00C70FDF"/>
    <w:rsid w:val="00C754DF"/>
    <w:rsid w:val="00C96003"/>
    <w:rsid w:val="00CA4E0B"/>
    <w:rsid w:val="00CC34F2"/>
    <w:rsid w:val="00CF7284"/>
    <w:rsid w:val="00D006F8"/>
    <w:rsid w:val="00D42662"/>
    <w:rsid w:val="00D4513F"/>
    <w:rsid w:val="00D55410"/>
    <w:rsid w:val="00D61B73"/>
    <w:rsid w:val="00D65CD7"/>
    <w:rsid w:val="00DA21E4"/>
    <w:rsid w:val="00DB138A"/>
    <w:rsid w:val="00DC0258"/>
    <w:rsid w:val="00DC0A98"/>
    <w:rsid w:val="00DD18FC"/>
    <w:rsid w:val="00DD40A5"/>
    <w:rsid w:val="00DD4989"/>
    <w:rsid w:val="00DE4F69"/>
    <w:rsid w:val="00DF0B82"/>
    <w:rsid w:val="00DF3F1E"/>
    <w:rsid w:val="00DF6DB6"/>
    <w:rsid w:val="00E208A2"/>
    <w:rsid w:val="00E33562"/>
    <w:rsid w:val="00E357D9"/>
    <w:rsid w:val="00E40AA4"/>
    <w:rsid w:val="00E427C7"/>
    <w:rsid w:val="00E4313A"/>
    <w:rsid w:val="00E4662C"/>
    <w:rsid w:val="00E55D66"/>
    <w:rsid w:val="00E624CF"/>
    <w:rsid w:val="00E93179"/>
    <w:rsid w:val="00EA408D"/>
    <w:rsid w:val="00EB0246"/>
    <w:rsid w:val="00EB1711"/>
    <w:rsid w:val="00EB4FB6"/>
    <w:rsid w:val="00EB673B"/>
    <w:rsid w:val="00EC45B0"/>
    <w:rsid w:val="00EC4FA0"/>
    <w:rsid w:val="00EC677F"/>
    <w:rsid w:val="00EE4D3F"/>
    <w:rsid w:val="00F015CE"/>
    <w:rsid w:val="00F05374"/>
    <w:rsid w:val="00F11783"/>
    <w:rsid w:val="00F154D1"/>
    <w:rsid w:val="00F168D4"/>
    <w:rsid w:val="00F23177"/>
    <w:rsid w:val="00F25D3F"/>
    <w:rsid w:val="00F32E9E"/>
    <w:rsid w:val="00F87088"/>
    <w:rsid w:val="00F927D1"/>
    <w:rsid w:val="00FA086A"/>
    <w:rsid w:val="00FA407F"/>
    <w:rsid w:val="00FA5259"/>
    <w:rsid w:val="00FB5444"/>
    <w:rsid w:val="00FC43FB"/>
    <w:rsid w:val="00FD05EE"/>
    <w:rsid w:val="00FD12E1"/>
    <w:rsid w:val="00FE5E90"/>
    <w:rsid w:val="00FF08CA"/>
    <w:rsid w:val="00FF6187"/>
    <w:rsid w:val="13F937D0"/>
    <w:rsid w:val="17717C10"/>
    <w:rsid w:val="1A2D37DE"/>
    <w:rsid w:val="1E956D2A"/>
    <w:rsid w:val="256635F8"/>
    <w:rsid w:val="34D82E56"/>
    <w:rsid w:val="3AB40DA8"/>
    <w:rsid w:val="3DA33F97"/>
    <w:rsid w:val="41B86E24"/>
    <w:rsid w:val="43D31632"/>
    <w:rsid w:val="43E51126"/>
    <w:rsid w:val="46757F38"/>
    <w:rsid w:val="46970FEE"/>
    <w:rsid w:val="632E411D"/>
    <w:rsid w:val="69546D9B"/>
    <w:rsid w:val="6D146544"/>
    <w:rsid w:val="71284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Change w:id="0" w:author="钟相明" w:date="2020-04-22T15:00:00Z">
        <w:pPr>
          <w:widowControl w:val="0"/>
          <w:jc w:val="both"/>
        </w:pPr>
      </w:pPrChange>
    </w:pPr>
    <w:rPr>
      <w:rFonts w:eastAsia="仿宋_GB2312" w:asciiTheme="minorHAnsi" w:hAnsiTheme="minorHAnsi" w:cstheme="minorBidi"/>
      <w:kern w:val="2"/>
      <w:sz w:val="32"/>
      <w:szCs w:val="22"/>
      <w:lang w:val="en-US" w:eastAsia="zh-CN" w:bidi="ar-SA"/>
      <w:rPrChange w:id="1" w:author="钟相明" w:date="2020-04-22T15:00:00Z">
        <w:rPr>
          <w:rFonts w:asciiTheme="minorHAnsi" w:hAnsiTheme="minorHAnsi" w:eastAsiaTheme="minorEastAsia" w:cstheme="minorBidi"/>
          <w:kern w:val="2"/>
          <w:sz w:val="21"/>
          <w:szCs w:val="22"/>
          <w:lang w:val="en-US" w:eastAsia="zh-CN" w:bidi="ar-SA"/>
        </w:rPr>
      </w:rPrChange>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F617D-D189-4A83-9A1A-4623A7705495}">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12</Pages>
  <Words>1539</Words>
  <Characters>8778</Characters>
  <Lines>73</Lines>
  <Paragraphs>20</Paragraphs>
  <TotalTime>0</TotalTime>
  <ScaleCrop>false</ScaleCrop>
  <LinksUpToDate>false</LinksUpToDate>
  <CharactersWithSpaces>10297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2020-03-03T10:06:00Z</dcterms:created>
  <dc:creator>殷杰</dc:creator>
  <cp:lastModifiedBy>音节</cp:lastModifiedBy>
  <cp:lastPrinted>2020-04-14T03:32:00Z</cp:lastPrinted>
  <dcterms:modified xsi:type="dcterms:W3CDTF">2020-09-18T09:36:05Z</dcterms:modified>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