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70" w:lineRule="atLeast"/>
        <w:rPr>
          <w:rStyle w:val="8"/>
          <w:rFonts w:ascii="楷体" w:hAnsi="楷体" w:eastAsia="楷体" w:cs="楷体"/>
          <w:b w:val="0"/>
          <w:bCs w:val="0"/>
          <w:sz w:val="32"/>
          <w:szCs w:val="32"/>
        </w:rPr>
      </w:pPr>
      <w:bookmarkStart w:id="0" w:name="_GoBack"/>
      <w:bookmarkEnd w:id="0"/>
      <w:r>
        <w:rPr>
          <w:rStyle w:val="8"/>
          <w:rFonts w:hint="eastAsia" w:ascii="楷体" w:hAnsi="楷体" w:eastAsia="楷体" w:cs="楷体"/>
          <w:b w:val="0"/>
          <w:bCs w:val="0"/>
          <w:sz w:val="32"/>
          <w:szCs w:val="32"/>
        </w:rPr>
        <w:t>附件1</w:t>
      </w:r>
    </w:p>
    <w:p>
      <w:pPr>
        <w:pStyle w:val="4"/>
        <w:spacing w:before="0" w:beforeAutospacing="0" w:after="0" w:afterAutospacing="0" w:line="570" w:lineRule="atLeast"/>
        <w:jc w:val="center"/>
        <w:rPr>
          <w:rStyle w:val="8"/>
          <w:rFonts w:ascii="&amp;quot" w:hAnsi="&amp;quot"/>
          <w:sz w:val="44"/>
          <w:szCs w:val="44"/>
        </w:rPr>
      </w:pPr>
      <w:r>
        <w:rPr>
          <w:rStyle w:val="8"/>
          <w:rFonts w:hint="eastAsia" w:ascii="&amp;quot" w:hAnsi="&amp;quot"/>
          <w:sz w:val="44"/>
          <w:szCs w:val="44"/>
        </w:rPr>
        <w:t>《</w:t>
      </w:r>
      <w:r>
        <w:rPr>
          <w:rStyle w:val="8"/>
          <w:rFonts w:ascii="&amp;quot" w:hAnsi="&amp;quot"/>
          <w:sz w:val="44"/>
          <w:szCs w:val="44"/>
        </w:rPr>
        <w:t>深圳市地价测算规则</w:t>
      </w:r>
      <w:r>
        <w:rPr>
          <w:rStyle w:val="8"/>
          <w:rFonts w:hint="eastAsia" w:ascii="&amp;quot" w:hAnsi="&amp;quot"/>
          <w:sz w:val="44"/>
          <w:szCs w:val="44"/>
        </w:rPr>
        <w:t>》附表</w:t>
      </w:r>
    </w:p>
    <w:p>
      <w:pPr>
        <w:pStyle w:val="4"/>
        <w:spacing w:before="0" w:beforeAutospacing="0" w:after="0" w:afterAutospacing="0" w:line="570" w:lineRule="atLeast"/>
        <w:jc w:val="center"/>
        <w:rPr>
          <w:rFonts w:ascii="仿宋" w:hAnsi="仿宋" w:eastAsia="仿宋" w:cs="仿宋"/>
          <w:sz w:val="32"/>
          <w:szCs w:val="32"/>
        </w:rPr>
      </w:pPr>
      <w:r>
        <w:rPr>
          <w:rFonts w:hint="eastAsia" w:ascii="仿宋" w:hAnsi="仿宋" w:eastAsia="仿宋" w:cs="仿宋"/>
          <w:sz w:val="32"/>
          <w:szCs w:val="32"/>
        </w:rPr>
        <w:t>（修订征求意见稿）</w:t>
      </w:r>
    </w:p>
    <w:p>
      <w:pPr>
        <w:spacing w:line="579" w:lineRule="exact"/>
        <w:ind w:firstLine="643" w:firstLineChars="20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附表1  建筑类型适用地价标准及修正系数表</w:t>
      </w:r>
    </w:p>
    <w:tbl>
      <w:tblPr>
        <w:tblStyle w:val="5"/>
        <w:tblW w:w="9036" w:type="dxa"/>
        <w:jc w:val="center"/>
        <w:tblInd w:w="0" w:type="dxa"/>
        <w:tblLayout w:type="fixed"/>
        <w:tblCellMar>
          <w:top w:w="0" w:type="dxa"/>
          <w:left w:w="108" w:type="dxa"/>
          <w:bottom w:w="0" w:type="dxa"/>
          <w:right w:w="108" w:type="dxa"/>
        </w:tblCellMar>
      </w:tblPr>
      <w:tblGrid>
        <w:gridCol w:w="730"/>
        <w:gridCol w:w="708"/>
        <w:gridCol w:w="5187"/>
        <w:gridCol w:w="1253"/>
        <w:gridCol w:w="1158"/>
      </w:tblGrid>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建筑类型</w:t>
            </w:r>
          </w:p>
        </w:tc>
        <w:tc>
          <w:tcPr>
            <w:tcW w:w="1253" w:type="dxa"/>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适用地价</w:t>
            </w:r>
          </w:p>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1158" w:type="dxa"/>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修正</w:t>
            </w:r>
          </w:p>
          <w:p>
            <w:pPr>
              <w:spacing w:line="29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系数</w:t>
            </w:r>
          </w:p>
        </w:tc>
      </w:tr>
      <w:tr>
        <w:tblPrEx>
          <w:tblLayout w:type="fixed"/>
          <w:tblCellMar>
            <w:top w:w="0" w:type="dxa"/>
            <w:left w:w="108" w:type="dxa"/>
            <w:bottom w:w="0" w:type="dxa"/>
            <w:right w:w="108" w:type="dxa"/>
          </w:tblCellMar>
        </w:tblPrEx>
        <w:trPr>
          <w:trHeight w:val="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厂房（含新型产业用地中的厂房）</w:t>
            </w:r>
          </w:p>
        </w:tc>
        <w:tc>
          <w:tcPr>
            <w:tcW w:w="1253" w:type="dxa"/>
            <w:vMerge w:val="restart"/>
            <w:tcBorders>
              <w:top w:val="nil"/>
              <w:left w:val="single" w:color="auto" w:sz="4" w:space="0"/>
              <w:bottom w:val="single" w:color="auto" w:sz="4" w:space="0"/>
              <w:right w:val="nil"/>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工业</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63"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仓库（含物流用地中的仓库）</w:t>
            </w:r>
          </w:p>
        </w:tc>
        <w:tc>
          <w:tcPr>
            <w:tcW w:w="1253" w:type="dxa"/>
            <w:vMerge w:val="continue"/>
            <w:tcBorders>
              <w:top w:val="nil"/>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Layout w:type="fixed"/>
          <w:tblCellMar>
            <w:top w:w="0" w:type="dxa"/>
            <w:left w:w="108" w:type="dxa"/>
            <w:bottom w:w="0" w:type="dxa"/>
            <w:right w:w="108" w:type="dxa"/>
          </w:tblCellMar>
        </w:tblPrEx>
        <w:trPr>
          <w:trHeight w:val="284"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公用设施、市政设施及施工配套设施、训考场、殡葬设施</w:t>
            </w:r>
          </w:p>
        </w:tc>
        <w:tc>
          <w:tcPr>
            <w:tcW w:w="1253" w:type="dxa"/>
            <w:vMerge w:val="continue"/>
            <w:tcBorders>
              <w:top w:val="nil"/>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463"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交通设施（不含加油站、加气站、训考场、社会停车场（库）），综合管廊</w:t>
            </w:r>
          </w:p>
        </w:tc>
        <w:tc>
          <w:tcPr>
            <w:tcW w:w="1253" w:type="dxa"/>
            <w:vMerge w:val="continue"/>
            <w:tcBorders>
              <w:top w:val="nil"/>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Layout w:type="fixed"/>
          <w:tblCellMar>
            <w:top w:w="0" w:type="dxa"/>
            <w:left w:w="108" w:type="dxa"/>
            <w:bottom w:w="0" w:type="dxa"/>
            <w:right w:w="108" w:type="dxa"/>
          </w:tblCellMar>
        </w:tblPrEx>
        <w:trPr>
          <w:trHeight w:val="277" w:hRule="atLeast"/>
          <w:jc w:val="center"/>
        </w:trPr>
        <w:tc>
          <w:tcPr>
            <w:tcW w:w="730"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新型产业用地中的研发用房、物流建筑</w:t>
            </w:r>
          </w:p>
        </w:tc>
        <w:tc>
          <w:tcPr>
            <w:tcW w:w="1253" w:type="dxa"/>
            <w:vMerge w:val="continue"/>
            <w:tcBorders>
              <w:top w:val="nil"/>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见备注3</w:t>
            </w:r>
          </w:p>
        </w:tc>
      </w:tr>
      <w:tr>
        <w:tblPrEx>
          <w:tblLayout w:type="fixed"/>
          <w:tblCellMar>
            <w:top w:w="0" w:type="dxa"/>
            <w:left w:w="108" w:type="dxa"/>
            <w:bottom w:w="0" w:type="dxa"/>
            <w:right w:w="108" w:type="dxa"/>
          </w:tblCellMar>
        </w:tblPrEx>
        <w:trPr>
          <w:trHeight w:val="201" w:hRule="atLeast"/>
          <w:jc w:val="center"/>
        </w:trPr>
        <w:tc>
          <w:tcPr>
            <w:tcW w:w="730" w:type="dxa"/>
            <w:vMerge w:val="restart"/>
            <w:tcBorders>
              <w:top w:val="single" w:color="auto" w:sz="4" w:space="0"/>
              <w:left w:val="single" w:color="auto" w:sz="4" w:space="0"/>
              <w:bottom w:val="nil"/>
              <w:right w:val="nil"/>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895" w:type="dxa"/>
            <w:gridSpan w:val="2"/>
            <w:tcBorders>
              <w:top w:val="single" w:color="auto" w:sz="4" w:space="0"/>
              <w:left w:val="single" w:color="auto" w:sz="4" w:space="0"/>
              <w:bottom w:val="single" w:color="auto" w:sz="4" w:space="0"/>
              <w:right w:val="single" w:color="000000"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1253" w:type="dxa"/>
            <w:vMerge w:val="restart"/>
            <w:tcBorders>
              <w:top w:val="single" w:color="auto" w:sz="4" w:space="0"/>
              <w:left w:val="nil"/>
              <w:bottom w:val="nil"/>
              <w:right w:val="nil"/>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43" w:hRule="atLeast"/>
          <w:jc w:val="center"/>
        </w:trPr>
        <w:tc>
          <w:tcPr>
            <w:tcW w:w="730" w:type="dxa"/>
            <w:vMerge w:val="continue"/>
            <w:tcBorders>
              <w:top w:val="single" w:color="auto" w:sz="4" w:space="0"/>
              <w:left w:val="single" w:color="auto" w:sz="4" w:space="0"/>
              <w:bottom w:val="nil"/>
              <w:right w:val="nil"/>
            </w:tcBorders>
            <w:vAlign w:val="center"/>
          </w:tcPr>
          <w:p>
            <w:pPr>
              <w:widowControl/>
              <w:jc w:val="left"/>
              <w:rPr>
                <w:rFonts w:ascii="仿宋_GB2312" w:hAnsi="仿宋_GB2312" w:eastAsia="仿宋_GB2312" w:cs="仿宋_GB2312"/>
                <w:sz w:val="24"/>
                <w:szCs w:val="24"/>
              </w:rPr>
            </w:pPr>
          </w:p>
        </w:tc>
        <w:tc>
          <w:tcPr>
            <w:tcW w:w="708" w:type="dxa"/>
            <w:vMerge w:val="restart"/>
            <w:tcBorders>
              <w:top w:val="nil"/>
              <w:left w:val="single" w:color="auto" w:sz="4" w:space="0"/>
              <w:bottom w:val="nil"/>
              <w:right w:val="nil"/>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5187" w:type="dxa"/>
            <w:tcBorders>
              <w:top w:val="single" w:color="auto" w:sz="4" w:space="0"/>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宿舍</w:t>
            </w:r>
          </w:p>
        </w:tc>
        <w:tc>
          <w:tcPr>
            <w:tcW w:w="1253" w:type="dxa"/>
            <w:vMerge w:val="continue"/>
            <w:tcBorders>
              <w:top w:val="single" w:color="auto" w:sz="4" w:space="0"/>
              <w:left w:val="nil"/>
              <w:bottom w:val="nil"/>
              <w:right w:val="nil"/>
            </w:tcBorders>
            <w:vAlign w:val="center"/>
          </w:tcPr>
          <w:p>
            <w:pPr>
              <w:widowControl/>
              <w:jc w:val="left"/>
              <w:rPr>
                <w:rFonts w:ascii="仿宋_GB2312" w:hAnsi="仿宋_GB2312" w:eastAsia="仿宋_GB2312" w:cs="仿宋_GB2312"/>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Layout w:type="fixed"/>
          <w:tblCellMar>
            <w:top w:w="0" w:type="dxa"/>
            <w:left w:w="108" w:type="dxa"/>
            <w:bottom w:w="0" w:type="dxa"/>
            <w:right w:w="108" w:type="dxa"/>
          </w:tblCellMar>
        </w:tblPrEx>
        <w:trPr>
          <w:trHeight w:val="284" w:hRule="atLeast"/>
          <w:jc w:val="center"/>
        </w:trPr>
        <w:tc>
          <w:tcPr>
            <w:tcW w:w="730" w:type="dxa"/>
            <w:vMerge w:val="continue"/>
            <w:tcBorders>
              <w:top w:val="single" w:color="auto" w:sz="4" w:space="0"/>
              <w:left w:val="single" w:color="auto" w:sz="4" w:space="0"/>
              <w:bottom w:val="nil"/>
              <w:right w:val="nil"/>
            </w:tcBorders>
            <w:vAlign w:val="center"/>
          </w:tcPr>
          <w:p>
            <w:pPr>
              <w:widowControl/>
              <w:jc w:val="left"/>
              <w:rPr>
                <w:rFonts w:ascii="仿宋_GB2312" w:hAnsi="仿宋_GB2312" w:eastAsia="仿宋_GB2312" w:cs="仿宋_GB2312"/>
                <w:sz w:val="24"/>
                <w:szCs w:val="24"/>
              </w:rPr>
            </w:pPr>
          </w:p>
        </w:tc>
        <w:tc>
          <w:tcPr>
            <w:tcW w:w="708" w:type="dxa"/>
            <w:vMerge w:val="continue"/>
            <w:tcBorders>
              <w:top w:val="nil"/>
              <w:left w:val="single" w:color="auto" w:sz="4" w:space="0"/>
              <w:bottom w:val="nil"/>
              <w:right w:val="nil"/>
            </w:tcBorders>
            <w:vAlign w:val="center"/>
          </w:tcPr>
          <w:p>
            <w:pPr>
              <w:widowControl/>
              <w:jc w:val="left"/>
              <w:rPr>
                <w:rFonts w:ascii="仿宋_GB2312" w:hAnsi="仿宋_GB2312" w:eastAsia="仿宋_GB2312" w:cs="仿宋_GB2312"/>
                <w:sz w:val="24"/>
                <w:szCs w:val="24"/>
              </w:rPr>
            </w:pPr>
          </w:p>
        </w:tc>
        <w:tc>
          <w:tcPr>
            <w:tcW w:w="5187" w:type="dxa"/>
            <w:tcBorders>
              <w:top w:val="nil"/>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人才住房</w:t>
            </w:r>
          </w:p>
        </w:tc>
        <w:tc>
          <w:tcPr>
            <w:tcW w:w="1253" w:type="dxa"/>
            <w:vMerge w:val="continue"/>
            <w:tcBorders>
              <w:top w:val="single" w:color="auto" w:sz="4" w:space="0"/>
              <w:left w:val="nil"/>
              <w:bottom w:val="nil"/>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Layout w:type="fixed"/>
          <w:tblCellMar>
            <w:top w:w="0" w:type="dxa"/>
            <w:left w:w="108" w:type="dxa"/>
            <w:bottom w:w="0" w:type="dxa"/>
            <w:right w:w="108" w:type="dxa"/>
          </w:tblCellMar>
        </w:tblPrEx>
        <w:trPr>
          <w:trHeight w:val="129" w:hRule="atLeast"/>
          <w:jc w:val="center"/>
        </w:trPr>
        <w:tc>
          <w:tcPr>
            <w:tcW w:w="730" w:type="dxa"/>
            <w:vMerge w:val="continue"/>
            <w:tcBorders>
              <w:top w:val="single" w:color="auto" w:sz="4" w:space="0"/>
              <w:left w:val="single" w:color="auto" w:sz="4" w:space="0"/>
              <w:bottom w:val="nil"/>
              <w:right w:val="nil"/>
            </w:tcBorders>
            <w:vAlign w:val="center"/>
          </w:tcPr>
          <w:p>
            <w:pPr>
              <w:widowControl/>
              <w:jc w:val="left"/>
              <w:rPr>
                <w:rFonts w:ascii="仿宋_GB2312" w:hAnsi="仿宋_GB2312" w:eastAsia="仿宋_GB2312" w:cs="仿宋_GB2312"/>
                <w:sz w:val="24"/>
                <w:szCs w:val="24"/>
              </w:rPr>
            </w:pPr>
          </w:p>
        </w:tc>
        <w:tc>
          <w:tcPr>
            <w:tcW w:w="708" w:type="dxa"/>
            <w:vMerge w:val="continue"/>
            <w:tcBorders>
              <w:top w:val="nil"/>
              <w:left w:val="single" w:color="auto" w:sz="4" w:space="0"/>
              <w:bottom w:val="nil"/>
              <w:right w:val="nil"/>
            </w:tcBorders>
            <w:vAlign w:val="center"/>
          </w:tcPr>
          <w:p>
            <w:pPr>
              <w:widowControl/>
              <w:jc w:val="left"/>
              <w:rPr>
                <w:rFonts w:ascii="仿宋_GB2312" w:hAnsi="仿宋_GB2312" w:eastAsia="仿宋_GB2312" w:cs="仿宋_GB2312"/>
                <w:sz w:val="24"/>
                <w:szCs w:val="24"/>
              </w:rPr>
            </w:pPr>
          </w:p>
        </w:tc>
        <w:tc>
          <w:tcPr>
            <w:tcW w:w="5187" w:type="dxa"/>
            <w:tcBorders>
              <w:top w:val="nil"/>
              <w:left w:val="single" w:color="auto" w:sz="4" w:space="0"/>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公共租赁住房、安居型商品房</w:t>
            </w:r>
          </w:p>
        </w:tc>
        <w:tc>
          <w:tcPr>
            <w:tcW w:w="1253" w:type="dxa"/>
            <w:vMerge w:val="continue"/>
            <w:tcBorders>
              <w:top w:val="single" w:color="auto" w:sz="4" w:space="0"/>
              <w:left w:val="nil"/>
              <w:bottom w:val="nil"/>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办公、商务公寓</w:t>
            </w:r>
          </w:p>
        </w:tc>
        <w:tc>
          <w:tcPr>
            <w:tcW w:w="1253" w:type="dxa"/>
            <w:vMerge w:val="restart"/>
            <w:tcBorders>
              <w:top w:val="single" w:color="auto" w:sz="4" w:space="0"/>
              <w:left w:val="single" w:color="auto" w:sz="4" w:space="0"/>
              <w:bottom w:val="single" w:color="auto" w:sz="4" w:space="0"/>
              <w:right w:val="nil"/>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办公</w:t>
            </w: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旅馆业建筑、会议中心</w:t>
            </w:r>
          </w:p>
        </w:tc>
        <w:tc>
          <w:tcPr>
            <w:tcW w:w="1253"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Layout w:type="fixed"/>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文化设施、医疗卫生设施、教育设施、科研用房</w:t>
            </w:r>
          </w:p>
        </w:tc>
        <w:tc>
          <w:tcPr>
            <w:tcW w:w="1253"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895" w:type="dxa"/>
            <w:gridSpan w:val="2"/>
            <w:tcBorders>
              <w:top w:val="single" w:color="auto" w:sz="4" w:space="0"/>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文化遗产、体育设施、幼儿园（托儿所）、宗教建筑、社会福利设施、特殊建筑、社会停车场（库）、邮政网点（所）</w:t>
            </w:r>
          </w:p>
        </w:tc>
        <w:tc>
          <w:tcPr>
            <w:tcW w:w="1253"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商业（不包括旅馆业建筑、肉菜市场、游乐设施、会议中心）、加油站</w:t>
            </w:r>
          </w:p>
        </w:tc>
        <w:tc>
          <w:tcPr>
            <w:tcW w:w="1253" w:type="dxa"/>
            <w:vMerge w:val="restart"/>
            <w:tcBorders>
              <w:top w:val="single" w:color="auto" w:sz="4" w:space="0"/>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w:t>
            </w: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游乐设施</w:t>
            </w:r>
          </w:p>
        </w:tc>
        <w:tc>
          <w:tcPr>
            <w:tcW w:w="1253"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158" w:type="dxa"/>
            <w:tcBorders>
              <w:top w:val="nil"/>
              <w:left w:val="nil"/>
              <w:bottom w:val="single" w:color="auto" w:sz="4" w:space="0"/>
              <w:right w:val="single" w:color="auto" w:sz="4" w:space="0"/>
            </w:tcBorders>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895" w:type="dxa"/>
            <w:gridSpan w:val="2"/>
            <w:tcBorders>
              <w:top w:val="nil"/>
              <w:left w:val="nil"/>
              <w:bottom w:val="single" w:color="auto" w:sz="4" w:space="0"/>
              <w:right w:val="single" w:color="auto" w:sz="4" w:space="0"/>
            </w:tcBorders>
            <w:vAlign w:val="center"/>
          </w:tcPr>
          <w:p>
            <w:pPr>
              <w:spacing w:line="2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加气站、肉菜市场</w:t>
            </w:r>
          </w:p>
        </w:tc>
        <w:tc>
          <w:tcPr>
            <w:tcW w:w="1253"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sz w:val="24"/>
                <w:szCs w:val="24"/>
              </w:rPr>
            </w:pPr>
          </w:p>
        </w:tc>
        <w:tc>
          <w:tcPr>
            <w:tcW w:w="1158" w:type="dxa"/>
            <w:tcBorders>
              <w:top w:val="nil"/>
              <w:left w:val="nil"/>
              <w:bottom w:val="single" w:color="auto" w:sz="4" w:space="0"/>
              <w:right w:val="single" w:color="auto" w:sz="4" w:space="0"/>
            </w:tcBorders>
            <w:vAlign w:val="center"/>
          </w:tcPr>
          <w:p>
            <w:pPr>
              <w:spacing w:line="2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349" w:hRule="atLeast"/>
          <w:jc w:val="center"/>
        </w:trPr>
        <w:tc>
          <w:tcPr>
            <w:tcW w:w="9036" w:type="dxa"/>
            <w:gridSpan w:val="5"/>
            <w:tcBorders>
              <w:top w:val="nil"/>
              <w:left w:val="single" w:color="auto" w:sz="4" w:space="0"/>
              <w:bottom w:val="single" w:color="auto" w:sz="4" w:space="0"/>
              <w:right w:val="single" w:color="auto" w:sz="4" w:space="0"/>
            </w:tcBorders>
            <w:vAlign w:val="center"/>
          </w:tcPr>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1．建筑类型（除</w:t>
            </w:r>
            <w:r>
              <w:rPr>
                <w:rFonts w:hint="eastAsia" w:ascii="仿宋_GB2312" w:hAnsi="仿宋_GB2312" w:eastAsia="仿宋_GB2312" w:cs="仿宋_GB2312"/>
                <w:sz w:val="24"/>
                <w:szCs w:val="24"/>
              </w:rPr>
              <w:t>公共租赁住房、安居型商品房、人才住房外</w:t>
            </w:r>
            <w:r>
              <w:rPr>
                <w:rFonts w:hint="eastAsia" w:ascii="仿宋_GB2312" w:hAnsi="仿宋_GB2312" w:eastAsia="仿宋_GB2312" w:cs="仿宋_GB2312"/>
                <w:kern w:val="0"/>
                <w:sz w:val="24"/>
                <w:szCs w:val="24"/>
              </w:rPr>
              <w:t>）对应《深圳市城市规划标准与准则》。</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2．上表中未涵盖的其他配建建筑类型按主体建筑类型地价标准测算地价。主体建筑类型是规划许可文件中面积占比最大的建筑类型；无法确定的按规划许可文件中的土地用途确定。</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sz w:val="24"/>
                <w:szCs w:val="24"/>
              </w:rPr>
              <w:t>研发用房、物流建筑”的</w:t>
            </w:r>
            <w:r>
              <w:rPr>
                <w:rFonts w:hint="eastAsia" w:ascii="仿宋_GB2312" w:hAnsi="仿宋_GB2312" w:eastAsia="仿宋_GB2312" w:cs="仿宋_GB2312"/>
                <w:kern w:val="0"/>
                <w:sz w:val="24"/>
                <w:szCs w:val="24"/>
              </w:rPr>
              <w:t>地价按工业50%+办公50%测算。</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4．协议出让给市政府确定的投资主体建设只租不售的创新型产业用房部分，地价按照相应用途标准的50%测算。</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5．产业用地测算地价时，产业用地配套办公、宿舍等建筑面积按照对应的建筑类型测算地价，配套的办公、宿舍等建筑面积经基础修正后的土地市场价格不得低于同等条件下产业主体建筑物类型的楼面单价。</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6．交通设施、市政设施用地配套建设的辅助设施、管理维修设施和必要配套的附属设施，按主体建筑物类型测算地价。</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7．新供应加油、加气混合用地，已明确加油、加气功能占地面积的，按占地面积分别计算地价后合计；未明确加油、加气功能占地面积的，以宗地为单位，按照加油站和加气站土地的市场价格的均值确定地价。</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8．高尔夫球场、高尔夫练习场、地上规定建筑面积小于土地面积的住宅用地不适用本表。</w:t>
            </w:r>
          </w:p>
          <w:p>
            <w:pPr>
              <w:widowControl/>
              <w:spacing w:line="29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9．本表中第7、11、12类建筑类型及幼儿园、</w:t>
            </w:r>
            <w:r>
              <w:rPr>
                <w:rFonts w:hint="eastAsia" w:ascii="仿宋_GB2312" w:hAnsi="仿宋_GB2312" w:eastAsia="仿宋_GB2312" w:cs="仿宋_GB2312"/>
                <w:sz w:val="24"/>
                <w:szCs w:val="24"/>
              </w:rPr>
              <w:t>邮政网点（所）、</w:t>
            </w:r>
            <w:r>
              <w:rPr>
                <w:rFonts w:hint="eastAsia" w:ascii="仿宋_GB2312" w:hAnsi="仿宋_GB2312" w:eastAsia="仿宋_GB2312" w:cs="仿宋_GB2312"/>
                <w:kern w:val="0"/>
                <w:sz w:val="24"/>
                <w:szCs w:val="24"/>
              </w:rPr>
              <w:t>社会停车场、加油站原则上应在出让方案或供应合同中明确该类建筑类型限整体转让</w:t>
            </w:r>
            <w:r>
              <w:rPr>
                <w:rFonts w:hint="eastAsia" w:ascii="仿宋_GB2312" w:hAnsi="仿宋_GB2312" w:eastAsia="仿宋_GB2312" w:cs="仿宋_GB2312"/>
                <w:sz w:val="24"/>
                <w:szCs w:val="24"/>
              </w:rPr>
              <w:t>。</w:t>
            </w:r>
          </w:p>
        </w:tc>
      </w:tr>
    </w:tbl>
    <w:p>
      <w:pPr>
        <w:spacing w:line="579" w:lineRule="exact"/>
        <w:rPr>
          <w:rFonts w:ascii="仿宋_GB2312" w:hAnsi="仿宋_GB2312" w:eastAsia="仿宋_GB2312" w:cs="仿宋_GB2312"/>
          <w:b/>
          <w:bCs/>
          <w:kern w:val="0"/>
          <w:sz w:val="32"/>
          <w:szCs w:val="32"/>
        </w:rPr>
      </w:pPr>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附表2  土地使用年期修正系数表</w:t>
      </w:r>
    </w:p>
    <w:tbl>
      <w:tblPr>
        <w:tblStyle w:val="5"/>
        <w:tblW w:w="9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035"/>
        <w:gridCol w:w="1048"/>
        <w:gridCol w:w="1034"/>
        <w:gridCol w:w="1083"/>
        <w:gridCol w:w="719"/>
        <w:gridCol w:w="1107"/>
        <w:gridCol w:w="1137"/>
        <w:gridCol w:w="1023"/>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年期</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n</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住宅类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（70年）</w:t>
            </w:r>
          </w:p>
        </w:tc>
        <w:tc>
          <w:tcPr>
            <w:tcW w:w="10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商业类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办公类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工业类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（30年）</w:t>
            </w:r>
          </w:p>
        </w:tc>
        <w:tc>
          <w:tcPr>
            <w:tcW w:w="7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年期</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n</w:t>
            </w: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住宅类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（70年）</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商业类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办公类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工业类</w:t>
            </w:r>
          </w:p>
          <w:p>
            <w:pPr>
              <w:widowControl/>
              <w:snapToGrid w:val="0"/>
              <w:spacing w:line="360" w:lineRule="exact"/>
              <w:jc w:val="center"/>
              <w:rPr>
                <w:rFonts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38"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w:t>
            </w:r>
          </w:p>
        </w:tc>
        <w:tc>
          <w:tcPr>
            <w:tcW w:w="1035" w:type="dxa"/>
            <w:tcBorders>
              <w:top w:val="single" w:color="auto"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0.0492</w:t>
            </w:r>
          </w:p>
        </w:tc>
        <w:tc>
          <w:tcPr>
            <w:tcW w:w="1048" w:type="dxa"/>
            <w:tcBorders>
              <w:top w:val="single" w:color="auto"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0.0627 </w:t>
            </w:r>
          </w:p>
        </w:tc>
        <w:tc>
          <w:tcPr>
            <w:tcW w:w="1034"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0.0591</w:t>
            </w:r>
          </w:p>
        </w:tc>
        <w:tc>
          <w:tcPr>
            <w:tcW w:w="1083"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0.0620</w:t>
            </w:r>
          </w:p>
        </w:tc>
        <w:tc>
          <w:tcPr>
            <w:tcW w:w="719"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36</w:t>
            </w:r>
          </w:p>
        </w:tc>
        <w:tc>
          <w:tcPr>
            <w:tcW w:w="1107"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0.8555</w:t>
            </w:r>
          </w:p>
        </w:tc>
        <w:tc>
          <w:tcPr>
            <w:tcW w:w="1137" w:type="dxa"/>
            <w:tcBorders>
              <w:top w:val="single" w:color="auto"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0.9717 </w:t>
            </w:r>
          </w:p>
        </w:tc>
        <w:tc>
          <w:tcPr>
            <w:tcW w:w="1023"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0.9682</w:t>
            </w:r>
          </w:p>
        </w:tc>
        <w:tc>
          <w:tcPr>
            <w:tcW w:w="1060"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0.0961</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0.1219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0.1151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0.1210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0.8640</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0.9794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0.9768</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0.1408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0.1777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0.1681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0.1772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0.8721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0.9867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0.9850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0.1833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0.2303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0.2184</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0.2307</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0.8798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0.9935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0.9927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0.2238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0.2800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0.2661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0.2816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0.8871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1.0000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1.0000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0.2624</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0.3268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0.3113</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0.3302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0.8941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1.0061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1.0069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7</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0.2992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0.3710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0.3542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0.3764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0.9008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1.0118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1.0135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8</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0.3341</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0.4127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0.3948</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0.4204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0.9071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1.0173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1.0197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9</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0.3675</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0.4521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0.4333</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0.4624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0.9132</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1.0224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1.0257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10</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0.3992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0.4892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0.4697</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0.5023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45</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0.9189</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1.0272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1.0313</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11</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0.4294</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0.5242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0.5043</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0.5403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46</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0.9244</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1.0318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1.0366</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0.4582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0.5572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0.5371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0.5766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0.9296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1.0361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1.0416</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0.4856</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0.5884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0.5682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0.6111</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0.9346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1.0401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1.0464</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0.5118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0.6178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0.5976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0.6439</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0.9393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1.0439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1.0509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0.5366</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0.6455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0.6255</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0.6752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0.9438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1.0476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1.0552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16</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0.5603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0.6717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0.6520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0.7050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0.9481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1.0510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1.0592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17</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0.5829</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0.6963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0.6771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0.7334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0.9522</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1.0542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1.0631</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18</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0.6043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0.7196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0.7009</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0.7604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0.9561</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1.0572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1.0667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19</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0.6248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0.7416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0.7234</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0.7862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0.9598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1.0601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1.0702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20</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0.6443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0.7623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0.7448</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0.8107</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55</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0.9633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1.0628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1.0735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21</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0.6628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0.7819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0.7650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0.8340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56</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0.9667</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1.0653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1.0766</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0.6805</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0.8003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0.7842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0.8563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0.9699</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1.0677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1.0795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0.6973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0.8177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0.8024</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0.8775</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0.9730</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1.0700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1.0823</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0.7134</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0.8341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0.8196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0.8976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0.9759</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1.0721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1.0850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0.7286</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0.8496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0.8360</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0.9168</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0.9786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1.0741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1.0875</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26</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0.7432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0.8642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0.8515</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0.9351</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61</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0.9813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1.0760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1.0899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27</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0.7570</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0.8780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0.8661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0.9526</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62</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0.9838</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1.0778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1.0921</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28</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0.7702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0.8910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0.8801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0.9691</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63</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0.9862</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1.0795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1.0942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29</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0.7828</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0.9033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0.8932</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0.9849</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64</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0.9884</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1.0811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1.0963</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30</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0.7947</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0.9148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0.9057</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1.0000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65</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0.9906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1.0826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1.0982</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31</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0.8061</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0.9257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0.9176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1.0143</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66</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0.9927</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1.0840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1.1000</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32</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0.8170</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0.9360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0.9288</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1.0280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67</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0.9946</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1.0854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1.1017</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33</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0.8273</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0.9458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0.9395</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1.0410</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68</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0.9965</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1.0866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1.1034</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34</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0.8372</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0.9549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0.9496</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1.0534</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69</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0.9983</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1.0878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1.1049</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35</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0.8465</w:t>
            </w:r>
          </w:p>
        </w:tc>
        <w:tc>
          <w:tcPr>
            <w:tcW w:w="1048"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0.9636 </w:t>
            </w:r>
          </w:p>
        </w:tc>
        <w:tc>
          <w:tcPr>
            <w:tcW w:w="103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0.9591</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1.0652</w:t>
            </w:r>
          </w:p>
        </w:tc>
        <w:tc>
          <w:tcPr>
            <w:tcW w:w="71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70</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1.0000</w:t>
            </w:r>
          </w:p>
        </w:tc>
        <w:tc>
          <w:tcPr>
            <w:tcW w:w="113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1.0889 </w:t>
            </w:r>
          </w:p>
        </w:tc>
        <w:tc>
          <w:tcPr>
            <w:tcW w:w="102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1.1064</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9984" w:type="dxa"/>
            <w:gridSpan w:val="10"/>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spacing w:line="3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上述土地使用年期修正系数公式为：K=[1-1/(1+r)</w:t>
            </w:r>
            <w:r>
              <w:rPr>
                <w:rFonts w:hint="eastAsia" w:ascii="仿宋_GB2312" w:hAnsi="仿宋_GB2312" w:eastAsia="仿宋_GB2312" w:cs="仿宋_GB2312"/>
                <w:sz w:val="24"/>
                <w:szCs w:val="24"/>
                <w:vertAlign w:val="superscript"/>
              </w:rPr>
              <w:t>m</w:t>
            </w:r>
            <w:r>
              <w:rPr>
                <w:rFonts w:hint="eastAsia" w:ascii="仿宋_GB2312" w:hAnsi="仿宋_GB2312" w:eastAsia="仿宋_GB2312" w:cs="仿宋_GB2312"/>
                <w:sz w:val="24"/>
                <w:szCs w:val="24"/>
              </w:rPr>
              <w:t>]/[1-1/(1+r)</w:t>
            </w:r>
            <w:r>
              <w:rPr>
                <w:rFonts w:hint="eastAsia" w:ascii="仿宋_GB2312" w:hAnsi="仿宋_GB2312" w:eastAsia="仿宋_GB2312" w:cs="仿宋_GB2312"/>
                <w:sz w:val="24"/>
                <w:szCs w:val="24"/>
                <w:vertAlign w:val="superscript"/>
              </w:rPr>
              <w:t>n</w:t>
            </w:r>
            <w:r>
              <w:rPr>
                <w:rFonts w:hint="eastAsia" w:ascii="仿宋_GB2312" w:hAnsi="仿宋_GB2312" w:eastAsia="仿宋_GB2312" w:cs="仿宋_GB2312"/>
                <w:sz w:val="24"/>
                <w:szCs w:val="24"/>
              </w:rPr>
              <w:t>] ，公式中：r表示土地还原率，住宅、商业、办公、工业分别取值5%、6%、5.5%、5%；m表示剩余年期；n表示土地使用年限，住宅、商业、办公、工业分别取值70年、40年、40年、30年。</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宗地地价测算中土地使用年期的计算从地价测算时点起至土地使用期满时点为止，不足1年的按1年计。</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3．已出让产业用地剩余年期地价，按照原已缴纳地价扣减已实际使用年期对应的地价进行测算，即土地剩余年期地价 = 原已缴纳地价 ×（1－已实际使用年期对应的土地使用年期修正系数）。其中，已实际使用年期对应的土地使用年期修正系数=土地已使用年期的年期修正系数÷土地出让总年期的年期修正系数，已使用年限和土地出让总年期对应的土地使用年期修正系数按照本表确定。</w:t>
            </w:r>
          </w:p>
        </w:tc>
      </w:tr>
    </w:tbl>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附表3  产权条件修正系数表</w:t>
      </w:r>
    </w:p>
    <w:tbl>
      <w:tblPr>
        <w:tblStyle w:val="5"/>
        <w:tblW w:w="100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3253"/>
        <w:gridCol w:w="1021"/>
        <w:gridCol w:w="3562"/>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 w:hRule="atLeast"/>
          <w:jc w:val="center"/>
        </w:trPr>
        <w:tc>
          <w:tcPr>
            <w:tcW w:w="904"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3253" w:type="dxa"/>
            <w:tcBorders>
              <w:top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建筑类型</w:t>
            </w:r>
          </w:p>
        </w:tc>
        <w:tc>
          <w:tcPr>
            <w:tcW w:w="4583" w:type="dxa"/>
            <w:gridSpan w:val="2"/>
            <w:tcBorders>
              <w:top w:val="single" w:color="auto" w:sz="4" w:space="0"/>
              <w:bottom w:val="single" w:color="auto" w:sz="4" w:space="0"/>
              <w:right w:val="nil"/>
            </w:tcBorders>
            <w:vAlign w:val="center"/>
          </w:tcPr>
          <w:p>
            <w:pPr>
              <w:widowControl/>
              <w:spacing w:line="30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产权条件情形</w:t>
            </w:r>
          </w:p>
        </w:tc>
        <w:tc>
          <w:tcPr>
            <w:tcW w:w="1268" w:type="dxa"/>
            <w:tcBorders>
              <w:top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w:t>
            </w:r>
          </w:p>
          <w:p>
            <w:pPr>
              <w:widowControl/>
              <w:spacing w:line="30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jc w:val="center"/>
        </w:trPr>
        <w:tc>
          <w:tcPr>
            <w:tcW w:w="904" w:type="dxa"/>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53"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表1中的建筑类型1-3</w:t>
            </w:r>
          </w:p>
        </w:tc>
        <w:tc>
          <w:tcPr>
            <w:tcW w:w="4583" w:type="dxa"/>
            <w:gridSpan w:val="2"/>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不得转让</w:t>
            </w:r>
          </w:p>
        </w:tc>
        <w:tc>
          <w:tcPr>
            <w:tcW w:w="1268"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表1中的建筑类型4</w:t>
            </w: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不得转让</w:t>
            </w:r>
          </w:p>
        </w:tc>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见备注1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表1中的建筑类型5</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w:t>
            </w:r>
          </w:p>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转让</w:t>
            </w:r>
          </w:p>
        </w:tc>
        <w:tc>
          <w:tcPr>
            <w:tcW w:w="35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公共租赁住房、安居型商品房、人才住房</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5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其他（除公共租赁住房、安居型商品房、人才住房外）</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表1中的建筑类型6-12</w:t>
            </w: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line="300" w:lineRule="exact"/>
              <w:jc w:val="center"/>
              <w:rPr>
                <w:rFonts w:ascii="仿宋_GB2312" w:hAnsi="仿宋_GB2312" w:eastAsia="仿宋_GB2312" w:cs="仿宋_GB2312"/>
              </w:rPr>
            </w:pPr>
            <w:r>
              <w:rPr>
                <w:rFonts w:hint="eastAsia" w:ascii="仿宋_GB2312" w:hAnsi="仿宋_GB2312" w:eastAsia="仿宋_GB2312" w:cs="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jc w:val="center"/>
        </w:trPr>
        <w:tc>
          <w:tcPr>
            <w:tcW w:w="10008" w:type="dxa"/>
            <w:gridSpan w:val="5"/>
            <w:tcBorders>
              <w:top w:val="single" w:color="000000" w:sz="4" w:space="0"/>
              <w:left w:val="single" w:color="000000" w:sz="4" w:space="0"/>
              <w:bottom w:val="single" w:color="000000" w:sz="4" w:space="0"/>
              <w:right w:val="single" w:color="000000" w:sz="4" w:space="0"/>
            </w:tcBorders>
          </w:tcPr>
          <w:p>
            <w:pPr>
              <w:widowControl/>
              <w:spacing w:line="3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1．附表1中建筑类型4产权修正按照相应产权条件下的厂房及办公建筑类型分别修正。</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2．产权条件情形依据土地使用权出让方案或供应合同确定。</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已签订的供应合同中约定或不动产登记记载为“不得转让”、“自用”或“非商品性质”房地产，属于“不得转让”情形；已签订的供应合同中约定或不动产登记记载为“商品性质房地产限整体转让”的，属于“限整体转让”情形；</w:t>
            </w:r>
          </w:p>
          <w:p>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 物业管理用房等共有部分</w:t>
            </w:r>
            <w:r>
              <w:rPr>
                <w:rFonts w:hint="eastAsia" w:ascii="仿宋_GB2312" w:hAnsi="仿宋_GB2312" w:eastAsia="仿宋_GB2312" w:cs="仿宋_GB2312"/>
                <w:kern w:val="0"/>
                <w:sz w:val="24"/>
                <w:szCs w:val="24"/>
                <w:lang w:val="en-US" w:eastAsia="zh-CN"/>
              </w:rPr>
              <w:t>建筑类型</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产权条件</w:t>
            </w:r>
            <w:r>
              <w:rPr>
                <w:rFonts w:hint="eastAsia" w:ascii="仿宋_GB2312" w:hAnsi="仿宋_GB2312" w:eastAsia="仿宋_GB2312" w:cs="仿宋_GB2312"/>
                <w:kern w:val="0"/>
                <w:sz w:val="24"/>
                <w:szCs w:val="24"/>
              </w:rPr>
              <w:t>按不得转让情形测算</w:t>
            </w:r>
            <w:r>
              <w:rPr>
                <w:rFonts w:hint="eastAsia" w:ascii="仿宋_GB2312" w:hAnsi="仿宋_GB2312" w:eastAsia="仿宋_GB2312" w:cs="仿宋_GB2312"/>
                <w:kern w:val="0"/>
                <w:sz w:val="24"/>
                <w:szCs w:val="24"/>
                <w:lang w:val="en-US" w:eastAsia="zh-CN"/>
              </w:rPr>
              <w:t>地价</w:t>
            </w:r>
            <w:r>
              <w:rPr>
                <w:rFonts w:hint="eastAsia" w:ascii="仿宋_GB2312" w:hAnsi="仿宋_GB2312" w:eastAsia="仿宋_GB2312" w:cs="仿宋_GB2312"/>
                <w:kern w:val="0"/>
                <w:sz w:val="24"/>
                <w:szCs w:val="24"/>
              </w:rPr>
              <w:t>。</w:t>
            </w:r>
          </w:p>
        </w:tc>
      </w:tr>
    </w:tbl>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附表4  产业发展导向修正系数表</w:t>
      </w:r>
    </w:p>
    <w:tbl>
      <w:tblPr>
        <w:tblStyle w:val="5"/>
        <w:tblW w:w="9636" w:type="dxa"/>
        <w:jc w:val="center"/>
        <w:tblInd w:w="0" w:type="dxa"/>
        <w:tblLayout w:type="fixed"/>
        <w:tblCellMar>
          <w:top w:w="0" w:type="dxa"/>
          <w:left w:w="108" w:type="dxa"/>
          <w:bottom w:w="0" w:type="dxa"/>
          <w:right w:w="108" w:type="dxa"/>
        </w:tblCellMar>
      </w:tblPr>
      <w:tblGrid>
        <w:gridCol w:w="972"/>
        <w:gridCol w:w="7223"/>
        <w:gridCol w:w="1441"/>
      </w:tblGrid>
      <w:tr>
        <w:tblPrEx>
          <w:tblLayout w:type="fixed"/>
          <w:tblCellMar>
            <w:top w:w="0" w:type="dxa"/>
            <w:left w:w="108" w:type="dxa"/>
            <w:bottom w:w="0" w:type="dxa"/>
            <w:right w:w="108" w:type="dxa"/>
          </w:tblCellMar>
        </w:tblPrEx>
        <w:trPr>
          <w:trHeight w:val="422" w:hRule="atLeast"/>
          <w:jc w:val="center"/>
        </w:trPr>
        <w:tc>
          <w:tcPr>
            <w:tcW w:w="972" w:type="dxa"/>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72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产业分类</w:t>
            </w:r>
          </w:p>
        </w:tc>
        <w:tc>
          <w:tcPr>
            <w:tcW w:w="1441"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Layout w:type="fixed"/>
          <w:tblCellMar>
            <w:top w:w="0" w:type="dxa"/>
            <w:left w:w="108" w:type="dxa"/>
            <w:bottom w:w="0" w:type="dxa"/>
            <w:right w:w="108" w:type="dxa"/>
          </w:tblCellMar>
        </w:tblPrEx>
        <w:trPr>
          <w:trHeight w:val="688" w:hRule="atLeast"/>
          <w:jc w:val="center"/>
        </w:trPr>
        <w:tc>
          <w:tcPr>
            <w:tcW w:w="972" w:type="dxa"/>
            <w:tcBorders>
              <w:top w:val="single" w:color="auto" w:sz="4" w:space="0"/>
              <w:left w:val="single" w:color="auto" w:sz="4" w:space="0"/>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7223" w:type="dxa"/>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战略性新兴产业（新一代信息技术、高端装备制造、绿色低碳、生物医药、数字经济、新材料、海洋经济等）、</w:t>
            </w:r>
            <w:r>
              <w:rPr>
                <w:rFonts w:hint="eastAsia" w:ascii="仿宋_GB2312" w:hAnsi="仿宋_GB2312" w:eastAsia="仿宋_GB2312" w:cs="仿宋_GB2312"/>
                <w:kern w:val="0"/>
                <w:sz w:val="24"/>
                <w:szCs w:val="24"/>
              </w:rPr>
              <w:t>优势传统产业、生产性现代服务业</w:t>
            </w:r>
          </w:p>
        </w:tc>
        <w:tc>
          <w:tcPr>
            <w:tcW w:w="1441"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0.5</w:t>
            </w:r>
          </w:p>
        </w:tc>
      </w:tr>
      <w:tr>
        <w:tblPrEx>
          <w:tblLayout w:type="fixed"/>
          <w:tblCellMar>
            <w:top w:w="0" w:type="dxa"/>
            <w:left w:w="108" w:type="dxa"/>
            <w:bottom w:w="0" w:type="dxa"/>
            <w:right w:w="108" w:type="dxa"/>
          </w:tblCellMar>
        </w:tblPrEx>
        <w:trPr>
          <w:trHeight w:val="27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72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除上述类别以外的其他产业</w:t>
            </w:r>
          </w:p>
        </w:tc>
        <w:tc>
          <w:tcPr>
            <w:tcW w:w="144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Layout w:type="fixed"/>
          <w:tblCellMar>
            <w:top w:w="0" w:type="dxa"/>
            <w:left w:w="108" w:type="dxa"/>
            <w:bottom w:w="0" w:type="dxa"/>
            <w:right w:w="108" w:type="dxa"/>
          </w:tblCellMar>
        </w:tblPrEx>
        <w:trPr>
          <w:trHeight w:val="591" w:hRule="atLeast"/>
          <w:jc w:val="center"/>
        </w:trPr>
        <w:tc>
          <w:tcPr>
            <w:tcW w:w="9636" w:type="dxa"/>
            <w:gridSpan w:val="3"/>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pStyle w:val="13"/>
              <w:widowControl/>
              <w:numPr>
                <w:ilvl w:val="0"/>
                <w:numId w:val="1"/>
              </w:numPr>
              <w:spacing w:line="360" w:lineRule="exact"/>
              <w:ind w:left="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修正对象为除配套商业以外的建筑类型。产业分类及认定以相关部门出具的产业分类证明文件为准。</w:t>
            </w:r>
          </w:p>
          <w:p>
            <w:pPr>
              <w:pStyle w:val="13"/>
              <w:widowControl/>
              <w:numPr>
                <w:ilvl w:val="0"/>
                <w:numId w:val="1"/>
              </w:numPr>
              <w:spacing w:line="360" w:lineRule="exact"/>
              <w:ind w:left="0"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产业用地出让时的地价有适用产业发展导向修正系数的,在竣工超面积测算应补缴的地价时，适用产业发展导向修正系数。</w:t>
            </w:r>
          </w:p>
          <w:p>
            <w:pPr>
              <w:widowControl/>
              <w:numPr>
                <w:ilvl w:val="0"/>
                <w:numId w:val="1"/>
              </w:numPr>
              <w:spacing w:line="360" w:lineRule="exact"/>
              <w:ind w:left="0" w:firstLine="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协议出让给市政府确定的投资主体建设只租不售的创新型产业用房，产业监管协议或供应合同中约定的出租对象符合本表序号1情形的，适用产业发展导向修正系数。</w:t>
            </w:r>
          </w:p>
          <w:p>
            <w:pPr>
              <w:numPr>
                <w:ilvl w:val="0"/>
                <w:numId w:val="1"/>
              </w:numPr>
              <w:ind w:left="0" w:firstLine="0"/>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本表不适用于城市更新项目、留用土地项目、棚户区改造项目。</w:t>
            </w:r>
          </w:p>
        </w:tc>
      </w:tr>
    </w:tbl>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附表5  产业项目类型修正系数表</w:t>
      </w:r>
    </w:p>
    <w:tbl>
      <w:tblPr>
        <w:tblStyle w:val="5"/>
        <w:tblW w:w="9600" w:type="dxa"/>
        <w:jc w:val="center"/>
        <w:tblInd w:w="0" w:type="dxa"/>
        <w:tblLayout w:type="fixed"/>
        <w:tblCellMar>
          <w:top w:w="0" w:type="dxa"/>
          <w:left w:w="108" w:type="dxa"/>
          <w:bottom w:w="0" w:type="dxa"/>
          <w:right w:w="108" w:type="dxa"/>
        </w:tblCellMar>
      </w:tblPr>
      <w:tblGrid>
        <w:gridCol w:w="1038"/>
        <w:gridCol w:w="1703"/>
        <w:gridCol w:w="5450"/>
        <w:gridCol w:w="1409"/>
      </w:tblGrid>
      <w:tr>
        <w:tblPrEx>
          <w:tblLayout w:type="fixed"/>
          <w:tblCellMar>
            <w:top w:w="0" w:type="dxa"/>
            <w:left w:w="108" w:type="dxa"/>
            <w:bottom w:w="0" w:type="dxa"/>
            <w:right w:w="108" w:type="dxa"/>
          </w:tblCellMar>
        </w:tblPrEx>
        <w:trPr>
          <w:trHeight w:val="422" w:hRule="atLeast"/>
          <w:jc w:val="center"/>
        </w:trPr>
        <w:tc>
          <w:tcPr>
            <w:tcW w:w="1038" w:type="dxa"/>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71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产业项目类型</w:t>
            </w:r>
          </w:p>
        </w:tc>
        <w:tc>
          <w:tcPr>
            <w:tcW w:w="1409"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Layout w:type="fixed"/>
          <w:tblCellMar>
            <w:top w:w="0" w:type="dxa"/>
            <w:left w:w="108" w:type="dxa"/>
            <w:bottom w:w="0" w:type="dxa"/>
            <w:right w:w="108" w:type="dxa"/>
          </w:tblCellMar>
        </w:tblPrEx>
        <w:trPr>
          <w:trHeight w:val="75" w:hRule="atLeast"/>
          <w:jc w:val="center"/>
        </w:trPr>
        <w:tc>
          <w:tcPr>
            <w:tcW w:w="1038"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1</w:t>
            </w:r>
          </w:p>
        </w:tc>
        <w:tc>
          <w:tcPr>
            <w:tcW w:w="1703" w:type="dxa"/>
            <w:vMerge w:val="restart"/>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重点产业项目</w:t>
            </w:r>
          </w:p>
        </w:tc>
        <w:tc>
          <w:tcPr>
            <w:tcW w:w="5450" w:type="dxa"/>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遴选方案确定有两个及两个以上意向用地单位联合申请的</w:t>
            </w:r>
          </w:p>
        </w:tc>
        <w:tc>
          <w:tcPr>
            <w:tcW w:w="1409"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0.6</w:t>
            </w:r>
          </w:p>
        </w:tc>
      </w:tr>
      <w:tr>
        <w:tblPrEx>
          <w:tblLayout w:type="fixed"/>
          <w:tblCellMar>
            <w:top w:w="0" w:type="dxa"/>
            <w:left w:w="108" w:type="dxa"/>
            <w:bottom w:w="0" w:type="dxa"/>
            <w:right w:w="108" w:type="dxa"/>
          </w:tblCellMar>
        </w:tblPrEx>
        <w:trPr>
          <w:trHeight w:val="65" w:hRule="atLeast"/>
          <w:jc w:val="center"/>
        </w:trPr>
        <w:tc>
          <w:tcPr>
            <w:tcW w:w="1038"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b/>
                <w:bCs/>
                <w:kern w:val="0"/>
                <w:sz w:val="24"/>
                <w:szCs w:val="24"/>
              </w:rPr>
            </w:pPr>
          </w:p>
        </w:tc>
        <w:tc>
          <w:tcPr>
            <w:tcW w:w="1703"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仿宋_GB2312" w:cs="仿宋_GB2312"/>
                <w:b/>
                <w:bCs/>
                <w:kern w:val="0"/>
                <w:sz w:val="24"/>
                <w:szCs w:val="24"/>
              </w:rPr>
            </w:pPr>
          </w:p>
        </w:tc>
        <w:tc>
          <w:tcPr>
            <w:tcW w:w="5450" w:type="dxa"/>
            <w:tcBorders>
              <w:top w:val="single" w:color="auto" w:sz="4" w:space="0"/>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遴选方案确定为单一意向用地单位的</w:t>
            </w:r>
          </w:p>
        </w:tc>
        <w:tc>
          <w:tcPr>
            <w:tcW w:w="1409" w:type="dxa"/>
            <w:tcBorders>
              <w:top w:val="single" w:color="auto" w:sz="4" w:space="0"/>
              <w:left w:val="nil"/>
              <w:bottom w:val="nil"/>
              <w:right w:val="single" w:color="auto" w:sz="4" w:space="0"/>
            </w:tcBorders>
            <w:vAlign w:val="center"/>
          </w:tcPr>
          <w:p>
            <w:pPr>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blPrEx>
          <w:tblLayout w:type="fixed"/>
          <w:tblCellMar>
            <w:top w:w="0" w:type="dxa"/>
            <w:left w:w="108" w:type="dxa"/>
            <w:bottom w:w="0" w:type="dxa"/>
            <w:right w:w="108" w:type="dxa"/>
          </w:tblCellMar>
        </w:tblPrEx>
        <w:trPr>
          <w:trHeight w:val="270" w:hRule="atLeast"/>
          <w:jc w:val="center"/>
        </w:trPr>
        <w:tc>
          <w:tcPr>
            <w:tcW w:w="103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b/>
                <w:kern w:val="0"/>
                <w:sz w:val="24"/>
                <w:szCs w:val="24"/>
              </w:rPr>
            </w:pPr>
          </w:p>
        </w:tc>
        <w:tc>
          <w:tcPr>
            <w:tcW w:w="7153"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一般产业项目</w:t>
            </w:r>
          </w:p>
        </w:tc>
        <w:tc>
          <w:tcPr>
            <w:tcW w:w="14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Layout w:type="fixed"/>
          <w:tblCellMar>
            <w:top w:w="0" w:type="dxa"/>
            <w:left w:w="108" w:type="dxa"/>
            <w:bottom w:w="0" w:type="dxa"/>
            <w:right w:w="108" w:type="dxa"/>
          </w:tblCellMar>
        </w:tblPrEx>
        <w:trPr>
          <w:trHeight w:val="2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7153"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总部项目</w:t>
            </w:r>
          </w:p>
        </w:tc>
        <w:tc>
          <w:tcPr>
            <w:tcW w:w="14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blPrEx>
          <w:tblLayout w:type="fixed"/>
          <w:tblCellMar>
            <w:top w:w="0" w:type="dxa"/>
            <w:left w:w="108" w:type="dxa"/>
            <w:bottom w:w="0" w:type="dxa"/>
            <w:right w:w="108" w:type="dxa"/>
          </w:tblCellMar>
        </w:tblPrEx>
        <w:trPr>
          <w:trHeight w:val="270" w:hRule="atLeast"/>
          <w:jc w:val="center"/>
        </w:trPr>
        <w:tc>
          <w:tcPr>
            <w:tcW w:w="9600"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修正对象为除配套商业以外的建筑类型。产业项目类型以《深圳市工业及其他产业用地供应管理办法》（深府规〔2019〕4号）、《深圳市总部项目遴选及用地管理办法》（深府规〔2018〕1号）规定为准。总部项目地价缴纳方式参照本规则中重点产业项目执行。</w:t>
            </w:r>
          </w:p>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2．本表不适用于城市更新项目、留用土地项目、棚户区改造项目。</w:t>
            </w:r>
          </w:p>
        </w:tc>
      </w:tr>
    </w:tbl>
    <w:p>
      <w:pPr>
        <w:spacing w:line="579" w:lineRule="exact"/>
        <w:jc w:val="center"/>
        <w:rPr>
          <w:rFonts w:ascii="仿宋_GB2312" w:hAnsi="仿宋_GB2312" w:eastAsia="仿宋_GB2312" w:cs="仿宋_GB2312"/>
          <w:b/>
          <w:bCs/>
          <w:kern w:val="0"/>
          <w:sz w:val="32"/>
          <w:szCs w:val="32"/>
        </w:rPr>
      </w:pPr>
    </w:p>
    <w:p>
      <w:pPr>
        <w:spacing w:line="579" w:lineRule="exact"/>
        <w:jc w:val="center"/>
        <w:rPr>
          <w:rFonts w:ascii="仿宋_GB2312" w:hAnsi="仿宋_GB2312" w:eastAsia="仿宋_GB2312" w:cs="仿宋_GB2312"/>
          <w:b/>
          <w:bCs/>
          <w:kern w:val="0"/>
          <w:sz w:val="32"/>
          <w:szCs w:val="32"/>
        </w:rPr>
      </w:pPr>
    </w:p>
    <w:p>
      <w:pPr>
        <w:spacing w:line="579" w:lineRule="exact"/>
        <w:jc w:val="center"/>
        <w:rPr>
          <w:rFonts w:ascii="Times New Roman" w:hAnsi="Times New Roman"/>
          <w:b/>
          <w:bCs/>
          <w:kern w:val="0"/>
          <w:sz w:val="32"/>
          <w:szCs w:val="32"/>
        </w:rPr>
      </w:pPr>
      <w:r>
        <w:rPr>
          <w:rFonts w:hint="eastAsia" w:ascii="仿宋_GB2312" w:hAnsi="仿宋_GB2312" w:eastAsia="仿宋_GB2312" w:cs="仿宋_GB2312"/>
          <w:b/>
          <w:bCs/>
          <w:kern w:val="0"/>
          <w:sz w:val="32"/>
          <w:szCs w:val="32"/>
        </w:rPr>
        <w:t>附表6  地上商业楼层修正系数表</w:t>
      </w:r>
    </w:p>
    <w:tbl>
      <w:tblPr>
        <w:tblStyle w:val="5"/>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0"/>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商业楼层</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首层商业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第四层及以上商业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1" w:hRule="atLeast"/>
          <w:jc w:val="center"/>
        </w:trPr>
        <w:tc>
          <w:tcPr>
            <w:tcW w:w="95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Style w:val="13"/>
              <w:numPr>
                <w:ilvl w:val="0"/>
                <w:numId w:val="2"/>
              </w:numPr>
              <w:ind w:left="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对于表1序号10中的商业（不包括旅馆业建筑、肉菜市场、游乐设施、会议中心）建筑类型，测算地价时地上部分适用商业楼层修正系数。经楼层修正后楼层单价低于同宗地上办公用途价格的，取办公用途价格测算地价。</w:t>
            </w:r>
          </w:p>
          <w:p>
            <w:pPr>
              <w:pStyle w:val="13"/>
              <w:numPr>
                <w:ilvl w:val="0"/>
                <w:numId w:val="2"/>
              </w:numPr>
              <w:ind w:left="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在完成竣工验收后，或竣工验收前（包括办理竣工验收的阶段）但规划许可文件或供应合同中已明确约定商业楼层和相应建筑面积的，按照相关文件中明确的商业楼层和相应建筑面积测算地价；其余情形的商业楼层和相应建筑面积按照宗地面积和建筑覆盖率等条件计算。</w:t>
            </w:r>
          </w:p>
          <w:p>
            <w:pPr>
              <w:pStyle w:val="13"/>
              <w:numPr>
                <w:ilvl w:val="0"/>
                <w:numId w:val="2"/>
              </w:numPr>
              <w:ind w:left="0"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按照宗地面积和建筑覆盖率等条件计算各楼层商业面积时，宗地面积应扣除规划许可文件或供应合同中明确需要独立占地建设的学校等配套设施。各楼层商业面积按照逐层依次向上填充的规则确定，规划许可文件或供应合同中明确需要设置在首层或其他具体楼层的配套设施，可在对应的商业楼层面积中扣除。 </w:t>
            </w:r>
          </w:p>
        </w:tc>
      </w:tr>
    </w:tbl>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附表7  地下空间修正系数表</w:t>
      </w:r>
    </w:p>
    <w:tbl>
      <w:tblPr>
        <w:tblStyle w:val="5"/>
        <w:tblW w:w="9543"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39"/>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序号</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分类</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交通设施（不含加油站、加气站、训考场、社会停车场（库）），综合管廊</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2</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除上述类别以外的其他地下空间</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1．地下商业空间按照地上首层商业对应的土地市场价格标准以本表修正系数予以修正。</w:t>
            </w:r>
          </w:p>
          <w:p>
            <w:pPr>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2．供应合同对建设在地下的建筑面积未约定或约定不明的，但实际建设在地下的建筑面积部分，在地价测算时</w:t>
            </w:r>
            <w:r>
              <w:rPr>
                <w:rFonts w:hint="eastAsia" w:ascii="仿宋_GB2312" w:hAnsi="仿宋_GB2312" w:eastAsia="仿宋_GB2312" w:cs="仿宋_GB2312"/>
                <w:bCs/>
                <w:kern w:val="0"/>
                <w:sz w:val="24"/>
                <w:szCs w:val="24"/>
              </w:rPr>
              <w:t>原则上不</w:t>
            </w:r>
            <w:r>
              <w:rPr>
                <w:rFonts w:hint="eastAsia" w:ascii="仿宋_GB2312" w:hAnsi="仿宋_GB2312" w:eastAsia="仿宋_GB2312" w:cs="仿宋_GB2312"/>
                <w:kern w:val="0"/>
                <w:sz w:val="24"/>
                <w:szCs w:val="24"/>
              </w:rPr>
              <w:t>适用地下空间修正系数。但竣工验收超面积且超建在地下的建筑面积部分，经处理且规划确认保留的，测算应补缴的地价时可适用地下空间修正系数。</w:t>
            </w:r>
          </w:p>
        </w:tc>
      </w:tr>
    </w:tbl>
    <w:p>
      <w:pPr>
        <w:spacing w:line="579" w:lineRule="exact"/>
        <w:ind w:firstLine="1446" w:firstLineChars="45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附表8  棚户区改造项目修正系数表</w:t>
      </w:r>
    </w:p>
    <w:tbl>
      <w:tblPr>
        <w:tblStyle w:val="5"/>
        <w:tblW w:w="9431" w:type="dxa"/>
        <w:tblInd w:w="-534" w:type="dxa"/>
        <w:tblLayout w:type="fixed"/>
        <w:tblCellMar>
          <w:top w:w="0" w:type="dxa"/>
          <w:left w:w="108" w:type="dxa"/>
          <w:bottom w:w="0" w:type="dxa"/>
          <w:right w:w="108" w:type="dxa"/>
        </w:tblCellMar>
      </w:tblPr>
      <w:tblGrid>
        <w:gridCol w:w="2060"/>
        <w:gridCol w:w="1843"/>
        <w:gridCol w:w="1559"/>
        <w:gridCol w:w="1984"/>
        <w:gridCol w:w="1985"/>
      </w:tblGrid>
      <w:tr>
        <w:tblPrEx>
          <w:tblLayout w:type="fixed"/>
          <w:tblCellMar>
            <w:top w:w="0" w:type="dxa"/>
            <w:left w:w="108" w:type="dxa"/>
            <w:bottom w:w="0" w:type="dxa"/>
            <w:right w:w="108" w:type="dxa"/>
          </w:tblCellMar>
        </w:tblPrEx>
        <w:trPr>
          <w:trHeight w:val="450" w:hRule="atLeast"/>
        </w:trPr>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184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适用住宅地价修正系数</w:t>
            </w:r>
          </w:p>
        </w:tc>
        <w:tc>
          <w:tcPr>
            <w:tcW w:w="155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适用商业地价修正系数</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适用办公地价修正系数</w:t>
            </w:r>
          </w:p>
        </w:tc>
        <w:tc>
          <w:tcPr>
            <w:tcW w:w="198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适用工业地价修正系数</w:t>
            </w:r>
          </w:p>
        </w:tc>
      </w:tr>
      <w:tr>
        <w:tblPrEx>
          <w:tblLayout w:type="fixed"/>
          <w:tblCellMar>
            <w:top w:w="0" w:type="dxa"/>
            <w:left w:w="108" w:type="dxa"/>
            <w:bottom w:w="0" w:type="dxa"/>
            <w:right w:w="108" w:type="dxa"/>
          </w:tblCellMar>
        </w:tblPrEx>
        <w:trPr>
          <w:trHeight w:val="513" w:hRule="atLeast"/>
        </w:trPr>
        <w:tc>
          <w:tcPr>
            <w:tcW w:w="2060" w:type="dxa"/>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棚户区改造项目</w:t>
            </w:r>
          </w:p>
        </w:tc>
        <w:tc>
          <w:tcPr>
            <w:tcW w:w="1843" w:type="dxa"/>
            <w:tcBorders>
              <w:top w:val="single" w:color="auto" w:sz="4" w:space="0"/>
              <w:left w:val="nil"/>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0.1</w:t>
            </w:r>
          </w:p>
        </w:tc>
        <w:tc>
          <w:tcPr>
            <w:tcW w:w="1559" w:type="dxa"/>
            <w:tcBorders>
              <w:top w:val="single" w:color="auto" w:sz="4" w:space="0"/>
              <w:left w:val="nil"/>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0.18</w:t>
            </w:r>
          </w:p>
        </w:tc>
        <w:tc>
          <w:tcPr>
            <w:tcW w:w="1984" w:type="dxa"/>
            <w:tcBorders>
              <w:top w:val="single" w:color="auto" w:sz="4" w:space="0"/>
              <w:left w:val="single" w:color="auto" w:sz="4" w:space="0"/>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0.15</w:t>
            </w:r>
          </w:p>
        </w:tc>
        <w:tc>
          <w:tcPr>
            <w:tcW w:w="1985" w:type="dxa"/>
            <w:tcBorders>
              <w:top w:val="single" w:color="auto" w:sz="4" w:space="0"/>
              <w:left w:val="nil"/>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0.15</w:t>
            </w:r>
          </w:p>
        </w:tc>
      </w:tr>
      <w:tr>
        <w:tblPrEx>
          <w:tblLayout w:type="fixed"/>
          <w:tblCellMar>
            <w:top w:w="0" w:type="dxa"/>
            <w:left w:w="108" w:type="dxa"/>
            <w:bottom w:w="0" w:type="dxa"/>
            <w:right w:w="108" w:type="dxa"/>
          </w:tblCellMar>
        </w:tblPrEx>
        <w:trPr>
          <w:trHeight w:val="513" w:hRule="atLeast"/>
        </w:trPr>
        <w:tc>
          <w:tcPr>
            <w:tcW w:w="9431" w:type="dxa"/>
            <w:gridSpan w:val="5"/>
            <w:tcBorders>
              <w:top w:val="single" w:color="auto" w:sz="4" w:space="0"/>
              <w:left w:val="single" w:color="auto" w:sz="4" w:space="0"/>
              <w:bottom w:val="single" w:color="auto" w:sz="4" w:space="0"/>
              <w:right w:val="single" w:color="auto" w:sz="4" w:space="0"/>
            </w:tcBorders>
          </w:tcPr>
          <w:p>
            <w:pPr>
              <w:widowControl/>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备</w:t>
            </w:r>
            <w:r>
              <w:rPr>
                <w:rFonts w:hint="eastAsia" w:ascii="仿宋_GB2312" w:hAnsi="仿宋_GB2312" w:eastAsia="仿宋_GB2312" w:cs="仿宋_GB2312"/>
                <w:kern w:val="0"/>
                <w:sz w:val="24"/>
                <w:szCs w:val="24"/>
              </w:rPr>
              <w:t>注：</w:t>
            </w:r>
          </w:p>
          <w:p>
            <w:pPr>
              <w:widowControl/>
              <w:spacing w:line="360" w:lineRule="exact"/>
              <w:ind w:firstLine="480" w:firstLineChars="200"/>
              <w:jc w:val="left"/>
              <w:rPr>
                <w:rFonts w:ascii="仿宋_GB2312" w:hAnsi="仿宋_GB2312" w:eastAsia="仿宋_GB2312" w:cs="仿宋_GB2312"/>
                <w:b/>
                <w:sz w:val="24"/>
                <w:szCs w:val="24"/>
              </w:rPr>
            </w:pPr>
            <w:r>
              <w:rPr>
                <w:rFonts w:hint="eastAsia" w:ascii="仿宋_GB2312" w:hAnsi="仿宋_GB2312" w:eastAsia="仿宋_GB2312" w:cs="仿宋_GB2312"/>
                <w:kern w:val="0"/>
                <w:sz w:val="24"/>
                <w:szCs w:val="24"/>
                <w:lang w:val="en-US" w:eastAsia="zh-CN"/>
              </w:rPr>
              <w:t>棚户区改造项目修正系数按照拆除重建类城市更新项目修正系数表中“国有已批居住、商业服务业用地改造为居住、商业服务业用地”项目修正系数执行。</w:t>
            </w:r>
          </w:p>
        </w:tc>
      </w:tr>
    </w:tbl>
    <w:p>
      <w:pPr>
        <w:widowControl/>
        <w:spacing w:line="579" w:lineRule="exact"/>
        <w:ind w:right="42" w:rightChars="20"/>
        <w:jc w:val="center"/>
        <w:rPr>
          <w:rFonts w:ascii="宋体" w:hAnsi="宋体" w:cs="宋体"/>
          <w:b/>
          <w:kern w:val="0"/>
          <w:sz w:val="32"/>
          <w:szCs w:val="32"/>
        </w:rPr>
      </w:pPr>
      <w:r>
        <w:rPr>
          <w:rFonts w:hint="eastAsia" w:ascii="仿宋_GB2312" w:hAnsi="仿宋_GB2312" w:eastAsia="仿宋_GB2312" w:cs="仿宋_GB2312"/>
          <w:b/>
          <w:kern w:val="0"/>
          <w:sz w:val="32"/>
          <w:szCs w:val="32"/>
        </w:rPr>
        <w:t>附表9  留用土地项目修正系数表</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15"/>
        <w:gridCol w:w="1701"/>
        <w:gridCol w:w="2315"/>
        <w:gridCol w:w="145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blHeader/>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5131"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用地类型</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适用住宅、商业、办公地价</w:t>
            </w:r>
          </w:p>
          <w:p>
            <w:pPr>
              <w:spacing w:line="330" w:lineRule="exact"/>
              <w:ind w:right="42" w:rightChars="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适用工业地价修正系数（除附表1</w:t>
            </w:r>
          </w:p>
          <w:p>
            <w:pPr>
              <w:widowControl/>
              <w:spacing w:line="330" w:lineRule="exact"/>
              <w:ind w:right="42" w:rightChars="20"/>
              <w:jc w:val="center"/>
              <w:rPr>
                <w:rFonts w:ascii="仿宋_GB2312" w:hAnsi="仿宋_GB2312" w:eastAsia="仿宋_GB2312" w:cs="仿宋_GB2312"/>
                <w:b/>
                <w:bCs/>
                <w:kern w:val="0"/>
                <w:sz w:val="24"/>
                <w:szCs w:val="24"/>
              </w:rPr>
            </w:pPr>
            <w:r>
              <w:rPr>
                <w:rFonts w:hint="eastAsia" w:ascii="仿宋_GB2312" w:hAnsi="仿宋_GB2312" w:eastAsia="仿宋_GB2312" w:cs="仿宋_GB2312"/>
                <w:b/>
                <w:sz w:val="24"/>
                <w:szCs w:val="24"/>
              </w:rPr>
              <w:t>建筑类型4）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131"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非农建设用地、征地返还用地、留用土地不得转让情形及属于政府部分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3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1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非农建设用地、征地返还用地进入市场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非农建设用地、在本社区安置的征地返还用地</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r≤3.2部分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r</w:t>
            </w:r>
            <w:r>
              <w:rPr>
                <w:rFonts w:ascii="仿宋_GB2312" w:hAnsi="仿宋_GB2312" w:eastAsia="仿宋_GB2312" w:cs="仿宋_GB2312"/>
                <w:sz w:val="24"/>
                <w:szCs w:val="24"/>
              </w:rPr>
              <w:t>&gt;</w:t>
            </w:r>
            <w:r>
              <w:rPr>
                <w:rFonts w:hint="eastAsia" w:ascii="仿宋_GB2312" w:hAnsi="仿宋_GB2312" w:eastAsia="仿宋_GB2312" w:cs="仿宋_GB2312"/>
                <w:sz w:val="24"/>
                <w:szCs w:val="24"/>
              </w:rPr>
              <w:t>3.2部分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eastAsia="仿宋_GB2312"/>
              </w:rPr>
              <w:t>在本社区或社区外经评估后安置的征地返还用地</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等价值部分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超出等价值部分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8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农村集体经济组织利益统筹土地整备项目留用土地进入市场</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基础建筑面积</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0.02</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kern w:val="0"/>
                <w:sz w:val="24"/>
                <w:szCs w:val="24"/>
              </w:rPr>
            </w:pPr>
          </w:p>
        </w:tc>
        <w:tc>
          <w:tcPr>
            <w:tcW w:w="28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共享建筑面积</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10" w:lineRule="exact"/>
              <w:ind w:right="42" w:rightChars="2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0.2</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widowControl/>
              <w:ind w:right="42" w:rightChars="2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39" w:type="dxa"/>
            <w:gridSpan w:val="6"/>
            <w:tcBorders>
              <w:top w:val="single" w:color="auto" w:sz="4" w:space="0"/>
              <w:left w:val="single" w:color="auto" w:sz="4" w:space="0"/>
              <w:bottom w:val="single" w:color="auto" w:sz="4" w:space="0"/>
              <w:right w:val="single" w:color="auto" w:sz="4" w:space="0"/>
            </w:tcBorders>
            <w:vAlign w:val="center"/>
          </w:tcPr>
          <w:p>
            <w:pPr>
              <w:widowControl/>
              <w:spacing w:line="310" w:lineRule="exact"/>
              <w:ind w:right="42" w:rightChars="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310" w:lineRule="exact"/>
              <w:ind w:right="42" w:rightChars="20"/>
              <w:jc w:val="left"/>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kern w:val="0"/>
                <w:sz w:val="24"/>
                <w:szCs w:val="24"/>
              </w:rPr>
              <w:t>基础建筑面积、共享建筑面积、等价值部分、超出等价值部分按土地整备有关文件执行。</w:t>
            </w:r>
          </w:p>
          <w:p>
            <w:pPr>
              <w:widowControl/>
              <w:spacing w:line="310" w:lineRule="exact"/>
              <w:ind w:right="42" w:rightChars="2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2．本表序号2、3仅适用于建筑面积首次由“不得转让”变为“允许分割转让”情形的地价测算；使用上述系数测算并缴纳地价的，对应建筑面积部分为允许分割转让情形。</w:t>
            </w:r>
          </w:p>
          <w:p>
            <w:pPr>
              <w:widowControl/>
              <w:spacing w:line="310" w:lineRule="exact"/>
              <w:ind w:right="42" w:rightChars="2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3．约定为“不得转让”“自用”或“非商品性质”的，属于“不得转让”情形。</w:t>
            </w:r>
          </w:p>
          <w:p>
            <w:pPr>
              <w:spacing w:line="310" w:lineRule="exact"/>
              <w:ind w:right="42" w:rightChars="20"/>
              <w:rPr>
                <w:rFonts w:ascii="仿宋_GB2312" w:hAnsi="仿宋_GB2312" w:eastAsia="仿宋_GB2312" w:cs="仿宋_GB2312"/>
                <w:sz w:val="24"/>
                <w:szCs w:val="24"/>
              </w:rPr>
            </w:pPr>
            <w:r>
              <w:rPr>
                <w:rFonts w:hint="eastAsia" w:ascii="仿宋_GB2312" w:hAnsi="仿宋_GB2312" w:eastAsia="仿宋_GB2312" w:cs="仿宋_GB2312"/>
                <w:sz w:val="24"/>
                <w:szCs w:val="24"/>
              </w:rPr>
              <w:t>4．附表1的建筑类型4的留用土地项目修正系数</w:t>
            </w:r>
            <w:r>
              <w:rPr>
                <w:rFonts w:hint="eastAsia" w:ascii="仿宋_GB2312" w:hAnsi="仿宋_GB2312" w:eastAsia="仿宋_GB2312" w:cs="仿宋_GB2312"/>
                <w:kern w:val="0"/>
                <w:sz w:val="24"/>
                <w:szCs w:val="24"/>
              </w:rPr>
              <w:t>按照厂房及办公修正系数分别修正</w:t>
            </w:r>
            <w:r>
              <w:rPr>
                <w:rFonts w:hint="eastAsia" w:ascii="仿宋_GB2312" w:hAnsi="仿宋_GB2312" w:eastAsia="仿宋_GB2312" w:cs="仿宋_GB2312"/>
                <w:sz w:val="24"/>
                <w:szCs w:val="24"/>
              </w:rPr>
              <w:t>。</w:t>
            </w:r>
          </w:p>
          <w:p>
            <w:pPr>
              <w:spacing w:line="310" w:lineRule="exact"/>
              <w:ind w:right="42" w:rightChars="20"/>
              <w:rPr>
                <w:rFonts w:ascii="仿宋_GB2312" w:hAnsi="仿宋_GB2312" w:eastAsia="仿宋_GB2312" w:cs="仿宋_GB2312"/>
                <w:sz w:val="24"/>
                <w:szCs w:val="24"/>
              </w:rPr>
            </w:pPr>
            <w:r>
              <w:rPr>
                <w:rFonts w:hint="eastAsia" w:ascii="仿宋_GB2312" w:hAnsi="仿宋_GB2312" w:eastAsia="仿宋_GB2312" w:cs="仿宋_GB2312"/>
                <w:sz w:val="24"/>
                <w:szCs w:val="24"/>
              </w:rPr>
              <w:t>5．r为非农建设用地、在本社区安置的征地返还用地的地上规定建筑面积（不包括产权归政府部分）+地下规定建筑面积（不包括产权归政府部分）之和与用地面积的比值，其中，计算中涉及多种建筑类型的，应将各建筑类型按照建筑面积比例分摊到不同的计算区间进行地价计算（保留小数点后两位）。无法按照已确定的征地返还用地土地面积进行安置，通过调整容积率保障安置建筑面积不减少而导致r有变化的，仍然按原定的用地面积计算r后进行取值分段测算。</w:t>
            </w:r>
          </w:p>
          <w:p>
            <w:pPr>
              <w:spacing w:line="310" w:lineRule="exact"/>
              <w:ind w:right="42" w:rightChars="20"/>
              <w:rPr>
                <w:rFonts w:ascii="仿宋_GB2312" w:hAnsi="仿宋_GB2312" w:eastAsia="仿宋_GB2312" w:cs="仿宋_GB2312"/>
                <w:sz w:val="24"/>
                <w:szCs w:val="24"/>
              </w:rPr>
            </w:pPr>
            <w:r>
              <w:rPr>
                <w:rFonts w:hint="eastAsia" w:ascii="仿宋_GB2312" w:hAnsi="仿宋_GB2312" w:eastAsia="仿宋_GB2312" w:cs="仿宋_GB2312"/>
                <w:sz w:val="24"/>
                <w:szCs w:val="24"/>
              </w:rPr>
              <w:t>6.土地整备利益统筹项目留用土地配套部分归属原农村集体经济组织的部分，按照比例分摊到基础建筑面积和共享建筑面积的计算区间（保留小数点后两位）。</w:t>
            </w:r>
          </w:p>
          <w:p>
            <w:pPr>
              <w:spacing w:line="310" w:lineRule="exact"/>
              <w:ind w:right="42" w:rightChars="20"/>
              <w:rPr>
                <w:rFonts w:ascii="仿宋_GB2312" w:hAnsi="仿宋_GB2312" w:eastAsia="仿宋_GB2312" w:cs="仿宋_GB2312"/>
                <w:sz w:val="24"/>
                <w:szCs w:val="24"/>
              </w:rPr>
            </w:pPr>
            <w:r>
              <w:rPr>
                <w:rFonts w:hint="eastAsia" w:ascii="仿宋_GB2312" w:hAnsi="仿宋_GB2312" w:eastAsia="仿宋_GB2312" w:cs="仿宋_GB2312"/>
                <w:sz w:val="24"/>
                <w:szCs w:val="24"/>
              </w:rPr>
              <w:t>7.按照《土地整备利益统筹试点项目管理办法（试行）》（深规土</w:t>
            </w: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15</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sz w:val="24"/>
                <w:szCs w:val="24"/>
              </w:rPr>
              <w:t>721号）完成实施方案审批的土地整备利益统筹试点项目，留用土地执行2013年公告基准地价标准，按照《土地整备利益统筹试点项目管理办法（试行）》地价计收规则缴交地价。</w:t>
            </w:r>
          </w:p>
          <w:p>
            <w:pPr>
              <w:spacing w:line="310" w:lineRule="exact"/>
              <w:ind w:right="42" w:rightChars="20"/>
              <w:rPr>
                <w:rFonts w:ascii="仿宋_GB2312" w:hAnsi="仿宋_GB2312" w:eastAsia="仿宋_GB2312" w:cs="仿宋_GB2312"/>
                <w:i/>
                <w:sz w:val="24"/>
                <w:szCs w:val="24"/>
              </w:rPr>
            </w:pPr>
            <w:r>
              <w:rPr>
                <w:rFonts w:hint="eastAsia" w:ascii="仿宋_GB2312" w:hAnsi="仿宋_GB2312" w:eastAsia="仿宋_GB2312" w:cs="仿宋_GB2312"/>
                <w:sz w:val="24"/>
                <w:szCs w:val="24"/>
              </w:rPr>
              <w:t>8.政府投资新建的安置用房和产权归属政府的房屋用做安置用房的，地价按照相应用途的10%测算。</w:t>
            </w:r>
          </w:p>
        </w:tc>
      </w:tr>
    </w:tbl>
    <w:p>
      <w:pPr>
        <w:spacing w:line="579" w:lineRule="exact"/>
        <w:jc w:val="center"/>
        <w:rPr>
          <w:rFonts w:ascii="仿宋_GB2312" w:hAnsi="仿宋_GB2312" w:eastAsia="仿宋_GB2312" w:cs="仿宋_GB2312"/>
          <w:b/>
          <w:kern w:val="0"/>
          <w:sz w:val="32"/>
          <w:szCs w:val="32"/>
        </w:rPr>
      </w:pPr>
    </w:p>
    <w:p>
      <w:pPr>
        <w:spacing w:line="579"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附表10  拆除重建类城市更新项目修正系数计算表</w:t>
      </w:r>
    </w:p>
    <w:tbl>
      <w:tblPr>
        <w:tblStyle w:val="5"/>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82"/>
        <w:gridCol w:w="993"/>
        <w:gridCol w:w="993"/>
        <w:gridCol w:w="992"/>
        <w:gridCol w:w="992"/>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测算次序</w:t>
            </w:r>
          </w:p>
        </w:tc>
        <w:tc>
          <w:tcPr>
            <w:tcW w:w="2182"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用地类别或改造类型</w:t>
            </w:r>
          </w:p>
        </w:tc>
        <w:tc>
          <w:tcPr>
            <w:tcW w:w="993"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适用住宅地价修正因子</w:t>
            </w:r>
          </w:p>
        </w:tc>
        <w:tc>
          <w:tcPr>
            <w:tcW w:w="993"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适用商业地价修正因子</w:t>
            </w:r>
          </w:p>
        </w:tc>
        <w:tc>
          <w:tcPr>
            <w:tcW w:w="992"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适用办公地价修正因子</w:t>
            </w:r>
          </w:p>
        </w:tc>
        <w:tc>
          <w:tcPr>
            <w:tcW w:w="992"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适用工业地价修正因子</w:t>
            </w:r>
          </w:p>
        </w:tc>
        <w:tc>
          <w:tcPr>
            <w:tcW w:w="2267" w:type="dxa"/>
            <w:vAlign w:val="center"/>
          </w:tcPr>
          <w:p>
            <w:pPr>
              <w:spacing w:line="360" w:lineRule="exact"/>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34"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2182" w:type="dxa"/>
            <w:vAlign w:val="center"/>
          </w:tcPr>
          <w:p>
            <w:pPr>
              <w:spacing w:line="29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小地块城市更新项目应移交未移交用地</w:t>
            </w:r>
          </w:p>
        </w:tc>
        <w:tc>
          <w:tcPr>
            <w:tcW w:w="993"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993"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992"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992"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2267" w:type="dxa"/>
          </w:tcPr>
          <w:p>
            <w:pPr>
              <w:spacing w:line="290" w:lineRule="exact"/>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34" w:type="dxa"/>
            <w:vMerge w:val="restart"/>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2182" w:type="dxa"/>
            <w:vAlign w:val="center"/>
          </w:tcPr>
          <w:p>
            <w:pPr>
              <w:spacing w:line="29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已办理征转地补偿的零星国有未出让用地</w:t>
            </w:r>
          </w:p>
        </w:tc>
        <w:tc>
          <w:tcPr>
            <w:tcW w:w="993"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993"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992"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992"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1.1</w:t>
            </w:r>
          </w:p>
        </w:tc>
        <w:tc>
          <w:tcPr>
            <w:tcW w:w="2267" w:type="dxa"/>
          </w:tcPr>
          <w:p>
            <w:pPr>
              <w:spacing w:line="290" w:lineRule="exact"/>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spacing w:line="290" w:lineRule="exact"/>
              <w:jc w:val="center"/>
              <w:rPr>
                <w:rFonts w:ascii="仿宋_GB2312" w:hAnsi="仿宋_GB2312" w:eastAsia="仿宋_GB2312" w:cs="仿宋_GB2312"/>
                <w:bCs/>
                <w:kern w:val="0"/>
                <w:sz w:val="24"/>
                <w:szCs w:val="24"/>
              </w:rPr>
            </w:pPr>
          </w:p>
        </w:tc>
        <w:tc>
          <w:tcPr>
            <w:tcW w:w="2182" w:type="dxa"/>
            <w:vAlign w:val="center"/>
          </w:tcPr>
          <w:p>
            <w:pPr>
              <w:spacing w:line="29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未办理征转地补偿的零星国有未出让用地</w:t>
            </w:r>
          </w:p>
        </w:tc>
        <w:tc>
          <w:tcPr>
            <w:tcW w:w="993"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w:t>
            </w:r>
          </w:p>
        </w:tc>
        <w:tc>
          <w:tcPr>
            <w:tcW w:w="993"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w:t>
            </w:r>
          </w:p>
        </w:tc>
        <w:tc>
          <w:tcPr>
            <w:tcW w:w="992"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992" w:type="dxa"/>
            <w:vAlign w:val="center"/>
          </w:tcPr>
          <w:p>
            <w:pPr>
              <w:spacing w:line="29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tcPr>
          <w:p>
            <w:pPr>
              <w:spacing w:line="290" w:lineRule="exact"/>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534"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城中村用地</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0.1×(1-4.5/r)</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0.18×(1-4.5/r)</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0.15×(1-4.5/r)</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0.15×(1-4.5/r)</w:t>
            </w:r>
          </w:p>
        </w:tc>
        <w:tc>
          <w:tcPr>
            <w:tcW w:w="2267" w:type="dxa"/>
            <w:vMerge w:val="restart"/>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修正因子计算结果为负数时取零；按《关于加强和改进城市更新实施工作的暂行措施》（深府办〔2016〕38号）文件要求配建人才住房、保障性住房或人才公寓的城市更新项目，按相应修正因子的0.8倍计算。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534"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旧屋村用地</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0.1×(1-1.5/r)</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0.18×(1-1.5/r)</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0.15×(1-1.5/r)</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0.15×(1-1.5/r)</w:t>
            </w:r>
          </w:p>
        </w:tc>
        <w:tc>
          <w:tcPr>
            <w:tcW w:w="2267" w:type="dxa"/>
            <w:vMerge w:val="continue"/>
          </w:tcPr>
          <w:p>
            <w:pPr>
              <w:spacing w:line="360" w:lineRule="exact"/>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0" w:hRule="atLeast"/>
        </w:trPr>
        <w:tc>
          <w:tcPr>
            <w:tcW w:w="534"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70个旧城旧村改造项目除城中村用地、旧屋村用地外的其余用地</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70个旧城旧村改造项目按照《关于宝安龙岗两区自行开展的新安翻身工业区等70个旧城旧村改造项目的处理意见》（深府〔2006〕258号）确定。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534" w:type="dxa"/>
            <w:vMerge w:val="restart"/>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国有已批用地改造为工业用地、物流仓储用地</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0.4</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0.75</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0.6</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改造为三类居住用地（R3）的，适用本改造类型。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534" w:type="dxa"/>
            <w:vMerge w:val="continue"/>
            <w:vAlign w:val="center"/>
          </w:tcPr>
          <w:p>
            <w:pPr>
              <w:spacing w:line="360" w:lineRule="exact"/>
              <w:jc w:val="center"/>
              <w:rPr>
                <w:rFonts w:ascii="仿宋_GB2312" w:hAnsi="仿宋_GB2312" w:eastAsia="仿宋_GB2312" w:cs="仿宋_GB2312"/>
                <w:bCs/>
                <w:kern w:val="0"/>
                <w:sz w:val="24"/>
                <w:szCs w:val="24"/>
              </w:rPr>
            </w:pP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国有已批居住、商业服务业用地改造为居住、商业服务业用地</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其中，国有已批游乐设施用地经市政府同意改造为居住、商业服务业用地的，按相应修正因子的3.5倍计算。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2182" w:type="dxa"/>
            <w:vAlign w:val="center"/>
          </w:tcPr>
          <w:p>
            <w:pP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国有已批用地（除居住、商业服务业用地）改造为居住、商业服务业用地</w:t>
            </w:r>
          </w:p>
        </w:tc>
        <w:tc>
          <w:tcPr>
            <w:tcW w:w="993" w:type="dxa"/>
            <w:vAlign w:val="center"/>
          </w:tcPr>
          <w:p>
            <w:pP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0.4</w:t>
            </w:r>
          </w:p>
        </w:tc>
        <w:tc>
          <w:tcPr>
            <w:tcW w:w="993" w:type="dxa"/>
            <w:vAlign w:val="center"/>
          </w:tcPr>
          <w:p>
            <w:pP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0.9</w:t>
            </w:r>
          </w:p>
        </w:tc>
        <w:tc>
          <w:tcPr>
            <w:tcW w:w="992" w:type="dxa"/>
            <w:vAlign w:val="center"/>
          </w:tcPr>
          <w:p>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0.6</w:t>
            </w:r>
          </w:p>
        </w:tc>
        <w:tc>
          <w:tcPr>
            <w:tcW w:w="992" w:type="dxa"/>
            <w:vAlign w:val="center"/>
          </w:tcPr>
          <w:p>
            <w:pP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tcPr>
          <w:p>
            <w:pP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534" w:type="dxa"/>
            <w:vMerge w:val="continue"/>
            <w:vAlign w:val="center"/>
          </w:tcPr>
          <w:p>
            <w:pPr>
              <w:spacing w:line="360" w:lineRule="exact"/>
              <w:jc w:val="center"/>
              <w:rPr>
                <w:rFonts w:ascii="仿宋_GB2312" w:hAnsi="仿宋_GB2312" w:eastAsia="仿宋_GB2312" w:cs="仿宋_GB2312"/>
                <w:bCs/>
                <w:kern w:val="0"/>
                <w:sz w:val="24"/>
                <w:szCs w:val="24"/>
              </w:rPr>
            </w:pP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国有已批用地改造为公共管理与服务设施用地（包括文体设施、医疗卫生、教育设施、社会福利用地）</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公共管理与服务设施用地限整体转让。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2182" w:type="dxa"/>
            <w:vAlign w:val="center"/>
          </w:tcPr>
          <w:p>
            <w:pP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国有已批用地属于按农村城市化历史遗留违法建筑处理规定处理给原农村集体经济组织及其继受单位且权属未转移的用地</w:t>
            </w:r>
          </w:p>
        </w:tc>
        <w:tc>
          <w:tcPr>
            <w:tcW w:w="993" w:type="dxa"/>
            <w:vAlign w:val="center"/>
          </w:tcPr>
          <w:p>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w:t>
            </w:r>
          </w:p>
        </w:tc>
        <w:tc>
          <w:tcPr>
            <w:tcW w:w="993" w:type="dxa"/>
            <w:vAlign w:val="center"/>
          </w:tcPr>
          <w:p>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0.18</w:t>
            </w:r>
          </w:p>
        </w:tc>
        <w:tc>
          <w:tcPr>
            <w:tcW w:w="992" w:type="dxa"/>
            <w:vAlign w:val="center"/>
          </w:tcPr>
          <w:p>
            <w:pPr>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992" w:type="dxa"/>
            <w:vAlign w:val="center"/>
          </w:tcPr>
          <w:p>
            <w:pP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0.15</w:t>
            </w:r>
          </w:p>
        </w:tc>
        <w:tc>
          <w:tcPr>
            <w:tcW w:w="2267" w:type="dxa"/>
          </w:tcPr>
          <w:p>
            <w:pPr>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34"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7</w:t>
            </w:r>
          </w:p>
        </w:tc>
        <w:tc>
          <w:tcPr>
            <w:tcW w:w="2182" w:type="dxa"/>
            <w:vAlign w:val="center"/>
          </w:tcPr>
          <w:p>
            <w:pPr>
              <w:spacing w:line="360" w:lineRule="exac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历史用地处置</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0.11</w:t>
            </w:r>
          </w:p>
        </w:tc>
        <w:tc>
          <w:tcPr>
            <w:tcW w:w="993"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0.2</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0.16</w:t>
            </w:r>
          </w:p>
        </w:tc>
        <w:tc>
          <w:tcPr>
            <w:tcW w:w="992" w:type="dxa"/>
            <w:vAlign w:val="center"/>
          </w:tcPr>
          <w:p>
            <w:pPr>
              <w:spacing w:line="36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0.16</w:t>
            </w:r>
          </w:p>
        </w:tc>
        <w:tc>
          <w:tcPr>
            <w:tcW w:w="2267" w:type="dxa"/>
          </w:tcPr>
          <w:p>
            <w:pPr>
              <w:spacing w:line="360" w:lineRule="exact"/>
              <w:rPr>
                <w:rFonts w:ascii="仿宋_GB2312" w:hAnsi="仿宋_GB2312" w:eastAsia="仿宋_GB2312" w:cs="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8953" w:type="dxa"/>
            <w:gridSpan w:val="7"/>
          </w:tcPr>
          <w:p>
            <w:pPr>
              <w:spacing w:line="360" w:lineRule="exact"/>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备注：</w:t>
            </w:r>
          </w:p>
          <w:p>
            <w:pPr>
              <w:spacing w:line="360" w:lineRule="exact"/>
              <w:ind w:firstLine="482" w:firstLineChars="200"/>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一、城市更新项目</w:t>
            </w:r>
          </w:p>
          <w:p>
            <w:pPr>
              <w:spacing w:line="360" w:lineRule="exact"/>
              <w:ind w:firstLine="480" w:firstLineChars="200"/>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城市更新项目以用地审批中确定的一个整体为地价测算单位，按住宅、商业、办公、工业确定项目修正系数，各修正系数按照各“用地类别或改造类型”的面积占比及相应地价修正因子加权平均确定，公式为：各修正系数 = ∑（各“用地类别或改造类型”面积占比×相应修正因子）。</w:t>
            </w:r>
          </w:p>
          <w:p>
            <w:pPr>
              <w:numPr>
                <w:ilvl w:val="0"/>
                <w:numId w:val="3"/>
              </w:numPr>
              <w:spacing w:line="360" w:lineRule="exact"/>
              <w:ind w:firstLine="480" w:firstLineChars="200"/>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r为一个整体范围内全部开发建设用地的地上规定建筑面积+地下规定建筑面积之和与总用地面积的比值。</w:t>
            </w:r>
          </w:p>
          <w:p>
            <w:pPr>
              <w:spacing w:line="360" w:lineRule="exact"/>
              <w:ind w:firstLine="480" w:firstLineChars="200"/>
              <w:jc w:val="lef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 “用地类别或改造类型”面积占比为相应用地面积与开发建设用地面积的比值，并按照本表中“测算次序”依次计算，累计面积占比超出100%的部分不再参与计算。其中测算次序6存在多种“用地类别或改造类型”的，测算次序6应计入的面积占比按照相应用地面积占国有已批用地面积的比例分摊至各“用地类别或改造类型”。</w:t>
            </w:r>
          </w:p>
          <w:p>
            <w:pPr>
              <w:spacing w:line="270" w:lineRule="exact"/>
              <w:ind w:firstLine="480" w:firstLineChars="2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4.按深府办〔2016〕38号文要求配建人才住房、保障性住房的城市更新项目，适用“国有已批用地（除居住、商业服务业用地外）改造为居住、商业服务业用地”类型的，除人才住房及保障性住房外的住宅建筑面积按住宅修正因子的0.8倍计算。按深府办〔2016〕38号文要求配建人才公寓的城市更新项目，适用“国有已批用地（除居住、商业服务业用地外）改造为居住、商业服务业用地”类型的，除人才公寓外的商务公寓建筑面积按办公修正因子的0.8倍计算。 </w:t>
            </w:r>
          </w:p>
          <w:p>
            <w:pPr>
              <w:spacing w:line="270" w:lineRule="exact"/>
              <w:ind w:firstLine="480" w:firstLineChars="20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关于加强城市更新单元规划审批管理工作的通知》（深规土规〔2018〕4号）和《深圳市拆除重建类城市更新单元规划容积率审查规定》（深规划资源〔2019〕1号）中规定按评估地价标准计收地价的建筑面积，按本规则1.7条公式测算地价，项目修正系数为1.1。</w:t>
            </w:r>
          </w:p>
          <w:p>
            <w:pPr>
              <w:spacing w:line="270" w:lineRule="exact"/>
              <w:ind w:firstLine="480" w:firstLineChars="2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其中，属于深规土规〔2018〕4号文的，按照增加的建筑面积与更新单元规划总建筑面积的比值分摊各地块各建筑功能建筑面积，分摊出的建筑面积按本条规定测算地价。前述各建筑面积均不含产权归政府的建筑面积、安居型商品房及可售的人才住房建筑面积。</w:t>
            </w:r>
          </w:p>
          <w:p>
            <w:pPr>
              <w:spacing w:line="270" w:lineRule="exact"/>
              <w:ind w:firstLine="480" w:firstLineChars="20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6.本表测算次序第3至7项“用地类别或改造类型”中的厂房、研发用房为不得转让情形的，其适用工业地价修正因子按0计算（即厂房、研发用房不得转让部分不计收地价）。</w:t>
            </w:r>
          </w:p>
          <w:p>
            <w:pPr>
              <w:spacing w:line="270" w:lineRule="exact"/>
              <w:ind w:firstLine="480" w:firstLineChars="200"/>
              <w:rPr>
                <w:rFonts w:ascii="仿宋_GB2312" w:eastAsia="仿宋_GB2312" w:hAnsiTheme="majorEastAsia"/>
                <w:sz w:val="24"/>
                <w:szCs w:val="24"/>
              </w:rPr>
            </w:pPr>
            <w:r>
              <w:rPr>
                <w:rFonts w:hint="eastAsia" w:ascii="仿宋_GB2312" w:hAnsi="仿宋_GB2312" w:eastAsia="仿宋_GB2312" w:cs="仿宋_GB2312"/>
                <w:bCs/>
                <w:color w:val="000000"/>
                <w:kern w:val="0"/>
                <w:sz w:val="24"/>
                <w:szCs w:val="24"/>
              </w:rPr>
              <w:t>7. 签订供应合同时按本规则测算地价的</w:t>
            </w:r>
            <w:r>
              <w:rPr>
                <w:rFonts w:hint="eastAsia" w:ascii="仿宋_GB2312" w:hAnsi="仿宋_GB2312" w:eastAsia="仿宋_GB2312" w:cs="仿宋_GB2312"/>
                <w:bCs/>
                <w:kern w:val="0"/>
                <w:sz w:val="24"/>
                <w:szCs w:val="24"/>
              </w:rPr>
              <w:t>城市更新项目用地，供应合同受让方（不包括转让后的权利主体）申请将工业楼宇及配套用房产权条件变更为整体或分割转让的，应补缴地价＝∑(土地的市场价格×变更后对应建筑面积×变更后基础修正系数×变更后拆除重建类城市更新项目修正系数)-∑(土地的市场价格×变更前对应建筑面积×变更前基础修正系数×变更前拆除重建类城市更新项目修正系数)。如差额为</w:t>
            </w:r>
            <w:r>
              <w:rPr>
                <w:rFonts w:hint="eastAsia" w:ascii="仿宋_GB2312" w:eastAsia="仿宋_GB2312" w:hAnsiTheme="majorEastAsia"/>
                <w:sz w:val="24"/>
                <w:szCs w:val="24"/>
              </w:rPr>
              <w:t>负，不再计收地价。</w:t>
            </w:r>
          </w:p>
          <w:p>
            <w:pPr>
              <w:spacing w:line="270" w:lineRule="exact"/>
              <w:ind w:firstLine="480" w:firstLineChars="200"/>
              <w:rPr>
                <w:rFonts w:ascii="仿宋_GB2312" w:eastAsia="仿宋_GB2312" w:hAnsiTheme="majorEastAsia"/>
                <w:sz w:val="24"/>
                <w:szCs w:val="24"/>
              </w:rPr>
            </w:pPr>
            <w:r>
              <w:rPr>
                <w:rFonts w:hint="eastAsia" w:ascii="仿宋_GB2312" w:eastAsia="仿宋_GB2312" w:hAnsiTheme="majorEastAsia"/>
                <w:sz w:val="24"/>
                <w:szCs w:val="24"/>
              </w:rPr>
              <w:t>签订供应合同时未按本规则测算地价的城市更新项目用地，供应合同受让方（不包括转让后的权利主体）申请将工业楼宇及配套用房产权条件变更为整体或分割转让的，应补缴地价按照前款公式计算，变更后拆除重建类城市更新项目修正系数按照本表中“国有已批用地改造为工业用地、物流仓储用地”改造类型的适用住宅、商业、办公、工业地价修正因子取值；变更前产权条件为不得转让的，变更前拆除重建类城市更新项目修正系数均按0.05取值，变更前产权条件为整体转让的，变更前拆除重建类城市更新项目修正系数均按0.15取值。如差额为负，不再计收地价。</w:t>
            </w:r>
          </w:p>
          <w:p>
            <w:pPr>
              <w:spacing w:line="270" w:lineRule="exact"/>
              <w:ind w:firstLine="480"/>
              <w:jc w:val="left"/>
              <w:rPr>
                <w:rFonts w:ascii="仿宋_GB2312" w:eastAsia="仿宋_GB2312" w:hAnsiTheme="majorEastAsia"/>
                <w:sz w:val="24"/>
                <w:szCs w:val="24"/>
              </w:rPr>
            </w:pPr>
            <w:r>
              <w:rPr>
                <w:rFonts w:hint="eastAsia" w:ascii="仿宋_GB2312" w:eastAsia="仿宋_GB2312" w:hAnsiTheme="majorEastAsia"/>
                <w:sz w:val="24"/>
                <w:szCs w:val="24"/>
              </w:rPr>
              <w:t>8.城市更新单元规划确定的开发建设用地范围外的地下停车场（库）部分，按本规则1.7条公式测算地价，其中产权条件修正系数为不得转让情形的系数、项目修正系数为1。</w:t>
            </w:r>
          </w:p>
          <w:p>
            <w:pPr>
              <w:spacing w:line="270" w:lineRule="exact"/>
              <w:ind w:firstLine="480"/>
              <w:jc w:val="left"/>
              <w:rPr>
                <w:rFonts w:ascii="仿宋_GB2312" w:eastAsia="仿宋_GB2312" w:hAnsiTheme="majorEastAsia"/>
                <w:sz w:val="24"/>
                <w:szCs w:val="24"/>
              </w:rPr>
            </w:pPr>
            <w:r>
              <w:rPr>
                <w:rFonts w:hint="eastAsia" w:ascii="仿宋_GB2312" w:eastAsia="仿宋_GB2312" w:hAnsiTheme="majorEastAsia"/>
                <w:sz w:val="24"/>
                <w:szCs w:val="24"/>
              </w:rPr>
              <w:t>9.城市更新拆除范围内的以下用地适用“城中村用地”用地类别：（1）福田、罗湖、南山、盐田区原农村集体已划定红线范围内的用地；（2）宝安、龙岗、龙华、坪山、光明区、大鹏新区根据市政府1993年发布的《深圳市宝安、龙岗两区规划、国土管理暂行办法》、2004年发布的《深圳市宝安龙岗两区城市化土地管理办法》划定给原农村集体的非农建设用地；（3）1993年以后，以土地主管部门核发的用地批复或者土地使用权供应合同形式批准给原农村集体经济组织或者其继受单位的征地返还用地。已批准合作建房并签订土地使用权供应合同、已办理产权转移或者享受过城中村地价政策的用地不再适用“城中村用地”用地类别。</w:t>
            </w:r>
          </w:p>
          <w:p>
            <w:pPr>
              <w:spacing w:line="270" w:lineRule="exact"/>
              <w:ind w:firstLine="480"/>
              <w:jc w:val="left"/>
              <w:rPr>
                <w:rFonts w:ascii="仿宋_GB2312" w:eastAsia="仿宋_GB2312" w:hAnsiTheme="majorEastAsia"/>
                <w:sz w:val="24"/>
                <w:szCs w:val="24"/>
              </w:rPr>
            </w:pPr>
            <w:r>
              <w:rPr>
                <w:rFonts w:hint="eastAsia" w:ascii="仿宋_GB2312" w:eastAsia="仿宋_GB2312" w:hAnsiTheme="majorEastAsia"/>
                <w:sz w:val="24"/>
                <w:szCs w:val="24"/>
              </w:rPr>
              <w:t>10.旧工业区综合整治类城市更新项目中，进行历史用地处置的用地上原有建筑面积参照本表“历史用地处置”类别的修正因子及备注6规定测算地价；新建建筑面积参照“国有已批用地改造为工业用地、物流仓储用地”类型的修正因子及备注6规定测算地价；在原有建筑上加建城市基础设施、公共服务设施及电梯、连廊、楼梯等辅助性公用设施的，不计收地价。</w:t>
            </w:r>
          </w:p>
          <w:p>
            <w:pPr>
              <w:ind w:firstLine="480" w:firstLineChars="200"/>
              <w:rPr>
                <w:rFonts w:ascii="仿宋_GB2312" w:eastAsia="仿宋_GB2312" w:hAnsiTheme="majorEastAsia"/>
                <w:sz w:val="24"/>
                <w:szCs w:val="24"/>
              </w:rPr>
            </w:pPr>
            <w:r>
              <w:rPr>
                <w:rFonts w:hint="eastAsia" w:ascii="仿宋_GB2312" w:eastAsia="仿宋_GB2312" w:hAnsiTheme="majorEastAsia"/>
                <w:sz w:val="24"/>
                <w:szCs w:val="24"/>
              </w:rPr>
              <w:t>11.城市更新项目配建的创新型产业用房，建成后政府不回购的，适用附表1序号4的“新型产业用地中的研发用房”建筑类型进行地价测算。</w:t>
            </w:r>
          </w:p>
          <w:p>
            <w:pPr>
              <w:ind w:firstLine="480" w:firstLineChars="200"/>
              <w:rPr>
                <w:rFonts w:ascii="仿宋_GB2312" w:eastAsia="仿宋_GB2312" w:hAnsiTheme="majorEastAsia"/>
                <w:sz w:val="24"/>
                <w:szCs w:val="24"/>
              </w:rPr>
            </w:pPr>
            <w:r>
              <w:rPr>
                <w:rFonts w:hint="eastAsia" w:ascii="仿宋_GB2312" w:eastAsia="仿宋_GB2312" w:hAnsiTheme="majorEastAsia"/>
                <w:sz w:val="24"/>
                <w:szCs w:val="24"/>
              </w:rPr>
              <w:t>12.土地整备留用土地指标与城市更新项目统筹处理的，留用土地中来源于合法用地的指标根据指标批复确定的用地来源按城市更新政策进行地价测算，留用土地中利益共享用地的地价按照城市更新历史用地处置部分的地价标准计收。</w:t>
            </w:r>
          </w:p>
          <w:p>
            <w:pPr>
              <w:ind w:firstLine="480" w:firstLineChars="200"/>
              <w:rPr>
                <w:rFonts w:ascii="仿宋_GB2312" w:eastAsia="仿宋_GB2312" w:hAnsiTheme="majorEastAsia"/>
                <w:color w:val="00B050"/>
                <w:sz w:val="24"/>
                <w:szCs w:val="24"/>
              </w:rPr>
            </w:pPr>
          </w:p>
          <w:p>
            <w:pPr>
              <w:ind w:firstLine="482" w:firstLineChars="200"/>
              <w:rPr>
                <w:rFonts w:ascii="仿宋_GB2312" w:eastAsia="仿宋_GB2312" w:hAnsiTheme="majorEastAsia"/>
                <w:b/>
                <w:sz w:val="24"/>
                <w:szCs w:val="24"/>
              </w:rPr>
            </w:pPr>
            <w:r>
              <w:rPr>
                <w:rFonts w:hint="eastAsia" w:ascii="仿宋_GB2312" w:eastAsia="仿宋_GB2312" w:hAnsiTheme="majorEastAsia"/>
                <w:b/>
                <w:sz w:val="24"/>
                <w:szCs w:val="24"/>
              </w:rPr>
              <w:t>二、原旧城旧村改造项目</w:t>
            </w:r>
          </w:p>
          <w:p>
            <w:pPr>
              <w:ind w:firstLine="480" w:firstLineChars="200"/>
              <w:rPr>
                <w:rFonts w:ascii="仿宋_GB2312" w:eastAsia="仿宋_GB2312" w:hAnsiTheme="majorEastAsia"/>
                <w:sz w:val="24"/>
                <w:szCs w:val="24"/>
              </w:rPr>
            </w:pPr>
            <w:r>
              <w:rPr>
                <w:rFonts w:hint="eastAsia" w:ascii="仿宋_GB2312" w:eastAsia="仿宋_GB2312" w:hAnsiTheme="majorEastAsia"/>
                <w:sz w:val="24"/>
                <w:szCs w:val="24"/>
              </w:rPr>
              <w:t>13.原市政府划定的旧城旧村改造项目用地，</w:t>
            </w:r>
            <w:r>
              <w:rPr>
                <w:rFonts w:hint="eastAsia" w:ascii="仿宋_GB2312" w:hAnsi="仿宋_GB2312" w:eastAsia="仿宋_GB2312" w:cs="仿宋_GB2312"/>
                <w:bCs/>
                <w:kern w:val="0"/>
                <w:sz w:val="24"/>
                <w:szCs w:val="24"/>
              </w:rPr>
              <w:t>按本规则1.7条公式测算地价，其中项目修正系数取值如下：</w:t>
            </w:r>
            <w:r>
              <w:rPr>
                <w:rFonts w:hint="eastAsia" w:ascii="仿宋_GB2312" w:eastAsia="仿宋_GB2312" w:hAnsiTheme="majorEastAsia"/>
                <w:sz w:val="24"/>
                <w:szCs w:val="24"/>
              </w:rPr>
              <w:t>安置已取得房地产证的建筑面积参照“国有已批居住、商业服务业用地改造为居住、商业服务业用地”类型的修正因子确定；安置未取得房地产证的建筑面积参照“历史用地处置”类别的修正因子确定，其余建筑面积为1。旧城旧村改造项目用地的地价缴纳方式参照城市更新项目执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C43C"/>
    <w:multiLevelType w:val="singleLevel"/>
    <w:tmpl w:val="0AE5C43C"/>
    <w:lvl w:ilvl="0" w:tentative="0">
      <w:start w:val="2"/>
      <w:numFmt w:val="decimal"/>
      <w:suff w:val="space"/>
      <w:lvlText w:val="%1."/>
      <w:lvlJc w:val="left"/>
      <w:pPr>
        <w:ind w:left="0" w:firstLine="0"/>
      </w:pPr>
    </w:lvl>
  </w:abstractNum>
  <w:abstractNum w:abstractNumId="1">
    <w:nsid w:val="10E566E6"/>
    <w:multiLevelType w:val="multilevel"/>
    <w:tmpl w:val="10E566E6"/>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141395"/>
    <w:multiLevelType w:val="multilevel"/>
    <w:tmpl w:val="221413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85"/>
    <w:rsid w:val="00053940"/>
    <w:rsid w:val="00084F64"/>
    <w:rsid w:val="0009494D"/>
    <w:rsid w:val="000A2002"/>
    <w:rsid w:val="000B419E"/>
    <w:rsid w:val="000D115C"/>
    <w:rsid w:val="000E2577"/>
    <w:rsid w:val="000E50B2"/>
    <w:rsid w:val="001212C1"/>
    <w:rsid w:val="001414BE"/>
    <w:rsid w:val="00163826"/>
    <w:rsid w:val="001A1650"/>
    <w:rsid w:val="001B155E"/>
    <w:rsid w:val="001C67DD"/>
    <w:rsid w:val="001E2D72"/>
    <w:rsid w:val="001F5F67"/>
    <w:rsid w:val="00200BB5"/>
    <w:rsid w:val="00202147"/>
    <w:rsid w:val="002066FA"/>
    <w:rsid w:val="00210A4D"/>
    <w:rsid w:val="00221573"/>
    <w:rsid w:val="00244DB3"/>
    <w:rsid w:val="0026476B"/>
    <w:rsid w:val="00277035"/>
    <w:rsid w:val="00290659"/>
    <w:rsid w:val="002A73D3"/>
    <w:rsid w:val="002B7AED"/>
    <w:rsid w:val="002E208F"/>
    <w:rsid w:val="002E5DA0"/>
    <w:rsid w:val="002E63EC"/>
    <w:rsid w:val="00333F9E"/>
    <w:rsid w:val="00341E43"/>
    <w:rsid w:val="0039405C"/>
    <w:rsid w:val="00396714"/>
    <w:rsid w:val="003A1A4C"/>
    <w:rsid w:val="003D4244"/>
    <w:rsid w:val="003F08FF"/>
    <w:rsid w:val="003F0A2C"/>
    <w:rsid w:val="00426D7E"/>
    <w:rsid w:val="00450B75"/>
    <w:rsid w:val="004547A7"/>
    <w:rsid w:val="004817F1"/>
    <w:rsid w:val="004C6CD3"/>
    <w:rsid w:val="004E4885"/>
    <w:rsid w:val="00501BC7"/>
    <w:rsid w:val="005020B2"/>
    <w:rsid w:val="00593DD9"/>
    <w:rsid w:val="005D28FA"/>
    <w:rsid w:val="005F5125"/>
    <w:rsid w:val="00694F1A"/>
    <w:rsid w:val="006A0AF0"/>
    <w:rsid w:val="006A3B5D"/>
    <w:rsid w:val="006D465E"/>
    <w:rsid w:val="00706787"/>
    <w:rsid w:val="0073004D"/>
    <w:rsid w:val="0073538A"/>
    <w:rsid w:val="00763EA6"/>
    <w:rsid w:val="00766CE9"/>
    <w:rsid w:val="00771092"/>
    <w:rsid w:val="007E24E6"/>
    <w:rsid w:val="00816523"/>
    <w:rsid w:val="008422C1"/>
    <w:rsid w:val="00875929"/>
    <w:rsid w:val="0087666F"/>
    <w:rsid w:val="00885B02"/>
    <w:rsid w:val="008B10B1"/>
    <w:rsid w:val="008F253D"/>
    <w:rsid w:val="00913876"/>
    <w:rsid w:val="009552F4"/>
    <w:rsid w:val="00970317"/>
    <w:rsid w:val="00981CD2"/>
    <w:rsid w:val="009964F4"/>
    <w:rsid w:val="009A0C70"/>
    <w:rsid w:val="009A30C6"/>
    <w:rsid w:val="009C15A3"/>
    <w:rsid w:val="009F560A"/>
    <w:rsid w:val="00A020AE"/>
    <w:rsid w:val="00A405EA"/>
    <w:rsid w:val="00AC5CF3"/>
    <w:rsid w:val="00AD16E8"/>
    <w:rsid w:val="00AD5DF4"/>
    <w:rsid w:val="00AE6B1D"/>
    <w:rsid w:val="00AF75B0"/>
    <w:rsid w:val="00B139F0"/>
    <w:rsid w:val="00B24769"/>
    <w:rsid w:val="00B35CEE"/>
    <w:rsid w:val="00B369CD"/>
    <w:rsid w:val="00B53342"/>
    <w:rsid w:val="00B769AB"/>
    <w:rsid w:val="00B83EC7"/>
    <w:rsid w:val="00BB142E"/>
    <w:rsid w:val="00BB5585"/>
    <w:rsid w:val="00BC36CF"/>
    <w:rsid w:val="00C118B6"/>
    <w:rsid w:val="00C560C8"/>
    <w:rsid w:val="00C9120F"/>
    <w:rsid w:val="00C92100"/>
    <w:rsid w:val="00CA1FBF"/>
    <w:rsid w:val="00CA321E"/>
    <w:rsid w:val="00CA7ACE"/>
    <w:rsid w:val="00CC2401"/>
    <w:rsid w:val="00D10091"/>
    <w:rsid w:val="00D27D3E"/>
    <w:rsid w:val="00D56F47"/>
    <w:rsid w:val="00DD1606"/>
    <w:rsid w:val="00DE0062"/>
    <w:rsid w:val="00DF4AA1"/>
    <w:rsid w:val="00E14D19"/>
    <w:rsid w:val="00E45B45"/>
    <w:rsid w:val="00E5226E"/>
    <w:rsid w:val="00EB363A"/>
    <w:rsid w:val="00EE4BE1"/>
    <w:rsid w:val="00F220BA"/>
    <w:rsid w:val="00F36D25"/>
    <w:rsid w:val="00F70454"/>
    <w:rsid w:val="00FB0765"/>
    <w:rsid w:val="00FB2AE9"/>
    <w:rsid w:val="00FB2FE6"/>
    <w:rsid w:val="00FB43AA"/>
    <w:rsid w:val="00FF7212"/>
    <w:rsid w:val="0B8B3AF5"/>
    <w:rsid w:val="22A739BB"/>
    <w:rsid w:val="334962A4"/>
    <w:rsid w:val="383A4511"/>
    <w:rsid w:val="383F5A78"/>
    <w:rsid w:val="47B61E04"/>
    <w:rsid w:val="545E3442"/>
    <w:rsid w:val="548D1BD2"/>
    <w:rsid w:val="67CD6C38"/>
    <w:rsid w:val="6973738E"/>
    <w:rsid w:val="73ED5BFF"/>
    <w:rsid w:val="785A7926"/>
    <w:rsid w:val="7AF7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8">
    <w:name w:val="Strong"/>
    <w:basedOn w:val="7"/>
    <w:qFormat/>
    <w:uiPriority w:val="22"/>
    <w:rPr>
      <w:b/>
      <w:bCs/>
    </w:rPr>
  </w:style>
  <w:style w:type="table" w:customStyle="1" w:styleId="9">
    <w:name w:val="无格式表格 21"/>
    <w:qFormat/>
    <w:uiPriority w:val="42"/>
    <w:rPr>
      <w:rFonts w:ascii="Calibri" w:hAnsi="Calibri" w:eastAsia="宋体" w:cs="Times New Roman"/>
    </w:rPr>
    <w:tblPr>
      <w:tblBorders>
        <w:top w:val="single" w:color="7E7E7E" w:sz="4" w:space="0"/>
        <w:bottom w:val="single" w:color="7E7E7E" w:sz="4" w:space="0"/>
      </w:tblBorders>
      <w:tblLayout w:type="fixed"/>
      <w:tblCellMar>
        <w:top w:w="0" w:type="dxa"/>
        <w:left w:w="0" w:type="dxa"/>
        <w:bottom w:w="0" w:type="dxa"/>
        <w:right w:w="0" w:type="dxa"/>
      </w:tblCellMar>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font01"/>
    <w:qFormat/>
    <w:uiPriority w:val="0"/>
    <w:rPr>
      <w:rFonts w:hint="eastAsia" w:ascii="宋体" w:hAnsi="宋体" w:eastAsia="宋体" w:cs="宋体"/>
      <w:color w:val="000000"/>
      <w:sz w:val="22"/>
      <w:szCs w:val="22"/>
      <w:u w:val="none"/>
    </w:rPr>
  </w:style>
  <w:style w:type="paragraph" w:styleId="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1466</Words>
  <Characters>8360</Characters>
  <Lines>69</Lines>
  <Paragraphs>19</Paragraphs>
  <TotalTime>1</TotalTime>
  <ScaleCrop>false</ScaleCrop>
  <LinksUpToDate>false</LinksUpToDate>
  <CharactersWithSpaces>9807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2020-09-30T02:38:00Z</dcterms:created>
  <dc:creator>Microsoft</dc:creator>
  <cp:lastModifiedBy>null</cp:lastModifiedBy>
  <cp:lastPrinted>2020-09-29T06:23:00Z</cp:lastPrinted>
  <dcterms:modified xsi:type="dcterms:W3CDTF">2020-09-30T07:59:26Z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