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Toc58394261"/>
      <w:r>
        <w:rPr>
          <w:sz w:val="44"/>
        </w:rPr>
        <mc:AlternateContent>
          <mc:Choice Requires="wps">
            <w:drawing>
              <wp:anchor distT="0" distB="0" distL="114300" distR="114300" simplePos="0" relativeHeight="251658240" behindDoc="0" locked="0" layoutInCell="1" allowOverlap="1">
                <wp:simplePos x="0" y="0"/>
                <wp:positionH relativeFrom="column">
                  <wp:posOffset>-614045</wp:posOffset>
                </wp:positionH>
                <wp:positionV relativeFrom="paragraph">
                  <wp:posOffset>-923290</wp:posOffset>
                </wp:positionV>
                <wp:extent cx="914400" cy="914400"/>
                <wp:effectExtent l="0" t="0" r="0" b="0"/>
                <wp:wrapNone/>
                <wp:docPr id="1" name="文本框 1"/>
                <wp:cNvGraphicFramePr/>
                <a:graphic xmlns:a="http://schemas.openxmlformats.org/drawingml/2006/main">
                  <a:graphicData uri="http://schemas.microsoft.com/office/word/2010/wordprocessingShape">
                    <wps:wsp>
                      <wps:cNvSpPr txBox="1"/>
                      <wps:spPr>
                        <a:xfrm>
                          <a:off x="968375" y="350520"/>
                          <a:ext cx="914400"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5pt;margin-top:-72.7pt;height:72pt;width:72pt;z-index:251658240;mso-width-relative:page;mso-height-relative:page;" fillcolor="#FFFFFF [3201]" filled="t" stroked="f" coordsize="21600,21600" o:gfxdata="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G4zvDVAAAACgEAAA8AAAAAAAAAAQAgAAAAIgAAAGRycy9kb3ducmV2Lnht&#10;bFBLAQIUABQAAAAIAIdO4kDwdxhrNQIAAEoEAAAOAAAAAAAAAAEAIAAAACQBAABkcnMvZTJvRG9j&#10;LnhtbFBLBQYAAAAABgAGAFkBAADLBQAAAAA=&#10;">
                <v:fill on="t" focussize="0,0"/>
                <v:stroke on="f" weight="0.5pt"/>
                <v:imagedata o:title=""/>
                <o:lock v:ext="edit" aspectratio="f"/>
                <v:textbox>
                  <w:txbxContent>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txbxContent>
                </v:textbox>
              </v:shape>
            </w:pict>
          </mc:Fallback>
        </mc:AlternateContent>
      </w:r>
      <w:r>
        <w:rPr>
          <w:rFonts w:hint="eastAsia"/>
          <w:b/>
          <w:sz w:val="44"/>
          <w:szCs w:val="44"/>
        </w:rPr>
        <w:t>深圳市公共住房收购</w:t>
      </w:r>
      <w:bookmarkStart w:id="1" w:name="_GoBack"/>
      <w:bookmarkEnd w:id="1"/>
      <w:r>
        <w:rPr>
          <w:rFonts w:hint="eastAsia"/>
          <w:b/>
          <w:sz w:val="44"/>
          <w:szCs w:val="44"/>
        </w:rPr>
        <w:t>操作规程</w:t>
      </w:r>
      <w:bookmarkEnd w:id="0"/>
    </w:p>
    <w:p>
      <w:pPr>
        <w:jc w:val="center"/>
        <w:rPr>
          <w:rFonts w:hint="eastAsia" w:eastAsiaTheme="minorEastAsia"/>
          <w:b/>
          <w:sz w:val="44"/>
          <w:szCs w:val="44"/>
          <w:lang w:eastAsia="zh-CN"/>
        </w:rPr>
      </w:pPr>
      <w:r>
        <w:rPr>
          <w:rFonts w:hint="eastAsia"/>
          <w:b/>
          <w:sz w:val="44"/>
          <w:szCs w:val="44"/>
          <w:lang w:eastAsia="zh-CN"/>
        </w:rPr>
        <w:t>（征求意见稿）</w:t>
      </w:r>
    </w:p>
    <w:p>
      <w:pPr>
        <w:ind w:firstLine="624" w:firstLineChars="200"/>
        <w:rPr>
          <w:rFonts w:ascii="黑体" w:hAnsi="黑体" w:eastAsia="黑体" w:cs="宋体"/>
          <w:spacing w:val="-4"/>
          <w:kern w:val="0"/>
          <w:sz w:val="32"/>
          <w:szCs w:val="32"/>
        </w:rPr>
      </w:pP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第一条【制定依据】</w:t>
      </w:r>
      <w:r>
        <w:rPr>
          <w:rFonts w:hint="eastAsia" w:ascii="仿宋_GB2312" w:hAnsi="仿宋_GB2312" w:eastAsia="仿宋_GB2312" w:cs="仿宋_GB2312"/>
          <w:spacing w:val="-4"/>
          <w:kern w:val="0"/>
          <w:sz w:val="32"/>
          <w:szCs w:val="32"/>
        </w:rPr>
        <w:t>为规范深圳市公共住房的收购工作，依据《深圳市人民政府关于深化住房制度改革加快建立多主体供给多渠道保障租购并举的住房供应与保障体系的意见》《深圳市人民政府办公厅关于印发深圳市地价测算规则的通知》等相关规定，结合我市实际，制定本规程。</w:t>
      </w: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第二条【适用范围】</w:t>
      </w:r>
      <w:r>
        <w:rPr>
          <w:rFonts w:hint="eastAsia" w:ascii="仿宋_GB2312" w:hAnsi="仿宋_GB2312" w:eastAsia="仿宋_GB2312" w:cs="仿宋_GB2312"/>
          <w:spacing w:val="-4"/>
          <w:kern w:val="0"/>
          <w:sz w:val="32"/>
          <w:szCs w:val="32"/>
        </w:rPr>
        <w:t>本规程适用于市（区）住房主管部门或者其授权单位、人才住房专营机构对社会投资主体建设的且纳入本市住房发展实施计划管理的公共住房的收购活动，土地出让合同中明确收购价格和方式的除外。</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按照不可转让产权方式缴纳相关地价的公共住房（以下简称“出租型公共住房”），其收购价格根据本规程的规定确定；按照可以转让产权方式缴纳相关地价的公共住房（以下简称“出售型公共住房”），其收购价格根据相关规定确定。</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市人民政府与区人民政府之间、各区人民政府之间调配的公共住房，其成本测算可以参考本规程附件计算。</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人才住房专营机构对商品住房的收购活动不适用本规程。</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本规程公共住房是人才住房、安居型商品房及公共租赁住房的统称。</w:t>
      </w: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第三条【收购主体】</w:t>
      </w:r>
      <w:r>
        <w:rPr>
          <w:rFonts w:hint="eastAsia" w:ascii="仿宋_GB2312" w:hAnsi="仿宋_GB2312" w:eastAsia="仿宋_GB2312" w:cs="仿宋_GB2312"/>
          <w:spacing w:val="-4"/>
          <w:kern w:val="0"/>
          <w:sz w:val="32"/>
          <w:szCs w:val="32"/>
        </w:rPr>
        <w:t>市（区）住房主管部门或者其授权单位、人才住房专营机构为收购主体，负责组织实施收购，与社会投资主体签订公共住房收购合同。</w:t>
      </w: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第四条【收购范围】</w:t>
      </w:r>
      <w:r>
        <w:rPr>
          <w:rFonts w:hint="eastAsia" w:ascii="仿宋_GB2312" w:hAnsi="仿宋_GB2312" w:eastAsia="仿宋_GB2312" w:cs="仿宋_GB2312"/>
          <w:spacing w:val="-4"/>
          <w:kern w:val="0"/>
          <w:sz w:val="32"/>
          <w:szCs w:val="32"/>
        </w:rPr>
        <w:t>公共住房收购范围包括公共住房专有部分以及与专有部分对应的共有部分。</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宗地内属于供社区居民使用的社康中心、警务室、幼儿园等公共设施不纳入公共住房收购范围。</w:t>
      </w: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第五条【收购价格构成】</w:t>
      </w:r>
      <w:r>
        <w:rPr>
          <w:rFonts w:hint="eastAsia" w:ascii="仿宋_GB2312" w:hAnsi="仿宋_GB2312" w:eastAsia="仿宋_GB2312" w:cs="仿宋_GB2312"/>
          <w:spacing w:val="-4"/>
          <w:kern w:val="0"/>
          <w:sz w:val="32"/>
          <w:szCs w:val="32"/>
        </w:rPr>
        <w:t>出租型公共住房收购价格构成如下：</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（一）土地成本，指所收购的公共住房实际缴纳的地价；</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（二）建设成本，指项目投资建设所发生的客观平均成本，包含以下费用：</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1.基本建设费用，指建设前期工程费及勘察设计费、建筑安装工程费及设备费、基础设施建设费和公共配套设施建设费及工程建设其他费用等；</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2.管理费，指建设单位在建设期间发生的管理性开支；</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3.法定规费，指物业专项维修资金、竣工测绘费用等规费；</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资金成本，指社会投资主体为公共住房建设筹措资金所发生的银行贷款利息或者自筹资金的货币时间价值。资金成本的计算时间为项目开发期，如在约定交付日前提前支付的资金需扣减相应的货币时间价值。社会投资主体与市（区）住房主管部门、人才住房专营机构在签订收购合同中约定不计资金成本的除外；</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（四）合理利润；</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五）户内装饰装修造价，收购主体或其委托机构按实际装饰装修配置审核户内装饰装修造价，装饰装修造价以审核的结果为准；签订收购合同时，项目未确定实际装饰装修配置的，该部分造价以补充合同形式约定；</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（六）法定税金，指增值税、城市建设维护税、教育费附加及印花税等国家规定的税费；</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（七）收购双方约定的其他费用。</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收购价格不得包括下列费用：</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（一）住宅小区内经营性设施的建设费用；</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（二）开发经营企业留用的办公用房、经营用房的建筑安装费用及应分摊的各种费用；</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（三）各种与公共住房开发经营无关的集资、赞助、捐赠和其他费用；</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（四）各种赔偿金、违约金、滞纳金和罚款；</w:t>
      </w:r>
    </w:p>
    <w:p>
      <w:pPr>
        <w:ind w:firstLine="624" w:firstLineChars="200"/>
        <w:rPr>
          <w:rFonts w:ascii="宋体" w:hAnsi="宋体" w:cs="宋体"/>
          <w:spacing w:val="-4"/>
          <w:kern w:val="0"/>
          <w:sz w:val="32"/>
          <w:szCs w:val="32"/>
        </w:rPr>
      </w:pPr>
      <w:r>
        <w:rPr>
          <w:rFonts w:hint="eastAsia" w:ascii="仿宋_GB2312" w:hAnsi="仿宋_GB2312" w:eastAsia="仿宋_GB2312" w:cs="仿宋_GB2312"/>
          <w:spacing w:val="-4"/>
          <w:kern w:val="0"/>
          <w:sz w:val="32"/>
          <w:szCs w:val="32"/>
        </w:rPr>
        <w:t>（五）按规定已经减免及其他不应计入价格的费用。</w:t>
      </w:r>
    </w:p>
    <w:p>
      <w:pPr>
        <w:ind w:firstLine="640" w:firstLineChars="200"/>
        <w:rPr>
          <w:rFonts w:ascii="宋体" w:hAnsi="宋体" w:cs="宋体"/>
          <w:spacing w:val="-4"/>
          <w:kern w:val="0"/>
          <w:sz w:val="32"/>
          <w:szCs w:val="32"/>
        </w:rPr>
      </w:pPr>
      <w:r>
        <w:rPr>
          <w:rFonts w:hint="eastAsia" w:ascii="黑体" w:hAnsi="宋体" w:eastAsia="黑体" w:cs="宋体"/>
          <w:bCs/>
          <w:kern w:val="0"/>
          <w:sz w:val="32"/>
          <w:szCs w:val="32"/>
        </w:rPr>
        <w:t>第六条</w:t>
      </w:r>
      <w:r>
        <w:rPr>
          <w:rFonts w:hint="eastAsia" w:ascii="黑体" w:hAnsi="黑体" w:eastAsia="黑体" w:cs="宋体"/>
          <w:spacing w:val="-4"/>
          <w:kern w:val="0"/>
          <w:sz w:val="32"/>
          <w:szCs w:val="32"/>
        </w:rPr>
        <w:t>【测算对象】</w:t>
      </w:r>
      <w:r>
        <w:rPr>
          <w:rFonts w:hint="eastAsia" w:ascii="仿宋_GB2312" w:hAnsi="仿宋_GB2312" w:eastAsia="仿宋_GB2312" w:cs="仿宋_GB2312"/>
          <w:spacing w:val="-4"/>
          <w:kern w:val="0"/>
          <w:sz w:val="32"/>
          <w:szCs w:val="32"/>
        </w:rPr>
        <w:t>出租型公共住房的建设成本测算对象包括：</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主体部分及其附属。包括公共住房主体部分以及为使主体功能得以正常发挥所必须的附属及配套设施，如主体土建（含基坑、桩基）工程、公共建筑装修、水暖电气消防以及建筑智能、电梯等安装工程及设备、附属工程等。</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（二）地下室。指地下室建筑及其安装部分、人防工程、地下室车道出入口及其应当分摊的土方及桩基工程。</w:t>
      </w:r>
    </w:p>
    <w:p>
      <w:pPr>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（三）基础设施及公共配套部分。基础设施主要包括小区用地规划红线以内的室外土建、园建、园林绿化及照明，小区管网和智能安装等；公共配套部分包括小区居民共同使用或者共有的附属及配套设施</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rPr>
        <w:t>土地出让合同</w:t>
      </w:r>
      <w:r>
        <w:rPr>
          <w:rFonts w:hint="eastAsia" w:ascii="仿宋_GB2312" w:hAnsi="仿宋_GB2312" w:eastAsia="仿宋_GB2312" w:cs="仿宋_GB2312"/>
          <w:spacing w:val="-4"/>
          <w:kern w:val="0"/>
          <w:sz w:val="32"/>
          <w:szCs w:val="32"/>
          <w:lang w:eastAsia="zh-CN"/>
        </w:rPr>
        <w:t>或其他法规规定</w:t>
      </w:r>
      <w:r>
        <w:rPr>
          <w:rFonts w:hint="eastAsia" w:ascii="仿宋_GB2312" w:hAnsi="仿宋_GB2312" w:eastAsia="仿宋_GB2312" w:cs="仿宋_GB2312"/>
          <w:spacing w:val="-4"/>
          <w:kern w:val="0"/>
          <w:sz w:val="32"/>
          <w:szCs w:val="32"/>
        </w:rPr>
        <w:t>无偿提供给全体业主使用的除外。</w:t>
      </w:r>
    </w:p>
    <w:p>
      <w:pPr>
        <w:ind w:firstLine="624" w:firstLineChars="200"/>
        <w:rPr>
          <w:rFonts w:ascii="仿宋_GB2312" w:hAnsi="宋体" w:cs="宋体"/>
          <w:spacing w:val="-4"/>
          <w:kern w:val="0"/>
          <w:sz w:val="32"/>
          <w:szCs w:val="32"/>
        </w:rPr>
      </w:pPr>
      <w:r>
        <w:rPr>
          <w:rFonts w:hint="eastAsia" w:ascii="黑体" w:hAnsi="黑体" w:eastAsia="黑体" w:cs="宋体"/>
          <w:spacing w:val="-4"/>
          <w:kern w:val="0"/>
          <w:sz w:val="32"/>
          <w:szCs w:val="32"/>
        </w:rPr>
        <w:t>第七条【测算时点】</w:t>
      </w:r>
      <w:r>
        <w:rPr>
          <w:rFonts w:hint="eastAsia" w:ascii="仿宋_GB2312" w:hAnsi="仿宋_GB2312" w:eastAsia="仿宋_GB2312" w:cs="仿宋_GB2312"/>
          <w:spacing w:val="-4"/>
          <w:kern w:val="0"/>
          <w:sz w:val="32"/>
          <w:szCs w:val="32"/>
        </w:rPr>
        <w:t>出租型公共住房收购价格的测算时点按照建设工程施工许可证发证日期确定。对于办理多个施工许可证的项目，测算时点按照包含主体结构工程的施工许可证发证日期确定。</w:t>
      </w: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第八条【收购价格审核】</w:t>
      </w:r>
      <w:r>
        <w:rPr>
          <w:rFonts w:hint="eastAsia" w:ascii="仿宋_GB2312" w:hAnsi="仿宋_GB2312" w:eastAsia="仿宋_GB2312" w:cs="仿宋_GB2312"/>
          <w:spacing w:val="-4"/>
          <w:kern w:val="0"/>
          <w:sz w:val="32"/>
          <w:szCs w:val="32"/>
        </w:rPr>
        <w:t>出租型公共住房取得建设工程施工许可证，且工程进度达到标高±0.00后，项目开发主体根据本规程测算收购价格并报送收购主体。收购主体委托本级建设工程造价管理机构进行价格审核。辖区内未设置建设工程造价管理机构的，收购主体委托工程造价咨询机构对收购价格进行审核。</w:t>
      </w:r>
    </w:p>
    <w:p>
      <w:pPr>
        <w:ind w:firstLine="624" w:firstLineChars="200"/>
        <w:rPr>
          <w:rFonts w:ascii="黑体" w:hAnsi="宋体" w:eastAsia="黑体" w:cs="宋体"/>
          <w:spacing w:val="-4"/>
          <w:kern w:val="0"/>
          <w:sz w:val="32"/>
          <w:szCs w:val="32"/>
        </w:rPr>
      </w:pPr>
      <w:r>
        <w:rPr>
          <w:rFonts w:hint="eastAsia" w:ascii="黑体" w:hAnsi="黑体" w:eastAsia="黑体" w:cs="宋体"/>
          <w:spacing w:val="-4"/>
          <w:kern w:val="0"/>
          <w:sz w:val="32"/>
          <w:szCs w:val="32"/>
        </w:rPr>
        <w:t>第九条【收购合同】</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收购双方确定收购价格后签订公共住房收购合同。</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公共住房收购合同应当包括但不限于下列内容：</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（一）项目概况。包括土地来源、建设规模、项目建设工期、建设内容及标准；</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（二）项目收购。包括收购范围、收购价款、收购款支付、收款账户；</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（三）项目移交与保修。包括项目移交条件、移交时间、移交验收、移交手续、保修责任、保修程序等；</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（四）产权登记。包括初始登记、转移登记、相关税费承担主体等；</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（五）违约责任和争议处理。</w:t>
      </w:r>
    </w:p>
    <w:p>
      <w:pPr>
        <w:ind w:firstLine="468" w:firstLineChars="15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第十条【支付方式】</w:t>
      </w:r>
      <w:r>
        <w:rPr>
          <w:rFonts w:hint="eastAsia" w:ascii="仿宋_GB2312" w:hAnsi="仿宋_GB2312" w:eastAsia="仿宋_GB2312" w:cs="仿宋_GB2312"/>
          <w:spacing w:val="-4"/>
          <w:kern w:val="0"/>
          <w:sz w:val="32"/>
          <w:szCs w:val="32"/>
        </w:rPr>
        <w:t>收购款项按照以下方式支付：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一）收购房源的建筑面积不足5000平方米的。收购出租型公共住房的收购款项在项目移交且产权转移登记至收购主体后，按不超过收购总价95%的标准支付，余款在工程竣工验收合格满二年后支付；收购出售型公共住房的，收购款项在项目移交且产权转移登记至收购主体后按不超过收购总价98%的标准支付，余款在工程竣工验收合格满二年后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（二）收购房源的建筑面积大于等于5000平方米的，收购款项按照下列步骤支付：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1.项目收购范围住宅工程进度达到标高±0.00后且已签订收购合同的，按照不超过收购总价25%的标准支付；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2.项目收购范围住宅的全部主体封顶（建设单位和监理单位盖章确认）后，按照不超过收购总价55%的标准支付；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3.取得竣工验收备案回执后，按照不超过收购总价的90%的标准支付；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4.收购出租型公共住房的收购款项在项目移交且产权转移登记至收购主体后，按不超过收购总价95%的标准支付，余款在工程竣工验收合格满二年后支付；收购出售型公共住房的，收购款项在项目移交且产权转移登记至收购主体后按不超过收购总价98%的标准支付；余款在工程竣工验收合格满二年后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（三）签订收购合同时，户内装饰装修造价未审核确定的，户内装饰装修造价按照补充合同约定支付。</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（四）对于市、区政府之间的房源调剂，在项目移交后三个月内一次性支付。</w:t>
      </w:r>
    </w:p>
    <w:p>
      <w:pPr>
        <w:ind w:firstLine="468" w:firstLineChars="15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第十一条【新旧政策衔接】</w:t>
      </w:r>
      <w:r>
        <w:rPr>
          <w:rFonts w:hint="eastAsia" w:ascii="仿宋_GB2312" w:hAnsi="仿宋_GB2312" w:eastAsia="仿宋_GB2312" w:cs="仿宋_GB2312"/>
          <w:spacing w:val="-4"/>
          <w:kern w:val="0"/>
          <w:sz w:val="32"/>
          <w:szCs w:val="32"/>
        </w:rPr>
        <w:t>本规程实施前，已签订收购合同或者其他涉及收购的协议、市区政府明确收购价格的批复意见等收购项目，按照签定的合同或者其他协议、政府的批复意见继续履行；未签订收购合同或者其他涉及收购的协议且无政府的批复意见等的收购项目，参照本规程确定。</w:t>
      </w:r>
    </w:p>
    <w:p>
      <w:pPr>
        <w:ind w:firstLine="468" w:firstLineChars="15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收购房源的收购价格测算时点在本规程实施前，按照原规程《深圳市保障性住房收购操作规程》（深建规【2018】2号）执行，收购房源的收购价格测算时点在本规程实施前且已按照《深圳市人民政府办公厅关于印发深圳市地价测算规则的通知》（深府办规〔2019〕9号）向市自然资源主管部门缴纳公共住房地价的，按照本规程执行。</w:t>
      </w:r>
    </w:p>
    <w:p>
      <w:pPr>
        <w:ind w:firstLine="624" w:firstLineChars="200"/>
        <w:rPr>
          <w:rFonts w:ascii="仿宋_GB2312" w:hAnsi="仿宋_GB2312" w:eastAsia="仿宋_GB2312" w:cs="仿宋_GB2312"/>
          <w:spacing w:val="-4"/>
          <w:kern w:val="0"/>
          <w:sz w:val="32"/>
          <w:szCs w:val="32"/>
        </w:rPr>
      </w:pPr>
      <w:r>
        <w:rPr>
          <w:rFonts w:hint="eastAsia" w:ascii="黑体" w:hAnsi="黑体" w:eastAsia="黑体" w:cs="宋体"/>
          <w:spacing w:val="-4"/>
          <w:kern w:val="0"/>
          <w:sz w:val="32"/>
          <w:szCs w:val="32"/>
        </w:rPr>
        <w:t>第十二条【政策适用】</w:t>
      </w:r>
      <w:r>
        <w:rPr>
          <w:rFonts w:hint="eastAsia" w:ascii="仿宋_GB2312" w:hAnsi="仿宋_GB2312" w:eastAsia="仿宋_GB2312" w:cs="仿宋_GB2312"/>
          <w:spacing w:val="-4"/>
          <w:kern w:val="0"/>
          <w:sz w:val="32"/>
          <w:szCs w:val="32"/>
        </w:rPr>
        <w:t>本规程及附件对法定规费、法定税金的规定，与法律、法规及上位政策规定不一致时，以法律、法规及上位政策规定为准。</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市住房主管部门可根据法律、法规、政策的变动，结合市场实际情况，会同相关部门适时调整本规程附件所列内容。</w:t>
      </w:r>
    </w:p>
    <w:p>
      <w:pPr>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土地出让合同中明确由政府按成本价回购的公共住房，其成本测算可以参考本规程附件计算。</w:t>
      </w:r>
    </w:p>
    <w:p>
      <w:pPr>
        <w:ind w:firstLine="624" w:firstLineChars="200"/>
        <w:rPr>
          <w:rFonts w:ascii="仿宋_GB2312" w:hAnsi="仿宋_GB2312" w:eastAsia="仿宋_GB2312" w:cs="仿宋_GB2312"/>
          <w:spacing w:val="-4"/>
          <w:kern w:val="0"/>
          <w:sz w:val="32"/>
          <w:szCs w:val="32"/>
        </w:rPr>
        <w:sectPr>
          <w:footerReference r:id="rId3" w:type="default"/>
          <w:pgSz w:w="11906" w:h="16838"/>
          <w:pgMar w:top="1701" w:right="1474" w:bottom="1474" w:left="1474" w:header="720" w:footer="720" w:gutter="0"/>
          <w:cols w:space="720" w:num="1"/>
          <w:docGrid w:type="lines" w:linePitch="312" w:charSpace="0"/>
        </w:sectPr>
      </w:pPr>
      <w:r>
        <w:rPr>
          <w:rFonts w:hint="eastAsia" w:ascii="黑体" w:hAnsi="黑体" w:eastAsia="黑体" w:cs="宋体"/>
          <w:spacing w:val="-4"/>
          <w:kern w:val="0"/>
          <w:sz w:val="32"/>
          <w:szCs w:val="32"/>
        </w:rPr>
        <w:t>第十三条【实施日期】</w:t>
      </w:r>
      <w:r>
        <w:rPr>
          <w:rFonts w:hint="eastAsia" w:ascii="仿宋_GB2312" w:hAnsi="仿宋_GB2312" w:eastAsia="仿宋_GB2312" w:cs="仿宋_GB2312"/>
          <w:spacing w:val="-4"/>
          <w:kern w:val="0"/>
          <w:sz w:val="32"/>
          <w:szCs w:val="32"/>
        </w:rPr>
        <w:t>本规程 年 月 日起实施，有效期3年。</w:t>
      </w:r>
    </w:p>
    <w:p>
      <w:pPr>
        <w:widowControl/>
        <w:jc w:val="left"/>
        <w:rPr>
          <w:rFonts w:ascii="仿宋_GB2312" w:hAnsi="宋体" w:eastAsia="仿宋_GB2312" w:cs="宋体"/>
          <w:b/>
          <w:spacing w:val="-4"/>
          <w:kern w:val="0"/>
          <w:sz w:val="32"/>
          <w:szCs w:val="32"/>
        </w:rPr>
      </w:pPr>
      <w:r>
        <w:rPr>
          <w:rFonts w:hint="eastAsia" w:ascii="仿宋_GB2312" w:hAnsi="宋体" w:eastAsia="仿宋_GB2312" w:cs="宋体"/>
          <w:b/>
          <w:spacing w:val="-4"/>
          <w:kern w:val="0"/>
          <w:sz w:val="32"/>
          <w:szCs w:val="32"/>
        </w:rPr>
        <w:t>附件：</w:t>
      </w:r>
    </w:p>
    <w:p>
      <w:pPr>
        <w:jc w:val="center"/>
        <w:rPr>
          <w:rFonts w:asciiTheme="minorEastAsia" w:hAnsiTheme="minorEastAsia"/>
          <w:b/>
          <w:bCs/>
          <w:spacing w:val="-6"/>
          <w:sz w:val="32"/>
          <w:szCs w:val="32"/>
        </w:rPr>
      </w:pPr>
      <w:r>
        <w:rPr>
          <w:rFonts w:hint="eastAsia" w:asciiTheme="minorEastAsia" w:hAnsiTheme="minorEastAsia"/>
          <w:b/>
          <w:bCs/>
          <w:spacing w:val="-6"/>
          <w:sz w:val="32"/>
          <w:szCs w:val="32"/>
        </w:rPr>
        <w:t>深圳市出租型公共住房收购价格测算指引</w:t>
      </w:r>
    </w:p>
    <w:p>
      <w:pPr>
        <w:autoSpaceDE w:val="0"/>
        <w:ind w:firstLine="624" w:firstLineChars="200"/>
        <w:rPr>
          <w:rFonts w:ascii="仿宋_GB2312" w:hAnsi="仿宋_GB2312"/>
          <w:spacing w:val="-4"/>
          <w:kern w:val="0"/>
          <w:sz w:val="32"/>
          <w:szCs w:val="32"/>
        </w:rPr>
      </w:pP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根据《深圳市公共住房收购操作规程》，结合本市实际情况，制定本指引。</w:t>
      </w: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本指引包括四个部分：《第一部分：土地成本计算方式》、《第二部分：建设成本计算方式》、《第三部分：资金成本计算方式》、《第四部分：合理利润计算方式》、《第五部分：户内装饰装修造价确定原则》、《第六部分：税金计算方式》，每个部分的计算方式都以单位价格计算，采用文字说明与表格相结合的形式，表格所指数据或计算方式等需结合文字说明使用。</w:t>
      </w: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深圳市出租型公共住房收购价格计算公式为：</w:t>
      </w: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收购总价格=公共住房收购面积×单位收购价格</w:t>
      </w: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其中：公共住房收购面积在未有测绘报告的情况下，可采用建设工程规划许可证或土地出让合同中的建筑面积预算，最终以竣工测绘报告的建筑面积为准。</w:t>
      </w: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单位收购价格=土地成本+建设成本+资金成本+合理利润+户内装饰装修造价+法定税金+收购双方约定的其他项目</w:t>
      </w:r>
    </w:p>
    <w:p>
      <w:pPr>
        <w:widowControl/>
        <w:jc w:val="left"/>
        <w:rPr>
          <w:rFonts w:ascii="Times New Roman" w:hAnsi="Times New Roman"/>
          <w:szCs w:val="21"/>
        </w:rPr>
      </w:pPr>
      <w:r>
        <w:br w:type="page"/>
      </w:r>
    </w:p>
    <w:p>
      <w:pPr>
        <w:snapToGrid w:val="0"/>
        <w:jc w:val="center"/>
        <w:rPr>
          <w:rFonts w:ascii="Times New Roman" w:hAnsi="Times New Roman"/>
          <w:szCs w:val="21"/>
        </w:rPr>
      </w:pPr>
    </w:p>
    <w:p>
      <w:pPr>
        <w:snapToGrid w:val="0"/>
        <w:jc w:val="center"/>
        <w:rPr>
          <w:rFonts w:ascii="宋体" w:hAnsi="宋体"/>
          <w:b/>
          <w:bCs/>
          <w:sz w:val="36"/>
          <w:szCs w:val="36"/>
        </w:rPr>
      </w:pPr>
      <w:r>
        <w:rPr>
          <w:rFonts w:hint="eastAsia"/>
        </w:rPr>
        <w:drawing>
          <wp:inline distT="0" distB="0" distL="0" distR="0">
            <wp:extent cx="4892675" cy="4241800"/>
            <wp:effectExtent l="0" t="0" r="317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98029" cy="4246817"/>
                    </a:xfrm>
                    <a:prstGeom prst="rect">
                      <a:avLst/>
                    </a:prstGeom>
                    <a:noFill/>
                    <a:ln>
                      <a:noFill/>
                    </a:ln>
                  </pic:spPr>
                </pic:pic>
              </a:graphicData>
            </a:graphic>
          </wp:inline>
        </w:drawing>
      </w:r>
    </w:p>
    <w:p>
      <w:pPr>
        <w:jc w:val="center"/>
        <w:rPr>
          <w:rFonts w:ascii="宋体" w:hAnsi="宋体"/>
          <w:b/>
          <w:bCs/>
          <w:sz w:val="28"/>
          <w:szCs w:val="28"/>
        </w:rPr>
      </w:pPr>
      <w:r>
        <w:rPr>
          <w:rFonts w:hint="eastAsia" w:ascii="宋体" w:hAnsi="宋体"/>
          <w:b/>
          <w:bCs/>
          <w:sz w:val="28"/>
          <w:szCs w:val="28"/>
        </w:rPr>
        <w:t>单位收购价格构成示意图</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仿宋_GB2312" w:hAnsi="仿宋_GB2312"/>
          <w:kern w:val="0"/>
          <w:szCs w:val="21"/>
        </w:rPr>
      </w:pPr>
      <w:r>
        <w:rPr>
          <w:rFonts w:hint="eastAsia" w:ascii="宋体" w:hAnsi="宋体"/>
          <w:b/>
          <w:bCs/>
          <w:sz w:val="36"/>
          <w:szCs w:val="36"/>
        </w:rPr>
        <w:t>第一部分 土地成本计算方式</w:t>
      </w:r>
    </w:p>
    <w:p>
      <w:pPr>
        <w:autoSpaceDE w:val="0"/>
        <w:ind w:firstLine="184" w:firstLineChars="200"/>
        <w:rPr>
          <w:rFonts w:ascii="仿宋_GB2312" w:hAnsi="仿宋_GB2312" w:eastAsia="仿宋_GB2312"/>
          <w:spacing w:val="-4"/>
          <w:kern w:val="0"/>
          <w:sz w:val="10"/>
          <w:szCs w:val="10"/>
        </w:rPr>
      </w:pPr>
    </w:p>
    <w:p>
      <w:pPr>
        <w:autoSpaceDE w:val="0"/>
        <w:ind w:firstLine="624" w:firstLineChars="200"/>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土地成本以收购房源实际缴纳的楼面地价计算。</w:t>
      </w:r>
    </w:p>
    <w:p>
      <w:pPr>
        <w:jc w:val="center"/>
        <w:rPr>
          <w:rFonts w:ascii="宋体" w:hAnsi="宋体"/>
          <w:b/>
          <w:bCs/>
          <w:sz w:val="28"/>
          <w:szCs w:val="28"/>
        </w:rPr>
      </w:pPr>
    </w:p>
    <w:p>
      <w:pPr>
        <w:jc w:val="center"/>
        <w:rPr>
          <w:rFonts w:ascii="宋体" w:hAnsi="宋体"/>
          <w:b/>
          <w:bCs/>
          <w:sz w:val="28"/>
          <w:szCs w:val="28"/>
        </w:rPr>
      </w:pPr>
    </w:p>
    <w:p>
      <w:pPr>
        <w:jc w:val="center"/>
        <w:rPr>
          <w:rFonts w:ascii="仿宋_GB2312" w:hAnsi="仿宋_GB2312" w:eastAsia="仿宋_GB2312"/>
          <w:spacing w:val="-4"/>
          <w:kern w:val="0"/>
          <w:sz w:val="32"/>
          <w:szCs w:val="32"/>
        </w:rPr>
      </w:pPr>
      <w:r>
        <w:rPr>
          <w:rFonts w:ascii="宋体" w:hAnsi="宋体"/>
          <w:b/>
          <w:bCs/>
          <w:sz w:val="36"/>
          <w:szCs w:val="36"/>
        </w:rPr>
        <w:br w:type="page"/>
      </w:r>
    </w:p>
    <w:p>
      <w:pPr>
        <w:jc w:val="center"/>
        <w:rPr>
          <w:rFonts w:ascii="宋体" w:hAnsi="宋体"/>
          <w:b/>
          <w:bCs/>
          <w:sz w:val="36"/>
          <w:szCs w:val="36"/>
        </w:rPr>
      </w:pPr>
      <w:r>
        <w:rPr>
          <w:rFonts w:hint="eastAsia" w:ascii="宋体" w:hAnsi="宋体"/>
          <w:b/>
          <w:bCs/>
          <w:sz w:val="36"/>
          <w:szCs w:val="36"/>
        </w:rPr>
        <w:t>第二部分 建设成本计算方式</w:t>
      </w:r>
    </w:p>
    <w:p>
      <w:pPr>
        <w:autoSpaceDE w:val="0"/>
        <w:ind w:firstLine="624" w:firstLineChars="200"/>
        <w:rPr>
          <w:rFonts w:ascii="仿宋_GB2312" w:hAnsi="仿宋_GB2312" w:eastAsia="仿宋_GB2312"/>
          <w:spacing w:val="-4"/>
          <w:kern w:val="0"/>
          <w:sz w:val="32"/>
          <w:szCs w:val="32"/>
        </w:rPr>
      </w:pPr>
      <w:r>
        <w:rPr>
          <w:rFonts w:ascii="仿宋_GB2312" w:hAnsi="仿宋_GB2312" w:eastAsia="仿宋_GB2312"/>
          <w:spacing w:val="-4"/>
          <w:kern w:val="0"/>
          <w:sz w:val="32"/>
          <w:szCs w:val="32"/>
        </w:rPr>
        <w:t>建设成本=基本建设费+管理费+法定规费。</w:t>
      </w:r>
    </w:p>
    <w:p>
      <w:pPr>
        <w:jc w:val="center"/>
        <w:rPr>
          <w:rFonts w:ascii="宋体" w:hAnsi="宋体"/>
          <w:b/>
          <w:bCs/>
          <w:sz w:val="28"/>
          <w:szCs w:val="28"/>
        </w:rPr>
      </w:pPr>
      <w:r>
        <w:rPr>
          <w:rFonts w:hint="eastAsia" w:ascii="宋体" w:hAnsi="宋体"/>
          <w:b/>
          <w:bCs/>
          <w:sz w:val="28"/>
          <w:szCs w:val="28"/>
        </w:rPr>
        <w:t>Ⅰ 基本建设费</w:t>
      </w:r>
    </w:p>
    <w:p>
      <w:pPr>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基本建设费=建设前期工程及勘察设计费+（建筑安装工程及设备费+基础设施建设费与公共配套建设费）×（测算时点当月造价指数/2011年11月造价指数）×（1-下浮率）+其他费用</w:t>
      </w:r>
    </w:p>
    <w:tbl>
      <w:tblPr>
        <w:tblStyle w:val="20"/>
        <w:tblW w:w="10196" w:type="dxa"/>
        <w:jc w:val="center"/>
        <w:tblInd w:w="0" w:type="dxa"/>
        <w:tblLayout w:type="fixed"/>
        <w:tblCellMar>
          <w:top w:w="0" w:type="dxa"/>
          <w:left w:w="108" w:type="dxa"/>
          <w:bottom w:w="0" w:type="dxa"/>
          <w:right w:w="108" w:type="dxa"/>
        </w:tblCellMar>
      </w:tblPr>
      <w:tblGrid>
        <w:gridCol w:w="411"/>
        <w:gridCol w:w="1090"/>
        <w:gridCol w:w="1908"/>
        <w:gridCol w:w="6787"/>
      </w:tblGrid>
      <w:tr>
        <w:tblPrEx>
          <w:tblLayout w:type="fixed"/>
          <w:tblCellMar>
            <w:top w:w="0" w:type="dxa"/>
            <w:left w:w="108" w:type="dxa"/>
            <w:bottom w:w="0" w:type="dxa"/>
            <w:right w:w="108" w:type="dxa"/>
          </w:tblCellMar>
        </w:tblPrEx>
        <w:trPr>
          <w:trHeight w:val="510"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pStyle w:val="8"/>
              <w:autoSpaceDE w:val="0"/>
              <w:snapToGrid w:val="0"/>
              <w:jc w:val="center"/>
              <w:rPr>
                <w:rFonts w:ascii="黑体" w:hAnsi="黑体" w:eastAsia="黑体"/>
              </w:rPr>
            </w:pPr>
            <w:r>
              <w:rPr>
                <w:rFonts w:hint="eastAsia" w:ascii="黑体" w:hAnsi="黑体" w:eastAsia="黑体"/>
              </w:rPr>
              <w:t>序号</w:t>
            </w:r>
          </w:p>
        </w:tc>
        <w:tc>
          <w:tcPr>
            <w:tcW w:w="1090" w:type="dxa"/>
            <w:tcBorders>
              <w:top w:val="single" w:color="auto" w:sz="4" w:space="0"/>
              <w:left w:val="nil"/>
              <w:bottom w:val="single" w:color="auto" w:sz="4" w:space="0"/>
              <w:right w:val="single" w:color="auto" w:sz="4" w:space="0"/>
            </w:tcBorders>
            <w:vAlign w:val="center"/>
          </w:tcPr>
          <w:p>
            <w:pPr>
              <w:pStyle w:val="8"/>
              <w:autoSpaceDE w:val="0"/>
              <w:snapToGrid w:val="0"/>
              <w:jc w:val="center"/>
              <w:rPr>
                <w:rFonts w:ascii="黑体" w:hAnsi="黑体" w:eastAsia="黑体"/>
              </w:rPr>
            </w:pPr>
            <w:r>
              <w:rPr>
                <w:rFonts w:hint="eastAsia" w:ascii="黑体" w:hAnsi="黑体" w:eastAsia="黑体"/>
              </w:rPr>
              <w:t>费用</w:t>
            </w:r>
          </w:p>
          <w:p>
            <w:pPr>
              <w:pStyle w:val="8"/>
              <w:autoSpaceDE w:val="0"/>
              <w:snapToGrid w:val="0"/>
              <w:jc w:val="center"/>
              <w:rPr>
                <w:rFonts w:ascii="黑体" w:hAnsi="黑体" w:eastAsia="黑体"/>
              </w:rPr>
            </w:pPr>
            <w:r>
              <w:rPr>
                <w:rFonts w:hint="eastAsia" w:ascii="黑体" w:hAnsi="黑体" w:eastAsia="黑体"/>
              </w:rPr>
              <w:t>名称</w:t>
            </w:r>
          </w:p>
        </w:tc>
        <w:tc>
          <w:tcPr>
            <w:tcW w:w="1908" w:type="dxa"/>
            <w:tcBorders>
              <w:top w:val="single" w:color="auto" w:sz="4" w:space="0"/>
              <w:left w:val="nil"/>
              <w:bottom w:val="single" w:color="auto" w:sz="4" w:space="0"/>
              <w:right w:val="single" w:color="auto" w:sz="4" w:space="0"/>
            </w:tcBorders>
            <w:vAlign w:val="center"/>
          </w:tcPr>
          <w:p>
            <w:pPr>
              <w:pStyle w:val="8"/>
              <w:autoSpaceDE w:val="0"/>
              <w:snapToGrid w:val="0"/>
              <w:jc w:val="center"/>
              <w:rPr>
                <w:rFonts w:ascii="黑体" w:hAnsi="黑体" w:eastAsia="黑体"/>
              </w:rPr>
            </w:pPr>
            <w:r>
              <w:rPr>
                <w:rFonts w:hint="eastAsia" w:ascii="黑体" w:hAnsi="黑体" w:eastAsia="黑体"/>
              </w:rPr>
              <w:t>计算方式</w:t>
            </w:r>
          </w:p>
        </w:tc>
        <w:tc>
          <w:tcPr>
            <w:tcW w:w="6787" w:type="dxa"/>
            <w:tcBorders>
              <w:top w:val="single" w:color="auto" w:sz="4" w:space="0"/>
              <w:left w:val="nil"/>
              <w:bottom w:val="single" w:color="auto" w:sz="4" w:space="0"/>
              <w:right w:val="single" w:color="auto" w:sz="4" w:space="0"/>
            </w:tcBorders>
            <w:vAlign w:val="center"/>
          </w:tcPr>
          <w:p>
            <w:pPr>
              <w:pStyle w:val="8"/>
              <w:autoSpaceDE w:val="0"/>
              <w:snapToGrid w:val="0"/>
              <w:jc w:val="center"/>
              <w:rPr>
                <w:rFonts w:ascii="黑体" w:hAnsi="黑体" w:eastAsia="黑体"/>
              </w:rPr>
            </w:pPr>
            <w:r>
              <w:rPr>
                <w:rFonts w:hint="eastAsia" w:ascii="黑体" w:hAnsi="黑体" w:eastAsia="黑体"/>
              </w:rPr>
              <w:t>包括内容</w:t>
            </w:r>
          </w:p>
        </w:tc>
      </w:tr>
      <w:tr>
        <w:tblPrEx>
          <w:tblLayout w:type="fixed"/>
          <w:tblCellMar>
            <w:top w:w="0" w:type="dxa"/>
            <w:left w:w="108" w:type="dxa"/>
            <w:bottom w:w="0" w:type="dxa"/>
            <w:right w:w="108" w:type="dxa"/>
          </w:tblCellMar>
        </w:tblPrEx>
        <w:trPr>
          <w:trHeight w:val="510" w:hRule="atLeast"/>
          <w:jc w:val="center"/>
        </w:trPr>
        <w:tc>
          <w:tcPr>
            <w:tcW w:w="411"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rPr>
            </w:pPr>
            <w:r>
              <w:rPr>
                <w:rFonts w:hint="eastAsia" w:ascii="仿宋_GB2312" w:hAnsi="仿宋_GB2312" w:eastAsia="仿宋_GB2312" w:cs="仿宋_GB2312"/>
                <w:kern w:val="0"/>
              </w:rPr>
              <w:t>1</w:t>
            </w:r>
          </w:p>
        </w:tc>
        <w:tc>
          <w:tcPr>
            <w:tcW w:w="1090" w:type="dxa"/>
            <w:tcBorders>
              <w:top w:val="nil"/>
              <w:left w:val="nil"/>
              <w:bottom w:val="single" w:color="auto" w:sz="4" w:space="0"/>
              <w:right w:val="single" w:color="auto" w:sz="4" w:space="0"/>
            </w:tcBorders>
            <w:vAlign w:val="center"/>
          </w:tcPr>
          <w:p>
            <w:pPr>
              <w:widowControl/>
              <w:snapToGrid w:val="0"/>
              <w:rPr>
                <w:rFonts w:ascii="仿宋_GB2312" w:hAnsi="仿宋_GB2312" w:eastAsia="仿宋_GB2312" w:cs="仿宋_GB2312"/>
                <w:kern w:val="0"/>
              </w:rPr>
            </w:pPr>
            <w:r>
              <w:rPr>
                <w:rFonts w:hint="eastAsia" w:ascii="仿宋_GB2312" w:hAnsi="仿宋_GB2312" w:eastAsia="仿宋_GB2312" w:cs="仿宋_GB2312"/>
                <w:kern w:val="0"/>
              </w:rPr>
              <w:t>建设前期工程及勘察设计费</w:t>
            </w:r>
          </w:p>
        </w:tc>
        <w:tc>
          <w:tcPr>
            <w:tcW w:w="1908" w:type="dxa"/>
            <w:tcBorders>
              <w:top w:val="nil"/>
              <w:left w:val="nil"/>
              <w:bottom w:val="single" w:color="auto" w:sz="4" w:space="0"/>
              <w:right w:val="single" w:color="auto" w:sz="4" w:space="0"/>
            </w:tcBorders>
            <w:vAlign w:val="center"/>
          </w:tcPr>
          <w:p>
            <w:pPr>
              <w:widowControl/>
              <w:snapToGrid w:val="0"/>
              <w:rPr>
                <w:rFonts w:ascii="仿宋_GB2312" w:hAnsi="仿宋_GB2312" w:eastAsia="仿宋_GB2312" w:cs="仿宋_GB2312"/>
                <w:kern w:val="0"/>
              </w:rPr>
            </w:pPr>
            <w:r>
              <w:rPr>
                <w:rFonts w:hint="eastAsia" w:ascii="仿宋_GB2312" w:hAnsi="仿宋_GB2312" w:eastAsia="仿宋_GB2312" w:cs="仿宋_GB2312"/>
                <w:kern w:val="0"/>
              </w:rPr>
              <w:t>(建筑安装工程费及设备费+基础设施建设费与公共配套建设费)×6%(或4.6%或4.8%)</w:t>
            </w:r>
          </w:p>
        </w:tc>
        <w:tc>
          <w:tcPr>
            <w:tcW w:w="6787" w:type="dxa"/>
            <w:tcBorders>
              <w:top w:val="nil"/>
              <w:left w:val="nil"/>
              <w:bottom w:val="single" w:color="auto" w:sz="4" w:space="0"/>
              <w:right w:val="single" w:color="auto" w:sz="4" w:space="0"/>
            </w:tcBorders>
            <w:vAlign w:val="center"/>
          </w:tcPr>
          <w:p>
            <w:pPr>
              <w:widowControl/>
              <w:snapToGrid w:val="0"/>
              <w:jc w:val="left"/>
              <w:rPr>
                <w:rFonts w:ascii="仿宋_GB2312" w:hAnsi="仿宋_GB2312" w:eastAsia="仿宋_GB2312" w:cs="仿宋_GB2312"/>
                <w:kern w:val="0"/>
              </w:rPr>
            </w:pPr>
            <w:r>
              <w:rPr>
                <w:rFonts w:hint="eastAsia" w:ascii="仿宋_GB2312" w:hAnsi="仿宋_GB2312" w:eastAsia="仿宋_GB2312" w:cs="仿宋_GB2312"/>
                <w:kern w:val="0"/>
              </w:rPr>
              <w:t>建设前期工程及勘察设计费包括前期工作咨询费、环境影响评价费、水土保持评价费、招标代理服务费与工程交易服务费、勘察设计费及施工图审查费、工程造价咨询费、雷电风险评估费、交通影响评价，以及施工通水、通电、通路及场地平整、苗木迁移、临时占用绿地费、路口开设等开发项目前期发生的所有费用。</w:t>
            </w:r>
          </w:p>
        </w:tc>
      </w:tr>
      <w:tr>
        <w:tblPrEx>
          <w:tblLayout w:type="fixed"/>
          <w:tblCellMar>
            <w:top w:w="0" w:type="dxa"/>
            <w:left w:w="108" w:type="dxa"/>
            <w:bottom w:w="0" w:type="dxa"/>
            <w:right w:w="108" w:type="dxa"/>
          </w:tblCellMar>
        </w:tblPrEx>
        <w:trPr>
          <w:trHeight w:val="510" w:hRule="atLeast"/>
          <w:jc w:val="center"/>
        </w:trPr>
        <w:tc>
          <w:tcPr>
            <w:tcW w:w="411" w:type="dxa"/>
            <w:tcBorders>
              <w:top w:val="nil"/>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rPr>
            </w:pPr>
            <w:r>
              <w:rPr>
                <w:rFonts w:hint="eastAsia" w:ascii="仿宋_GB2312" w:hAnsi="仿宋_GB2312" w:eastAsia="仿宋_GB2312" w:cs="仿宋_GB2312"/>
                <w:kern w:val="0"/>
              </w:rPr>
              <w:t>2</w:t>
            </w:r>
          </w:p>
        </w:tc>
        <w:tc>
          <w:tcPr>
            <w:tcW w:w="1090" w:type="dxa"/>
            <w:tcBorders>
              <w:top w:val="nil"/>
              <w:left w:val="nil"/>
              <w:bottom w:val="single" w:color="auto" w:sz="4" w:space="0"/>
              <w:right w:val="single" w:color="auto" w:sz="4" w:space="0"/>
            </w:tcBorders>
            <w:vAlign w:val="center"/>
          </w:tcPr>
          <w:p>
            <w:pPr>
              <w:widowControl/>
              <w:snapToGrid w:val="0"/>
              <w:rPr>
                <w:rFonts w:ascii="仿宋_GB2312" w:hAnsi="仿宋_GB2312" w:eastAsia="仿宋_GB2312" w:cs="仿宋_GB2312"/>
                <w:kern w:val="0"/>
              </w:rPr>
            </w:pPr>
            <w:r>
              <w:rPr>
                <w:rFonts w:hint="eastAsia" w:ascii="仿宋_GB2312" w:hAnsi="仿宋_GB2312" w:eastAsia="仿宋_GB2312" w:cs="仿宋_GB2312"/>
                <w:kern w:val="0"/>
              </w:rPr>
              <w:t>建筑安装工程及设备费</w:t>
            </w:r>
          </w:p>
        </w:tc>
        <w:tc>
          <w:tcPr>
            <w:tcW w:w="1908" w:type="dxa"/>
            <w:tcBorders>
              <w:top w:val="nil"/>
              <w:left w:val="nil"/>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rPr>
            </w:pPr>
            <w:r>
              <w:rPr>
                <w:rFonts w:hint="eastAsia" w:ascii="仿宋_GB2312" w:hAnsi="仿宋_GB2312" w:eastAsia="仿宋_GB2312" w:cs="仿宋_GB2312"/>
                <w:kern w:val="0"/>
              </w:rPr>
              <w:t>见表1-1</w:t>
            </w:r>
          </w:p>
        </w:tc>
        <w:tc>
          <w:tcPr>
            <w:tcW w:w="6787" w:type="dxa"/>
            <w:tcBorders>
              <w:top w:val="nil"/>
              <w:left w:val="nil"/>
              <w:bottom w:val="single" w:color="auto" w:sz="4" w:space="0"/>
              <w:right w:val="single" w:color="auto" w:sz="4" w:space="0"/>
            </w:tcBorders>
            <w:vAlign w:val="center"/>
          </w:tcPr>
          <w:p>
            <w:pPr>
              <w:widowControl/>
              <w:snapToGrid w:val="0"/>
              <w:jc w:val="left"/>
              <w:rPr>
                <w:rFonts w:ascii="仿宋_GB2312" w:hAnsi="仿宋_GB2312" w:eastAsia="仿宋_GB2312" w:cs="仿宋_GB2312"/>
                <w:kern w:val="0"/>
              </w:rPr>
            </w:pPr>
            <w:r>
              <w:rPr>
                <w:rFonts w:hint="eastAsia" w:ascii="仿宋_GB2312" w:hAnsi="仿宋_GB2312" w:eastAsia="仿宋_GB2312" w:cs="仿宋_GB2312"/>
                <w:kern w:val="0"/>
              </w:rPr>
              <w:t>包括房屋主体部分的土建（含基坑、桩基）工程费、住房公共区域装修、水暖电、燃气、建筑智能、消防、电梯等安装工程费及设备费、附属工程费等，以及在施工过程中因设计变更等增加合同价款和合理的人工、材料价差、施工过程所发生的措施费、检验检测、监测费及规费、保险费等。</w:t>
            </w:r>
          </w:p>
        </w:tc>
      </w:tr>
      <w:tr>
        <w:tblPrEx>
          <w:tblLayout w:type="fixed"/>
          <w:tblCellMar>
            <w:top w:w="0" w:type="dxa"/>
            <w:left w:w="108" w:type="dxa"/>
            <w:bottom w:w="0" w:type="dxa"/>
            <w:right w:w="108" w:type="dxa"/>
          </w:tblCellMar>
        </w:tblPrEx>
        <w:trPr>
          <w:trHeight w:val="510"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rPr>
            </w:pPr>
            <w:r>
              <w:rPr>
                <w:rFonts w:hint="eastAsia" w:ascii="仿宋_GB2312" w:hAnsi="仿宋_GB2312" w:eastAsia="仿宋_GB2312" w:cs="仿宋_GB2312"/>
                <w:kern w:val="0"/>
              </w:rPr>
              <w:t>3</w:t>
            </w:r>
          </w:p>
        </w:tc>
        <w:tc>
          <w:tcPr>
            <w:tcW w:w="1090" w:type="dxa"/>
            <w:tcBorders>
              <w:top w:val="single" w:color="auto" w:sz="4" w:space="0"/>
              <w:left w:val="nil"/>
              <w:bottom w:val="single" w:color="auto" w:sz="4" w:space="0"/>
              <w:right w:val="single" w:color="auto" w:sz="4" w:space="0"/>
            </w:tcBorders>
            <w:vAlign w:val="center"/>
          </w:tcPr>
          <w:p>
            <w:pPr>
              <w:widowControl/>
              <w:snapToGrid w:val="0"/>
              <w:rPr>
                <w:rFonts w:ascii="仿宋_GB2312" w:hAnsi="仿宋_GB2312" w:eastAsia="仿宋_GB2312" w:cs="仿宋_GB2312"/>
                <w:kern w:val="0"/>
              </w:rPr>
            </w:pPr>
            <w:r>
              <w:rPr>
                <w:rFonts w:hint="eastAsia" w:ascii="仿宋_GB2312" w:hAnsi="仿宋_GB2312" w:eastAsia="仿宋_GB2312" w:cs="仿宋_GB2312"/>
                <w:kern w:val="0"/>
              </w:rPr>
              <w:t>基础设施建设费与公共配套建设费</w:t>
            </w:r>
          </w:p>
        </w:tc>
        <w:tc>
          <w:tcPr>
            <w:tcW w:w="1908"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kern w:val="0"/>
              </w:rPr>
            </w:pPr>
            <w:r>
              <w:rPr>
                <w:rFonts w:hint="eastAsia" w:ascii="仿宋_GB2312" w:hAnsi="仿宋_GB2312" w:eastAsia="仿宋_GB2312" w:cs="仿宋_GB2312"/>
                <w:kern w:val="0"/>
              </w:rPr>
              <w:t>建筑安装工程及设备费×5%</w:t>
            </w:r>
          </w:p>
        </w:tc>
        <w:tc>
          <w:tcPr>
            <w:tcW w:w="6787" w:type="dxa"/>
            <w:tcBorders>
              <w:top w:val="single" w:color="auto" w:sz="4" w:space="0"/>
              <w:left w:val="nil"/>
              <w:bottom w:val="single" w:color="auto" w:sz="4" w:space="0"/>
              <w:right w:val="single" w:color="auto" w:sz="4" w:space="0"/>
            </w:tcBorders>
            <w:vAlign w:val="center"/>
          </w:tcPr>
          <w:p>
            <w:pPr>
              <w:widowControl/>
              <w:snapToGrid w:val="0"/>
              <w:jc w:val="left"/>
              <w:rPr>
                <w:rFonts w:ascii="仿宋_GB2312" w:hAnsi="仿宋_GB2312" w:eastAsia="仿宋_GB2312" w:cs="仿宋_GB2312"/>
                <w:kern w:val="0"/>
              </w:rPr>
            </w:pPr>
            <w:r>
              <w:rPr>
                <w:rFonts w:hint="eastAsia" w:ascii="仿宋_GB2312" w:hAnsi="仿宋_GB2312" w:eastAsia="仿宋_GB2312" w:cs="仿宋_GB2312"/>
                <w:kern w:val="0"/>
              </w:rPr>
              <w:t>基础设施建设包括：（1）园林绿化，其苗木种植是指乔木、灌木及地被搭配种植，主要苗木的规格不得低于以下标准：乔木胸径6-7cm、灌木苗高*冠幅100*80 cm、花坛苗高*冠幅20*15 cm，且乔灌木种植面积占绿化面积不得低于15%。（2）社区智能，通信系统设备安装，监控系统安装，有线电视系统设备安装、停车场管理系统及室外交通设施等所有室外智能线路铺设及设备安装。（3）社区管网，室外所有管道安装，阀门、水表安装、阀门井制作 ；（4）</w:t>
            </w:r>
            <w:r>
              <w:rPr>
                <w:rFonts w:hint="eastAsia" w:ascii="仿宋_GB2312" w:hAnsi="仿宋_GB2312" w:eastAsia="仿宋_GB2312" w:cs="仿宋_GB2312"/>
              </w:rPr>
              <w:t>室外土建、园建及照明：包括</w:t>
            </w:r>
            <w:r>
              <w:rPr>
                <w:rFonts w:hint="eastAsia" w:ascii="仿宋_GB2312" w:hAnsi="仿宋_GB2312" w:eastAsia="仿宋_GB2312" w:cs="仿宋_GB2312"/>
                <w:kern w:val="0"/>
              </w:rPr>
              <w:t>室外道路（包括消防车道）、绿化种植土回填、室外铺装、挡墙、围墙、边坡、标识系统、照明、休闲活动场所等所有室外土建、园建。</w:t>
            </w:r>
          </w:p>
          <w:p>
            <w:pPr>
              <w:widowControl/>
              <w:snapToGrid w:val="0"/>
              <w:jc w:val="left"/>
              <w:rPr>
                <w:rFonts w:ascii="仿宋_GB2312" w:hAnsi="仿宋_GB2312" w:eastAsia="仿宋_GB2312" w:cs="仿宋_GB2312"/>
              </w:rPr>
            </w:pPr>
            <w:r>
              <w:rPr>
                <w:rFonts w:hint="eastAsia" w:ascii="仿宋_GB2312" w:hAnsi="仿宋_GB2312" w:eastAsia="仿宋_GB2312" w:cs="仿宋_GB2312"/>
              </w:rPr>
              <w:t>公共配套设施建设</w:t>
            </w:r>
            <w:r>
              <w:rPr>
                <w:rFonts w:hint="eastAsia" w:ascii="仿宋_GB2312" w:hAnsi="仿宋_GB2312" w:eastAsia="仿宋_GB2312" w:cs="仿宋_GB2312"/>
                <w:kern w:val="0"/>
              </w:rPr>
              <w:t>包括小区居民共同使用或建后产权归全体业主共有的附属及配套设施如</w:t>
            </w:r>
            <w:r>
              <w:rPr>
                <w:rFonts w:hint="eastAsia" w:ascii="仿宋_GB2312" w:hAnsi="仿宋_GB2312" w:eastAsia="仿宋_GB2312" w:cs="仿宋_GB2312"/>
              </w:rPr>
              <w:t>设备用房、垃圾收集站、游泳池、网球场、篮球场等。</w:t>
            </w:r>
          </w:p>
          <w:p>
            <w:pPr>
              <w:widowControl/>
              <w:snapToGrid w:val="0"/>
              <w:jc w:val="left"/>
              <w:rPr>
                <w:rFonts w:ascii="仿宋_GB2312" w:hAnsi="仿宋_GB2312" w:eastAsia="仿宋_GB2312" w:cs="仿宋_GB2312"/>
              </w:rPr>
            </w:pPr>
            <w:r>
              <w:rPr>
                <w:rFonts w:hint="eastAsia" w:ascii="仿宋_GB2312" w:hAnsi="仿宋_GB2312" w:eastAsia="仿宋_GB2312" w:cs="仿宋_GB2312"/>
                <w:kern w:val="0"/>
              </w:rPr>
              <w:t>基础设施建设费与公共配套建设费包括以上所有基础设施及公共配套的建设以及在建设过程中因设计变更等增加合同价款和合理的材料价差、施工过程所发生的检验检测、监测费及规费、保险费等。</w:t>
            </w:r>
          </w:p>
        </w:tc>
      </w:tr>
      <w:tr>
        <w:tblPrEx>
          <w:tblLayout w:type="fixed"/>
          <w:tblCellMar>
            <w:top w:w="0" w:type="dxa"/>
            <w:left w:w="108" w:type="dxa"/>
            <w:bottom w:w="0" w:type="dxa"/>
            <w:right w:w="108" w:type="dxa"/>
          </w:tblCellMar>
        </w:tblPrEx>
        <w:trPr>
          <w:trHeight w:val="510"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仿宋_GB2312" w:eastAsia="仿宋_GB2312" w:cs="仿宋_GB2312"/>
                <w:kern w:val="0"/>
              </w:rPr>
            </w:pPr>
            <w:r>
              <w:rPr>
                <w:rFonts w:hint="eastAsia" w:ascii="仿宋_GB2312" w:hAnsi="仿宋_GB2312" w:eastAsia="仿宋_GB2312" w:cs="仿宋_GB2312"/>
                <w:kern w:val="0"/>
              </w:rPr>
              <w:t>4</w:t>
            </w:r>
          </w:p>
        </w:tc>
        <w:tc>
          <w:tcPr>
            <w:tcW w:w="1090" w:type="dxa"/>
            <w:tcBorders>
              <w:top w:val="single" w:color="auto" w:sz="4" w:space="0"/>
              <w:left w:val="nil"/>
              <w:bottom w:val="single" w:color="auto" w:sz="4" w:space="0"/>
              <w:right w:val="single" w:color="auto" w:sz="4" w:space="0"/>
            </w:tcBorders>
            <w:vAlign w:val="center"/>
          </w:tcPr>
          <w:p>
            <w:pPr>
              <w:widowControl/>
              <w:snapToGrid w:val="0"/>
              <w:rPr>
                <w:rFonts w:ascii="仿宋_GB2312" w:hAnsi="仿宋_GB2312" w:eastAsia="仿宋_GB2312" w:cs="仿宋_GB2312"/>
                <w:kern w:val="0"/>
              </w:rPr>
            </w:pPr>
            <w:r>
              <w:rPr>
                <w:rFonts w:hint="eastAsia" w:ascii="仿宋_GB2312" w:hAnsi="仿宋_GB2312" w:eastAsia="仿宋_GB2312" w:cs="仿宋_GB2312"/>
                <w:kern w:val="0"/>
              </w:rPr>
              <w:t>其他费用</w:t>
            </w:r>
          </w:p>
        </w:tc>
        <w:tc>
          <w:tcPr>
            <w:tcW w:w="1908" w:type="dxa"/>
            <w:tcBorders>
              <w:top w:val="single" w:color="auto" w:sz="4" w:space="0"/>
              <w:left w:val="nil"/>
              <w:bottom w:val="single" w:color="auto" w:sz="4" w:space="0"/>
              <w:right w:val="single" w:color="auto" w:sz="4" w:space="0"/>
            </w:tcBorders>
            <w:vAlign w:val="center"/>
          </w:tcPr>
          <w:p>
            <w:pPr>
              <w:widowControl/>
              <w:snapToGrid w:val="0"/>
              <w:jc w:val="center"/>
              <w:outlineLvl w:val="0"/>
              <w:rPr>
                <w:rFonts w:ascii="仿宋_GB2312" w:hAnsi="仿宋_GB2312" w:eastAsia="仿宋_GB2312" w:cs="仿宋_GB2312"/>
                <w:kern w:val="0"/>
              </w:rPr>
            </w:pPr>
          </w:p>
        </w:tc>
        <w:tc>
          <w:tcPr>
            <w:tcW w:w="6787" w:type="dxa"/>
            <w:tcBorders>
              <w:top w:val="single" w:color="auto" w:sz="4" w:space="0"/>
              <w:left w:val="nil"/>
              <w:bottom w:val="single" w:color="auto" w:sz="4" w:space="0"/>
              <w:right w:val="single" w:color="auto" w:sz="4" w:space="0"/>
            </w:tcBorders>
            <w:vAlign w:val="center"/>
          </w:tcPr>
          <w:p>
            <w:pPr>
              <w:widowControl/>
              <w:snapToGrid w:val="0"/>
              <w:jc w:val="left"/>
              <w:rPr>
                <w:rFonts w:ascii="仿宋_GB2312" w:hAnsi="仿宋_GB2312" w:eastAsia="仿宋_GB2312" w:cs="仿宋_GB2312"/>
                <w:kern w:val="0"/>
              </w:rPr>
            </w:pPr>
            <w:r>
              <w:rPr>
                <w:rFonts w:hint="eastAsia" w:ascii="仿宋_GB2312" w:hAnsi="仿宋_GB2312" w:eastAsia="仿宋_GB2312" w:cs="仿宋_GB2312"/>
                <w:kern w:val="0"/>
              </w:rPr>
              <w:t>见表1-2</w:t>
            </w:r>
          </w:p>
        </w:tc>
      </w:tr>
    </w:tbl>
    <w:p>
      <w:pPr>
        <w:snapToGrid w:val="0"/>
        <w:rPr>
          <w:rFonts w:ascii="仿宋_GB2312" w:hAnsi="仿宋_GB2312" w:eastAsia="仿宋_GB2312" w:cs="仿宋_GB2312"/>
          <w:kern w:val="0"/>
        </w:rPr>
      </w:pPr>
      <w:r>
        <w:rPr>
          <w:rFonts w:hint="eastAsia" w:ascii="仿宋_GB2312" w:hAnsi="仿宋_GB2312" w:eastAsia="仿宋_GB2312" w:cs="仿宋_GB2312"/>
          <w:kern w:val="0"/>
        </w:rPr>
        <w:t>注：1.建设前期工程及勘察设计费是以无复用或无采用标准设计考虑，如工程设计中采用标准设计或复用设计的，其建设前期工程及勘察设计费应为建安工程费、基础设施建设费用以及公共配套建设费的4.6%；采用标准设计或复用设计但需要重新进行基础设计的，其建设前期工程及勘察设计费应为建安工程费、基础设施建设费用以及公共配套建设费的4.8%。</w:t>
      </w:r>
    </w:p>
    <w:p>
      <w:pPr>
        <w:snapToGrid w:val="0"/>
        <w:ind w:firstLine="210" w:firstLineChars="100"/>
        <w:rPr>
          <w:rFonts w:ascii="仿宋_GB2312" w:hAnsi="仿宋_GB2312" w:eastAsia="仿宋_GB2312" w:cs="仿宋_GB2312"/>
          <w:kern w:val="0"/>
        </w:rPr>
      </w:pPr>
      <w:r>
        <w:rPr>
          <w:rFonts w:hint="eastAsia" w:ascii="仿宋_GB2312" w:hAnsi="仿宋_GB2312" w:eastAsia="仿宋_GB2312" w:cs="仿宋_GB2312"/>
          <w:kern w:val="0"/>
        </w:rPr>
        <w:t>2.下浮率按14%计算。</w:t>
      </w:r>
    </w:p>
    <w:p>
      <w:pPr>
        <w:snapToGrid w:val="0"/>
        <w:ind w:firstLine="210" w:firstLineChars="100"/>
        <w:rPr>
          <w:rFonts w:ascii="仿宋_GB2312" w:hAnsi="宋体" w:cs="宋体"/>
          <w:kern w:val="0"/>
        </w:rPr>
      </w:pPr>
      <w:r>
        <w:rPr>
          <w:rFonts w:hint="eastAsia" w:ascii="仿宋_GB2312" w:hAnsi="仿宋_GB2312" w:eastAsia="仿宋_GB2312" w:cs="仿宋_GB2312"/>
          <w:kern w:val="0"/>
        </w:rPr>
        <w:t>3.收购房源属于以下情形时，经收购双方协商，基本建设费可以不参照此表测算。被收购方应按工程结算审核要求提供收购房源相关工程资料，根据施工图套用计价标准计算基本建设费，并对计算结果下浮14%，如果收购房源的工程项目经深圳市交易集团有限公司公开招标的，则不需要下浮14%。</w:t>
      </w:r>
    </w:p>
    <w:p>
      <w:pPr>
        <w:snapToGrid w:val="0"/>
        <w:ind w:firstLine="420" w:firstLineChars="200"/>
        <w:rPr>
          <w:rFonts w:ascii="仿宋_GB2312" w:hAnsi="仿宋_GB2312" w:eastAsia="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1）因市、区住房主管部门或收购主体的要求，收购房源存在房屋外墙采用幕墙、房屋层高超出3.2米等情形；</w:t>
      </w:r>
    </w:p>
    <w:p>
      <w:pPr>
        <w:snapToGrid w:val="0"/>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2）地铁上盖的公共住房。</w:t>
      </w:r>
    </w:p>
    <w:p>
      <w:pPr>
        <w:snapToGrid w:val="0"/>
        <w:spacing w:line="264" w:lineRule="auto"/>
        <w:ind w:firstLine="315" w:firstLineChars="150"/>
        <w:rPr>
          <w:rFonts w:asciiTheme="minorEastAsia" w:hAnsiTheme="minorEastAsia"/>
          <w:kern w:val="0"/>
        </w:rPr>
        <w:sectPr>
          <w:footerReference r:id="rId4" w:type="default"/>
          <w:pgSz w:w="11906" w:h="16838"/>
          <w:pgMar w:top="1701" w:right="1588" w:bottom="1418" w:left="1588" w:header="851" w:footer="794" w:gutter="0"/>
          <w:cols w:space="425" w:num="1"/>
          <w:docGrid w:type="lines" w:linePitch="312" w:charSpace="0"/>
        </w:sectPr>
      </w:pPr>
    </w:p>
    <w:p>
      <w:pPr>
        <w:jc w:val="center"/>
        <w:rPr>
          <w:rFonts w:ascii="宋体" w:hAnsi="宋体" w:cs="Times New Roman"/>
          <w:b/>
          <w:bCs/>
          <w:sz w:val="28"/>
          <w:szCs w:val="28"/>
        </w:rPr>
      </w:pPr>
      <w:r>
        <w:rPr>
          <w:rFonts w:hint="eastAsia" w:ascii="宋体" w:hAnsi="宋体"/>
          <w:b/>
          <w:bCs/>
          <w:sz w:val="28"/>
          <w:szCs w:val="28"/>
        </w:rPr>
        <w:t>表1-1 建筑安装工程及设备经济指标</w:t>
      </w:r>
    </w:p>
    <w:p>
      <w:pPr>
        <w:snapToGrid w:val="0"/>
        <w:spacing w:line="268" w:lineRule="auto"/>
        <w:ind w:firstLine="315" w:firstLineChars="150"/>
        <w:rPr>
          <w:rFonts w:ascii="仿宋_GB2312" w:hAnsi="仿宋_GB2312"/>
          <w:kern w:val="0"/>
          <w:szCs w:val="21"/>
        </w:rPr>
      </w:pPr>
      <w:r>
        <w:rPr>
          <w:rFonts w:ascii="仿宋_GB2312" w:hAnsi="仿宋_GB2312"/>
          <w:kern w:val="0"/>
        </w:rPr>
        <w:t>依据收购房屋所在楼栋的总楼层、地下室层数以及基坑支护施工特点选择对应的建筑安装工程及设备的经济指标。</w:t>
      </w:r>
    </w:p>
    <w:tbl>
      <w:tblPr>
        <w:tblStyle w:val="20"/>
        <w:tblW w:w="14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85"/>
        <w:gridCol w:w="903"/>
        <w:gridCol w:w="4291"/>
        <w:gridCol w:w="1155"/>
        <w:gridCol w:w="2519"/>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黑体" w:hAnsi="黑体" w:eastAsia="黑体"/>
                <w:kern w:val="0"/>
              </w:rPr>
            </w:pPr>
            <w:r>
              <w:rPr>
                <w:rFonts w:hint="eastAsia" w:ascii="黑体" w:hAnsi="黑体" w:eastAsia="黑体"/>
                <w:kern w:val="0"/>
              </w:rPr>
              <w:t>序号</w:t>
            </w:r>
          </w:p>
        </w:tc>
        <w:tc>
          <w:tcPr>
            <w:tcW w:w="6679" w:type="dxa"/>
            <w:gridSpan w:val="3"/>
            <w:tcBorders>
              <w:top w:val="single" w:color="auto" w:sz="4" w:space="0"/>
              <w:left w:val="nil"/>
              <w:bottom w:val="single" w:color="auto" w:sz="4" w:space="0"/>
              <w:right w:val="single" w:color="auto" w:sz="4" w:space="0"/>
            </w:tcBorders>
            <w:vAlign w:val="center"/>
          </w:tcPr>
          <w:p>
            <w:pPr>
              <w:autoSpaceDE w:val="0"/>
              <w:snapToGrid w:val="0"/>
              <w:spacing w:line="268" w:lineRule="auto"/>
              <w:jc w:val="center"/>
              <w:rPr>
                <w:rFonts w:ascii="黑体" w:hAnsi="黑体" w:eastAsia="黑体"/>
                <w:kern w:val="0"/>
              </w:rPr>
            </w:pPr>
            <w:r>
              <w:rPr>
                <w:rFonts w:hint="eastAsia" w:ascii="黑体" w:hAnsi="黑体" w:eastAsia="黑体"/>
                <w:kern w:val="0"/>
              </w:rPr>
              <w:t>单位工程</w:t>
            </w:r>
          </w:p>
        </w:tc>
        <w:tc>
          <w:tcPr>
            <w:tcW w:w="1155" w:type="dxa"/>
            <w:tcBorders>
              <w:top w:val="single" w:color="auto" w:sz="4" w:space="0"/>
              <w:left w:val="nil"/>
              <w:bottom w:val="single" w:color="auto" w:sz="4" w:space="0"/>
              <w:right w:val="single" w:color="auto" w:sz="4" w:space="0"/>
            </w:tcBorders>
            <w:vAlign w:val="center"/>
          </w:tcPr>
          <w:p>
            <w:pPr>
              <w:autoSpaceDE w:val="0"/>
              <w:snapToGrid w:val="0"/>
              <w:spacing w:line="268" w:lineRule="auto"/>
              <w:jc w:val="center"/>
              <w:rPr>
                <w:rFonts w:ascii="黑体" w:hAnsi="黑体" w:eastAsia="黑体"/>
                <w:kern w:val="0"/>
              </w:rPr>
            </w:pPr>
            <w:r>
              <w:rPr>
                <w:rFonts w:hint="eastAsia" w:ascii="黑体" w:hAnsi="黑体" w:eastAsia="黑体"/>
                <w:kern w:val="0"/>
              </w:rPr>
              <w:t>单位</w:t>
            </w: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黑体" w:hAnsi="黑体" w:eastAsia="黑体"/>
                <w:kern w:val="0"/>
              </w:rPr>
            </w:pPr>
            <w:r>
              <w:rPr>
                <w:rFonts w:hint="eastAsia" w:ascii="黑体" w:hAnsi="黑体" w:eastAsia="黑体"/>
                <w:kern w:val="0"/>
              </w:rPr>
              <w:t>单价</w:t>
            </w:r>
          </w:p>
        </w:tc>
        <w:tc>
          <w:tcPr>
            <w:tcW w:w="3030" w:type="dxa"/>
            <w:tcBorders>
              <w:top w:val="single" w:color="auto" w:sz="4" w:space="0"/>
              <w:left w:val="nil"/>
              <w:bottom w:val="single" w:color="auto" w:sz="4" w:space="0"/>
              <w:right w:val="single" w:color="auto" w:sz="4" w:space="0"/>
            </w:tcBorders>
            <w:vAlign w:val="center"/>
          </w:tcPr>
          <w:p>
            <w:pPr>
              <w:autoSpaceDE w:val="0"/>
              <w:snapToGrid w:val="0"/>
              <w:spacing w:line="268" w:lineRule="auto"/>
              <w:jc w:val="center"/>
              <w:rPr>
                <w:rFonts w:ascii="黑体" w:hAnsi="黑体" w:eastAsia="黑体"/>
                <w:kern w:val="0"/>
              </w:rPr>
            </w:pPr>
            <w:r>
              <w:rPr>
                <w:rFonts w:hint="eastAsia" w:ascii="黑体" w:hAnsi="黑体" w:eastAsia="黑体"/>
                <w:kern w:val="0"/>
              </w:rPr>
              <w:t>工程特征及工程范围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1</w:t>
            </w:r>
          </w:p>
        </w:tc>
        <w:tc>
          <w:tcPr>
            <w:tcW w:w="1485" w:type="dxa"/>
            <w:vMerge w:val="restart"/>
            <w:tcBorders>
              <w:top w:val="nil"/>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框剪结构25层以上，建筑高度100米（含100米）以内的高层住宅</w:t>
            </w: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二层及多于二层地下室且基坑采用排桩或锚索支护（排桩或锚索支护面占总支护面积50%以上）</w:t>
            </w:r>
          </w:p>
        </w:tc>
        <w:tc>
          <w:tcPr>
            <w:tcW w:w="1155" w:type="dxa"/>
            <w:vMerge w:val="restart"/>
            <w:tcBorders>
              <w:top w:val="nil"/>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元/平方米住宅建筑面积</w:t>
            </w: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3710</w:t>
            </w:r>
          </w:p>
        </w:tc>
        <w:tc>
          <w:tcPr>
            <w:tcW w:w="3030" w:type="dxa"/>
            <w:vMerge w:val="restart"/>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除地下室所有单位主体建筑及其附属结构，主要包括：土石方、基坑支护、桩基础、入户门（采用钢质防火门或其他）、门窗（铝合金或塑钢门窗或其他）、公共建筑装修、室内毛坯、外墙面（涂料或砖或其他）等所有建筑及附属结构；安装部分：给排水、电气（高低压配电发电机组）、消防水、消防电、气体灭火系统、通风防排烟、通风空调、燃气、弱电工程（包括视频监控系统等），电梯工程等所有安装设备工程且管道铺设至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2</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一层地下室且基坑采用排桩或锚索支护（排桩或锚索支护面占总支护面积50%以上）</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3630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3</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二层及多于二层地下室且基坑采用土钉、锚杆支护</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3600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4</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一层地下室基坑采用土钉、锚杆支护</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3580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5</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二层及多于二层地下室利用天然独立基础</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3370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6</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一层地下室利用天然独立基础</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3290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7</w:t>
            </w:r>
          </w:p>
        </w:tc>
        <w:tc>
          <w:tcPr>
            <w:tcW w:w="1485" w:type="dxa"/>
            <w:vMerge w:val="restart"/>
            <w:tcBorders>
              <w:top w:val="nil"/>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框剪结构15-24层高层住宅</w:t>
            </w: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二层及多于二层地下室且基坑采用排桩或锚索支护（排桩或锚索支护面占总支护面积50%以上）</w:t>
            </w:r>
          </w:p>
        </w:tc>
        <w:tc>
          <w:tcPr>
            <w:tcW w:w="1155" w:type="dxa"/>
            <w:vMerge w:val="restart"/>
            <w:tcBorders>
              <w:top w:val="nil"/>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元/平方米住宅建筑面积</w:t>
            </w: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3530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8</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一层地下室且基坑采用排桩或锚索支护（排桩或锚索支护面占总支护面积50%以上）</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3440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9</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二层及多于二层地下室基坑采用土钉、锚杆支护</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3400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10</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一层地下室基坑采用土钉、锚杆支护</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3320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11</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二层及多于二层地下室利用天然独立基础</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3190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12</w:t>
            </w:r>
          </w:p>
        </w:tc>
        <w:tc>
          <w:tcPr>
            <w:tcW w:w="148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5194" w:type="dxa"/>
            <w:gridSpan w:val="2"/>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一层地下室利用天然独立基础</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nil"/>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3110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13</w:t>
            </w:r>
          </w:p>
        </w:tc>
        <w:tc>
          <w:tcPr>
            <w:tcW w:w="6679" w:type="dxa"/>
            <w:gridSpan w:val="3"/>
            <w:tcBorders>
              <w:top w:val="single" w:color="auto" w:sz="4" w:space="0"/>
              <w:left w:val="nil"/>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框剪结构14层以下住宅</w:t>
            </w:r>
          </w:p>
        </w:tc>
        <w:tc>
          <w:tcPr>
            <w:tcW w:w="1155" w:type="dxa"/>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元/平方米住宅建筑面积</w:t>
            </w:r>
          </w:p>
        </w:tc>
        <w:tc>
          <w:tcPr>
            <w:tcW w:w="2519" w:type="dxa"/>
            <w:tcBorders>
              <w:top w:val="single" w:color="auto" w:sz="4" w:space="0"/>
              <w:left w:val="nil"/>
              <w:bottom w:val="single" w:color="auto" w:sz="4" w:space="0"/>
              <w:right w:val="single" w:color="auto" w:sz="4" w:space="0"/>
            </w:tcBorders>
            <w:vAlign w:val="center"/>
          </w:tcPr>
          <w:p>
            <w:pPr>
              <w:autoSpaceDE w:val="0"/>
              <w:snapToGrid w:val="0"/>
              <w:spacing w:line="271" w:lineRule="auto"/>
              <w:jc w:val="center"/>
              <w:rPr>
                <w:rFonts w:ascii="仿宋_GB2312" w:eastAsia="仿宋_GB2312" w:hAnsiTheme="minorEastAsia"/>
                <w:kern w:val="0"/>
              </w:rPr>
            </w:pPr>
            <w:r>
              <w:rPr>
                <w:rFonts w:hint="eastAsia" w:ascii="仿宋_GB2312" w:eastAsia="仿宋_GB2312" w:hAnsiTheme="minorEastAsia"/>
                <w:kern w:val="0"/>
              </w:rPr>
              <w:t>2550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68" w:lineRule="auto"/>
              <w:jc w:val="center"/>
              <w:rPr>
                <w:rFonts w:ascii="仿宋_GB2312" w:eastAsia="仿宋_GB2312" w:hAnsiTheme="minorEastAsia"/>
                <w:kern w:val="0"/>
              </w:rPr>
            </w:pPr>
            <w:r>
              <w:rPr>
                <w:rFonts w:hint="eastAsia" w:ascii="仿宋_GB2312" w:eastAsia="仿宋_GB2312" w:hAnsiTheme="minorEastAsia"/>
                <w:kern w:val="0"/>
              </w:rPr>
              <w:t>14</w:t>
            </w:r>
          </w:p>
        </w:tc>
        <w:tc>
          <w:tcPr>
            <w:tcW w:w="6679" w:type="dxa"/>
            <w:gridSpan w:val="3"/>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超高层住宅（建筑高度100米以上）</w:t>
            </w:r>
          </w:p>
        </w:tc>
        <w:tc>
          <w:tcPr>
            <w:tcW w:w="1155" w:type="dxa"/>
            <w:tcBorders>
              <w:top w:val="single" w:color="auto" w:sz="4" w:space="0"/>
              <w:left w:val="nil"/>
              <w:bottom w:val="single" w:color="auto" w:sz="4" w:space="0"/>
              <w:right w:val="single" w:color="auto" w:sz="4" w:space="0"/>
            </w:tcBorders>
            <w:vAlign w:val="center"/>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元/平方米住宅建筑面积</w:t>
            </w:r>
          </w:p>
        </w:tc>
        <w:tc>
          <w:tcPr>
            <w:tcW w:w="2519" w:type="dxa"/>
            <w:tcBorders>
              <w:top w:val="single" w:color="auto" w:sz="4" w:space="0"/>
              <w:left w:val="nil"/>
              <w:bottom w:val="single" w:color="auto" w:sz="4" w:space="0"/>
              <w:right w:val="single" w:color="auto" w:sz="4" w:space="0"/>
            </w:tcBorders>
          </w:tcPr>
          <w:p>
            <w:pPr>
              <w:autoSpaceDE w:val="0"/>
              <w:snapToGrid w:val="0"/>
              <w:spacing w:line="268" w:lineRule="auto"/>
              <w:rPr>
                <w:rFonts w:ascii="仿宋_GB2312" w:eastAsia="仿宋_GB2312" w:hAnsiTheme="minorEastAsia"/>
                <w:kern w:val="0"/>
              </w:rPr>
            </w:pPr>
            <w:r>
              <w:rPr>
                <w:rFonts w:hint="eastAsia" w:ascii="仿宋_GB2312" w:eastAsia="仿宋_GB2312" w:hAnsiTheme="minorEastAsia"/>
                <w:kern w:val="0"/>
              </w:rPr>
              <w:t>在25层以上建筑高度100米（含100米）以内的同类别的单位工程的经济指标基础上上浮20%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46" w:type="dxa"/>
            <w:vMerge w:val="restart"/>
            <w:tcBorders>
              <w:top w:val="nil"/>
              <w:left w:val="single" w:color="auto" w:sz="4" w:space="0"/>
              <w:bottom w:val="single" w:color="auto" w:sz="4" w:space="0"/>
              <w:right w:val="single" w:color="auto" w:sz="4" w:space="0"/>
            </w:tcBorders>
            <w:vAlign w:val="center"/>
          </w:tcPr>
          <w:p>
            <w:pPr>
              <w:autoSpaceDE w:val="0"/>
              <w:snapToGrid w:val="0"/>
              <w:jc w:val="center"/>
              <w:rPr>
                <w:rFonts w:ascii="仿宋_GB2312" w:eastAsia="仿宋_GB2312" w:hAnsiTheme="minorEastAsia"/>
                <w:kern w:val="0"/>
              </w:rPr>
            </w:pPr>
            <w:r>
              <w:rPr>
                <w:rFonts w:hint="eastAsia" w:ascii="仿宋_GB2312" w:eastAsia="仿宋_GB2312" w:hAnsiTheme="minorEastAsia"/>
              </w:rPr>
              <w:t>15</w:t>
            </w:r>
          </w:p>
        </w:tc>
        <w:tc>
          <w:tcPr>
            <w:tcW w:w="2388" w:type="dxa"/>
            <w:gridSpan w:val="2"/>
            <w:vMerge w:val="restart"/>
            <w:tcBorders>
              <w:top w:val="nil"/>
              <w:left w:val="nil"/>
              <w:bottom w:val="single" w:color="auto" w:sz="4" w:space="0"/>
              <w:right w:val="single" w:color="auto" w:sz="4" w:space="0"/>
            </w:tcBorders>
            <w:vAlign w:val="center"/>
          </w:tcPr>
          <w:p>
            <w:pPr>
              <w:autoSpaceDE w:val="0"/>
              <w:snapToGrid w:val="0"/>
              <w:jc w:val="center"/>
              <w:rPr>
                <w:rFonts w:ascii="仿宋_GB2312" w:eastAsia="仿宋_GB2312" w:hAnsiTheme="minorEastAsia"/>
                <w:kern w:val="0"/>
              </w:rPr>
            </w:pPr>
            <w:r>
              <w:rPr>
                <w:rFonts w:hint="eastAsia" w:ascii="仿宋_GB2312" w:eastAsia="仿宋_GB2312" w:hAnsiTheme="minorEastAsia"/>
              </w:rPr>
              <w:t>地下室</w:t>
            </w:r>
          </w:p>
        </w:tc>
        <w:tc>
          <w:tcPr>
            <w:tcW w:w="4291" w:type="dxa"/>
            <w:tcBorders>
              <w:top w:val="single" w:color="auto" w:sz="4" w:space="0"/>
              <w:left w:val="nil"/>
              <w:bottom w:val="single" w:color="auto" w:sz="4" w:space="0"/>
              <w:right w:val="single" w:color="auto" w:sz="4" w:space="0"/>
            </w:tcBorders>
            <w:vAlign w:val="center"/>
          </w:tcPr>
          <w:p>
            <w:pPr>
              <w:autoSpaceDE w:val="0"/>
              <w:snapToGrid w:val="0"/>
              <w:rPr>
                <w:rFonts w:ascii="仿宋_GB2312" w:eastAsia="仿宋_GB2312" w:hAnsiTheme="minorEastAsia"/>
              </w:rPr>
            </w:pPr>
            <w:r>
              <w:rPr>
                <w:rFonts w:hint="eastAsia" w:ascii="仿宋_GB2312" w:eastAsia="仿宋_GB2312" w:hAnsiTheme="minorEastAsia"/>
              </w:rPr>
              <w:t>二层及多于二层地下室</w:t>
            </w:r>
          </w:p>
        </w:tc>
        <w:tc>
          <w:tcPr>
            <w:tcW w:w="1155" w:type="dxa"/>
            <w:vMerge w:val="restart"/>
            <w:tcBorders>
              <w:top w:val="nil"/>
              <w:left w:val="nil"/>
              <w:bottom w:val="single" w:color="auto" w:sz="4" w:space="0"/>
              <w:right w:val="single" w:color="auto" w:sz="4" w:space="0"/>
            </w:tcBorders>
            <w:vAlign w:val="center"/>
          </w:tcPr>
          <w:p>
            <w:pPr>
              <w:pStyle w:val="8"/>
              <w:autoSpaceDE w:val="0"/>
              <w:snapToGrid w:val="0"/>
              <w:rPr>
                <w:rFonts w:ascii="仿宋_GB2312" w:eastAsia="仿宋_GB2312" w:hAnsiTheme="minorEastAsia"/>
                <w:kern w:val="0"/>
              </w:rPr>
            </w:pPr>
            <w:r>
              <w:rPr>
                <w:rFonts w:hint="eastAsia" w:ascii="仿宋_GB2312" w:eastAsia="仿宋_GB2312" w:hAnsiTheme="minorEastAsia"/>
              </w:rPr>
              <w:t>元/平方米地下室建筑面积</w:t>
            </w:r>
          </w:p>
        </w:tc>
        <w:tc>
          <w:tcPr>
            <w:tcW w:w="2519" w:type="dxa"/>
            <w:tcBorders>
              <w:top w:val="single" w:color="auto" w:sz="4" w:space="0"/>
              <w:left w:val="nil"/>
              <w:bottom w:val="single" w:color="auto" w:sz="4" w:space="0"/>
              <w:right w:val="single" w:color="auto" w:sz="4" w:space="0"/>
            </w:tcBorders>
            <w:vAlign w:val="center"/>
          </w:tcPr>
          <w:p>
            <w:pPr>
              <w:autoSpaceDE w:val="0"/>
              <w:snapToGrid w:val="0"/>
              <w:jc w:val="center"/>
              <w:rPr>
                <w:rFonts w:ascii="仿宋_GB2312" w:eastAsia="仿宋_GB2312" w:hAnsiTheme="minorEastAsia"/>
                <w:kern w:val="0"/>
              </w:rPr>
            </w:pPr>
            <w:r>
              <w:rPr>
                <w:rFonts w:hint="eastAsia" w:ascii="仿宋_GB2312" w:eastAsia="仿宋_GB2312" w:hAnsiTheme="minorEastAsia"/>
                <w:kern w:val="0"/>
              </w:rPr>
              <w:t>2200</w:t>
            </w:r>
          </w:p>
        </w:tc>
        <w:tc>
          <w:tcPr>
            <w:tcW w:w="3030" w:type="dxa"/>
            <w:vMerge w:val="restart"/>
            <w:tcBorders>
              <w:top w:val="single" w:color="auto" w:sz="4" w:space="0"/>
              <w:left w:val="nil"/>
              <w:bottom w:val="single" w:color="auto" w:sz="4" w:space="0"/>
              <w:right w:val="single" w:color="auto" w:sz="4" w:space="0"/>
            </w:tcBorders>
            <w:vAlign w:val="center"/>
          </w:tcPr>
          <w:p>
            <w:pPr>
              <w:pStyle w:val="8"/>
              <w:adjustRightInd w:val="0"/>
              <w:snapToGrid w:val="0"/>
              <w:rPr>
                <w:rFonts w:ascii="仿宋_GB2312" w:hAnsi="仿宋_GB2312" w:eastAsia="仿宋_GB2312" w:cs="仿宋_GB2312"/>
                <w:color w:val="FF0000"/>
              </w:rPr>
            </w:pPr>
            <w:r>
              <w:rPr>
                <w:rFonts w:hint="eastAsia" w:ascii="仿宋_GB2312" w:hAnsi="仿宋_GB2312" w:eastAsia="仿宋_GB2312" w:cs="仿宋_GB2312"/>
              </w:rPr>
              <w:t>包括地下室建筑及安装造价、人防工程、地下室车道出入口、及其应当分摊的土方及桩基工程、车位装修、标识牌等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388" w:type="dxa"/>
            <w:gridSpan w:val="2"/>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4291" w:type="dxa"/>
            <w:tcBorders>
              <w:top w:val="single" w:color="auto" w:sz="4" w:space="0"/>
              <w:left w:val="nil"/>
              <w:bottom w:val="single" w:color="auto" w:sz="4" w:space="0"/>
              <w:right w:val="single" w:color="auto" w:sz="4" w:space="0"/>
            </w:tcBorders>
            <w:vAlign w:val="center"/>
          </w:tcPr>
          <w:p>
            <w:pPr>
              <w:pStyle w:val="8"/>
              <w:autoSpaceDE w:val="0"/>
              <w:snapToGrid w:val="0"/>
              <w:rPr>
                <w:rFonts w:ascii="仿宋_GB2312" w:eastAsia="仿宋_GB2312" w:hAnsiTheme="minorEastAsia"/>
              </w:rPr>
            </w:pPr>
            <w:r>
              <w:rPr>
                <w:rFonts w:hint="eastAsia" w:ascii="仿宋_GB2312" w:eastAsia="仿宋_GB2312" w:hAnsiTheme="minorEastAsia"/>
              </w:rPr>
              <w:t>一层地下室或半层地下室</w:t>
            </w:r>
          </w:p>
        </w:tc>
        <w:tc>
          <w:tcPr>
            <w:tcW w:w="1155"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kern w:val="0"/>
                <w:szCs w:val="21"/>
              </w:rPr>
            </w:pPr>
          </w:p>
        </w:tc>
        <w:tc>
          <w:tcPr>
            <w:tcW w:w="2519" w:type="dxa"/>
            <w:tcBorders>
              <w:top w:val="single" w:color="auto" w:sz="4" w:space="0"/>
              <w:left w:val="nil"/>
              <w:bottom w:val="single" w:color="auto" w:sz="4" w:space="0"/>
              <w:right w:val="single" w:color="auto" w:sz="4" w:space="0"/>
            </w:tcBorders>
            <w:vAlign w:val="center"/>
          </w:tcPr>
          <w:p>
            <w:pPr>
              <w:pStyle w:val="8"/>
              <w:autoSpaceDE w:val="0"/>
              <w:snapToGrid w:val="0"/>
              <w:jc w:val="center"/>
              <w:rPr>
                <w:rFonts w:ascii="仿宋_GB2312" w:eastAsia="仿宋_GB2312" w:hAnsiTheme="minorEastAsia"/>
              </w:rPr>
            </w:pPr>
            <w:r>
              <w:rPr>
                <w:rFonts w:hint="eastAsia" w:ascii="仿宋_GB2312" w:eastAsia="仿宋_GB2312" w:hAnsiTheme="minorEastAsia"/>
                <w:color w:val="000000"/>
              </w:rPr>
              <w:t>2300</w:t>
            </w:r>
          </w:p>
        </w:tc>
        <w:tc>
          <w:tcPr>
            <w:tcW w:w="3030" w:type="dxa"/>
            <w:vMerge w:val="continue"/>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olor w:val="FF0000"/>
                <w:szCs w:val="21"/>
              </w:rPr>
            </w:pPr>
          </w:p>
        </w:tc>
      </w:tr>
    </w:tbl>
    <w:p>
      <w:pPr>
        <w:snapToGrid w:val="0"/>
        <w:spacing w:line="300" w:lineRule="auto"/>
        <w:rPr>
          <w:rFonts w:ascii="仿宋_GB2312" w:hAnsi="仿宋_GB2312" w:eastAsia="仿宋_GB2312"/>
        </w:rPr>
      </w:pPr>
      <w:r>
        <w:rPr>
          <w:rFonts w:hint="eastAsia" w:ascii="仿宋_GB2312" w:hAnsi="仿宋_GB2312" w:eastAsia="仿宋_GB2312"/>
        </w:rPr>
        <w:t>注：</w:t>
      </w:r>
    </w:p>
    <w:p>
      <w:pPr>
        <w:snapToGrid w:val="0"/>
        <w:spacing w:line="300" w:lineRule="auto"/>
        <w:ind w:firstLine="420"/>
        <w:rPr>
          <w:rFonts w:ascii="仿宋_GB2312" w:hAnsi="仿宋_GB2312" w:eastAsia="仿宋_GB2312" w:cs="仿宋_GB2312"/>
        </w:rPr>
      </w:pPr>
      <w:r>
        <w:rPr>
          <w:rFonts w:hint="eastAsia" w:ascii="仿宋_GB2312" w:hAnsi="仿宋_GB2312" w:eastAsia="仿宋_GB2312" w:cs="仿宋_GB2312"/>
        </w:rPr>
        <w:t>1.一般情况下，地下室造价应按收购公共住房的面积占宗地计规定容积率建筑面积（扣减服务于社区居民的公共配套建筑面积）的比例进行分摊。</w:t>
      </w:r>
    </w:p>
    <w:p>
      <w:pPr>
        <w:snapToGrid w:val="0"/>
        <w:spacing w:line="300" w:lineRule="auto"/>
        <w:ind w:firstLine="420"/>
        <w:rPr>
          <w:rFonts w:ascii="仿宋_GB2312" w:hAnsi="仿宋_GB2312" w:eastAsia="仿宋_GB2312" w:cs="仿宋_GB2312"/>
        </w:rPr>
      </w:pPr>
      <w:r>
        <w:rPr>
          <w:rFonts w:hint="eastAsia" w:ascii="仿宋_GB2312" w:hAnsi="仿宋_GB2312" w:eastAsia="仿宋_GB2312" w:cs="仿宋_GB2312"/>
        </w:rPr>
        <w:t>2.框剪结构14层以下住宅，如不包括电梯工程，则应在该经济指标基础上再扣减130元。</w:t>
      </w:r>
    </w:p>
    <w:p>
      <w:pPr>
        <w:snapToGrid w:val="0"/>
        <w:spacing w:line="300" w:lineRule="auto"/>
        <w:ind w:firstLine="420"/>
        <w:rPr>
          <w:rFonts w:ascii="仿宋_GB2312" w:hAnsi="仿宋_GB2312" w:eastAsia="仿宋_GB2312" w:cs="仿宋_GB2312"/>
        </w:rPr>
      </w:pPr>
      <w:r>
        <w:rPr>
          <w:rFonts w:hint="eastAsia" w:ascii="仿宋_GB2312" w:hAnsi="仿宋_GB2312" w:eastAsia="仿宋_GB2312" w:cs="仿宋_GB2312"/>
        </w:rPr>
        <w:t>3.表中的经济指标未含太阳能热水系统和中水系统，如收购项目含有太阳能热水系统和中水系统，则其价格另算，中水系统按33.69元/平方米计算，太阳能热水系统按76.39元/平方米计算，中水系统按收购住宅的总建筑面积计算收购价，太阳能热水系统按收购住宅的能覆盖太阳能热水服务的房屋建筑面积计算，覆盖太阳能热水服务的房屋建筑面积如有详细图纸则按图纸计算，未有详细图纸则以住宅每栋屋顶层往下计共12层的总建筑面积。</w:t>
      </w:r>
    </w:p>
    <w:p>
      <w:pPr>
        <w:snapToGrid w:val="0"/>
        <w:spacing w:line="300" w:lineRule="auto"/>
        <w:ind w:firstLine="420"/>
        <w:rPr>
          <w:rFonts w:ascii="仿宋_GB2312" w:hAnsi="仿宋_GB2312" w:eastAsia="仿宋_GB2312" w:cs="仿宋_GB2312"/>
        </w:rPr>
      </w:pPr>
      <w:r>
        <w:rPr>
          <w:rFonts w:hint="eastAsia" w:ascii="仿宋_GB2312" w:hAnsi="仿宋_GB2312" w:eastAsia="仿宋_GB2312" w:cs="仿宋_GB2312"/>
        </w:rPr>
        <w:t>4.装配式建筑根据其工程特征套用表中相应指标。</w:t>
      </w:r>
    </w:p>
    <w:p>
      <w:pPr>
        <w:snapToGrid w:val="0"/>
        <w:spacing w:line="300" w:lineRule="auto"/>
        <w:ind w:firstLine="420"/>
        <w:rPr>
          <w:rFonts w:ascii="仿宋_GB2312" w:hAnsi="仿宋_GB2312" w:eastAsia="仿宋_GB2312" w:cs="仿宋_GB2312"/>
        </w:rPr>
      </w:pPr>
      <w:r>
        <w:rPr>
          <w:rFonts w:hint="eastAsia" w:ascii="仿宋_GB2312" w:hAnsi="仿宋_GB2312" w:eastAsia="仿宋_GB2312" w:cs="仿宋_GB2312"/>
        </w:rPr>
        <w:t>5.表中经济指标对应的室内装修标准见表5-1。</w:t>
      </w:r>
    </w:p>
    <w:p>
      <w:pPr>
        <w:snapToGrid w:val="0"/>
        <w:spacing w:line="360" w:lineRule="auto"/>
        <w:rPr>
          <w:rFonts w:ascii="仿宋_GB2312" w:hAnsi="仿宋"/>
        </w:rPr>
      </w:pPr>
    </w:p>
    <w:p>
      <w:pPr>
        <w:snapToGrid w:val="0"/>
        <w:spacing w:line="360" w:lineRule="auto"/>
        <w:rPr>
          <w:rFonts w:ascii="仿宋_GB2312" w:hAnsi="仿宋"/>
        </w:rPr>
        <w:sectPr>
          <w:pgSz w:w="16838" w:h="11906" w:orient="landscape"/>
          <w:pgMar w:top="1588" w:right="1418" w:bottom="1418" w:left="1418" w:header="851" w:footer="992" w:gutter="0"/>
          <w:cols w:space="425" w:num="1"/>
          <w:docGrid w:type="lines" w:linePitch="312" w:charSpace="0"/>
        </w:sectPr>
      </w:pPr>
    </w:p>
    <w:p>
      <w:pPr>
        <w:jc w:val="center"/>
        <w:rPr>
          <w:rFonts w:ascii="宋体" w:hAnsi="宋体"/>
          <w:b/>
          <w:bCs/>
          <w:sz w:val="28"/>
          <w:szCs w:val="28"/>
        </w:rPr>
      </w:pPr>
      <w:r>
        <w:rPr>
          <w:rFonts w:hint="eastAsia" w:ascii="宋体" w:hAnsi="宋体"/>
          <w:b/>
          <w:bCs/>
          <w:sz w:val="28"/>
          <w:szCs w:val="28"/>
        </w:rPr>
        <w:t>表1-2 其他费用计算表</w:t>
      </w:r>
    </w:p>
    <w:tbl>
      <w:tblPr>
        <w:tblStyle w:val="20"/>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96"/>
        <w:gridCol w:w="1503"/>
        <w:gridCol w:w="1276"/>
        <w:gridCol w:w="139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费用名称</w:t>
            </w:r>
          </w:p>
        </w:tc>
        <w:tc>
          <w:tcPr>
            <w:tcW w:w="2899" w:type="dxa"/>
            <w:gridSpan w:val="2"/>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分档计费</w:t>
            </w:r>
          </w:p>
        </w:tc>
        <w:tc>
          <w:tcPr>
            <w:tcW w:w="1276"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单位</w:t>
            </w: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费用单价</w:t>
            </w:r>
          </w:p>
        </w:tc>
        <w:tc>
          <w:tcPr>
            <w:tcW w:w="1735"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包含项目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其他费用</w:t>
            </w:r>
          </w:p>
        </w:tc>
        <w:tc>
          <w:tcPr>
            <w:tcW w:w="1396" w:type="dxa"/>
            <w:vMerge w:val="restart"/>
            <w:tcBorders>
              <w:top w:val="nil"/>
              <w:left w:val="nil"/>
              <w:bottom w:val="single" w:color="auto" w:sz="4"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宗地计容积率总建筑面积</w:t>
            </w:r>
          </w:p>
        </w:tc>
        <w:tc>
          <w:tcPr>
            <w:tcW w:w="150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10000</w:t>
            </w:r>
            <w:r>
              <w:rPr>
                <w:rFonts w:hint="eastAsia" w:ascii="仿宋_GB2312" w:hAnsiTheme="minorEastAsia"/>
              </w:rPr>
              <w:t>㎡</w:t>
            </w:r>
          </w:p>
        </w:tc>
        <w:tc>
          <w:tcPr>
            <w:tcW w:w="1276" w:type="dxa"/>
            <w:vMerge w:val="restart"/>
            <w:tcBorders>
              <w:top w:val="nil"/>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元/平方米</w:t>
            </w: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99</w:t>
            </w:r>
          </w:p>
        </w:tc>
        <w:tc>
          <w:tcPr>
            <w:tcW w:w="1735" w:type="dxa"/>
            <w:vMerge w:val="restart"/>
            <w:tcBorders>
              <w:top w:val="single" w:color="auto" w:sz="4" w:space="0"/>
              <w:left w:val="nil"/>
              <w:bottom w:val="single" w:color="auto" w:sz="4"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监理费、白蚁防治费等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0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16600</w:t>
            </w:r>
            <w:r>
              <w:rPr>
                <w:rFonts w:hint="eastAsia" w:ascii="仿宋_GB2312" w:hAnsiTheme="minorEastAsia"/>
              </w:rPr>
              <w:t>㎡</w:t>
            </w:r>
          </w:p>
        </w:tc>
        <w:tc>
          <w:tcPr>
            <w:tcW w:w="127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93</w:t>
            </w:r>
          </w:p>
        </w:tc>
        <w:tc>
          <w:tcPr>
            <w:tcW w:w="1735"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0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33300</w:t>
            </w:r>
            <w:r>
              <w:rPr>
                <w:rFonts w:hint="eastAsia" w:ascii="仿宋_GB2312" w:hAnsiTheme="minorEastAsia"/>
              </w:rPr>
              <w:t>㎡</w:t>
            </w:r>
          </w:p>
        </w:tc>
        <w:tc>
          <w:tcPr>
            <w:tcW w:w="127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84</w:t>
            </w:r>
          </w:p>
        </w:tc>
        <w:tc>
          <w:tcPr>
            <w:tcW w:w="1735"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0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100000</w:t>
            </w:r>
            <w:r>
              <w:rPr>
                <w:rFonts w:hint="eastAsia" w:ascii="仿宋_GB2312" w:hAnsiTheme="minorEastAsia"/>
              </w:rPr>
              <w:t>㎡</w:t>
            </w:r>
          </w:p>
        </w:tc>
        <w:tc>
          <w:tcPr>
            <w:tcW w:w="127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75</w:t>
            </w:r>
          </w:p>
        </w:tc>
        <w:tc>
          <w:tcPr>
            <w:tcW w:w="1735"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0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166600</w:t>
            </w:r>
            <w:r>
              <w:rPr>
                <w:rFonts w:hint="eastAsia" w:ascii="仿宋_GB2312" w:hAnsiTheme="minorEastAsia"/>
              </w:rPr>
              <w:t>㎡</w:t>
            </w:r>
          </w:p>
        </w:tc>
        <w:tc>
          <w:tcPr>
            <w:tcW w:w="127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65</w:t>
            </w:r>
          </w:p>
        </w:tc>
        <w:tc>
          <w:tcPr>
            <w:tcW w:w="1735"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0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333300</w:t>
            </w:r>
            <w:r>
              <w:rPr>
                <w:rFonts w:hint="eastAsia" w:ascii="仿宋_GB2312" w:hAnsiTheme="minorEastAsia"/>
              </w:rPr>
              <w:t>㎡</w:t>
            </w:r>
          </w:p>
        </w:tc>
        <w:tc>
          <w:tcPr>
            <w:tcW w:w="1276"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54</w:t>
            </w:r>
          </w:p>
        </w:tc>
        <w:tc>
          <w:tcPr>
            <w:tcW w:w="1735"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bl>
    <w:p>
      <w:pPr>
        <w:snapToGrid w:val="0"/>
        <w:spacing w:line="360" w:lineRule="auto"/>
        <w:rPr>
          <w:rFonts w:ascii="仿宋_GB2312" w:eastAsia="仿宋_GB2312" w:cs="Times New Roman" w:hAnsiTheme="minorEastAsia"/>
          <w:szCs w:val="21"/>
        </w:rPr>
      </w:pPr>
      <w:r>
        <w:rPr>
          <w:rFonts w:hint="eastAsia" w:ascii="仿宋_GB2312" w:eastAsia="仿宋_GB2312" w:hAnsiTheme="minorEastAsia"/>
        </w:rPr>
        <w:t>注：根据宗地计容积率总建筑面积采用插值法计算</w:t>
      </w:r>
    </w:p>
    <w:p>
      <w:pPr>
        <w:snapToGrid w:val="0"/>
        <w:jc w:val="center"/>
        <w:rPr>
          <w:rFonts w:ascii="宋体" w:hAnsi="宋体"/>
          <w:b/>
          <w:bCs/>
          <w:sz w:val="18"/>
          <w:szCs w:val="18"/>
        </w:rPr>
      </w:pPr>
    </w:p>
    <w:p>
      <w:pPr>
        <w:jc w:val="center"/>
        <w:rPr>
          <w:rFonts w:ascii="宋体" w:hAnsi="宋体"/>
          <w:b/>
          <w:bCs/>
          <w:sz w:val="28"/>
          <w:szCs w:val="28"/>
        </w:rPr>
      </w:pPr>
      <w:r>
        <w:rPr>
          <w:rFonts w:hint="eastAsia" w:ascii="宋体" w:hAnsi="宋体"/>
          <w:b/>
          <w:bCs/>
          <w:sz w:val="28"/>
          <w:szCs w:val="28"/>
        </w:rPr>
        <w:t>Ⅱ 管理费计算方式</w:t>
      </w:r>
    </w:p>
    <w:p>
      <w:pPr>
        <w:autoSpaceDE w:val="0"/>
        <w:ind w:firstLine="420" w:firstLineChars="200"/>
        <w:rPr>
          <w:rFonts w:ascii="仿宋_GB2312" w:hAnsi="仿宋_GB2312"/>
          <w:b/>
          <w:bCs/>
          <w:sz w:val="28"/>
          <w:szCs w:val="28"/>
        </w:rPr>
      </w:pPr>
      <w:r>
        <w:rPr>
          <w:rFonts w:ascii="仿宋_GB2312" w:hAnsi="仿宋_GB2312"/>
        </w:rPr>
        <w:t>依据收购项目所在宗地的建设规模选择对应的单价。</w:t>
      </w:r>
    </w:p>
    <w:tbl>
      <w:tblPr>
        <w:tblStyle w:val="20"/>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59"/>
        <w:gridCol w:w="2268"/>
        <w:gridCol w:w="1833"/>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费用名称</w:t>
            </w:r>
          </w:p>
        </w:tc>
        <w:tc>
          <w:tcPr>
            <w:tcW w:w="3827" w:type="dxa"/>
            <w:gridSpan w:val="2"/>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分档计费</w:t>
            </w:r>
          </w:p>
        </w:tc>
        <w:tc>
          <w:tcPr>
            <w:tcW w:w="1833"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费用单价</w:t>
            </w:r>
          </w:p>
          <w:p>
            <w:pPr>
              <w:snapToGrid w:val="0"/>
              <w:jc w:val="center"/>
              <w:rPr>
                <w:rFonts w:ascii="黑体" w:hAnsi="黑体" w:eastAsia="黑体"/>
              </w:rPr>
            </w:pPr>
            <w:r>
              <w:rPr>
                <w:rFonts w:hint="eastAsia" w:ascii="黑体" w:hAnsi="黑体" w:eastAsia="黑体"/>
              </w:rPr>
              <w:t>（元/平方米）</w:t>
            </w:r>
          </w:p>
        </w:tc>
        <w:tc>
          <w:tcPr>
            <w:tcW w:w="2036"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取费依据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管理费</w:t>
            </w:r>
          </w:p>
        </w:tc>
        <w:tc>
          <w:tcPr>
            <w:tcW w:w="1559" w:type="dxa"/>
            <w:vMerge w:val="restart"/>
            <w:tcBorders>
              <w:top w:val="nil"/>
              <w:left w:val="nil"/>
              <w:bottom w:val="single" w:color="auto" w:sz="4"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宗地计容积率总建筑面积</w:t>
            </w:r>
          </w:p>
        </w:tc>
        <w:tc>
          <w:tcPr>
            <w:tcW w:w="2268"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15001—30000</w:t>
            </w:r>
            <w:r>
              <w:rPr>
                <w:rFonts w:hint="eastAsia" w:ascii="仿宋_GB2312" w:hAnsiTheme="minorEastAsia"/>
              </w:rPr>
              <w:t>㎡</w:t>
            </w:r>
          </w:p>
        </w:tc>
        <w:tc>
          <w:tcPr>
            <w:tcW w:w="183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44—40</w:t>
            </w:r>
          </w:p>
        </w:tc>
        <w:tc>
          <w:tcPr>
            <w:tcW w:w="2036" w:type="dxa"/>
            <w:vMerge w:val="restart"/>
            <w:tcBorders>
              <w:top w:val="single" w:color="auto" w:sz="4" w:space="0"/>
              <w:left w:val="nil"/>
              <w:bottom w:val="single" w:color="auto" w:sz="4"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深财基[2003]2号</w:t>
            </w:r>
          </w:p>
          <w:p>
            <w:pPr>
              <w:snapToGrid w:val="0"/>
              <w:rPr>
                <w:rFonts w:ascii="仿宋_GB2312" w:eastAsia="仿宋_GB2312" w:hAnsiTheme="minorEastAsia"/>
              </w:rPr>
            </w:pPr>
            <w:r>
              <w:rPr>
                <w:rFonts w:hint="eastAsia" w:ascii="仿宋_GB2312" w:eastAsia="仿宋_GB2312" w:hAnsiTheme="minorEastAsia"/>
              </w:rPr>
              <w:t>每档计费对应的单价用插值法计算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2268"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30001—150000</w:t>
            </w:r>
            <w:r>
              <w:rPr>
                <w:rFonts w:hint="eastAsia" w:ascii="仿宋_GB2312" w:hAnsiTheme="minorEastAsia"/>
              </w:rPr>
              <w:t>㎡</w:t>
            </w:r>
          </w:p>
        </w:tc>
        <w:tc>
          <w:tcPr>
            <w:tcW w:w="183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40—30</w:t>
            </w:r>
          </w:p>
        </w:tc>
        <w:tc>
          <w:tcPr>
            <w:tcW w:w="2036"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2268"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150001—300000</w:t>
            </w:r>
            <w:r>
              <w:rPr>
                <w:rFonts w:hint="eastAsia" w:ascii="仿宋_GB2312" w:hAnsiTheme="minorEastAsia"/>
              </w:rPr>
              <w:t>㎡</w:t>
            </w:r>
          </w:p>
        </w:tc>
        <w:tc>
          <w:tcPr>
            <w:tcW w:w="183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30—24</w:t>
            </w:r>
          </w:p>
        </w:tc>
        <w:tc>
          <w:tcPr>
            <w:tcW w:w="2036"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0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2268"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300001—600000</w:t>
            </w:r>
            <w:r>
              <w:rPr>
                <w:rFonts w:hint="eastAsia" w:ascii="仿宋_GB2312" w:hAnsiTheme="minorEastAsia"/>
              </w:rPr>
              <w:t>㎡</w:t>
            </w:r>
          </w:p>
        </w:tc>
        <w:tc>
          <w:tcPr>
            <w:tcW w:w="1833"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24—15</w:t>
            </w:r>
          </w:p>
        </w:tc>
        <w:tc>
          <w:tcPr>
            <w:tcW w:w="2036"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r>
    </w:tbl>
    <w:p>
      <w:pP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Ⅲ 规费计算方式</w:t>
      </w:r>
    </w:p>
    <w:tbl>
      <w:tblPr>
        <w:tblStyle w:val="20"/>
        <w:tblW w:w="8830" w:type="dxa"/>
        <w:jc w:val="center"/>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248"/>
        <w:gridCol w:w="1559"/>
        <w:gridCol w:w="1134"/>
        <w:gridCol w:w="3036"/>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5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费用名称</w:t>
            </w:r>
          </w:p>
        </w:tc>
        <w:tc>
          <w:tcPr>
            <w:tcW w:w="1248" w:type="dxa"/>
            <w:vMerge w:val="restart"/>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计算公式</w:t>
            </w:r>
          </w:p>
        </w:tc>
        <w:tc>
          <w:tcPr>
            <w:tcW w:w="5729" w:type="dxa"/>
            <w:gridSpan w:val="3"/>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其 它</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Cs w:val="21"/>
              </w:rPr>
            </w:pPr>
          </w:p>
        </w:tc>
        <w:tc>
          <w:tcPr>
            <w:tcW w:w="1248"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黑体" w:eastAsia="黑体"/>
                <w:szCs w:val="21"/>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计费单位</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费用单价</w:t>
            </w:r>
          </w:p>
        </w:tc>
        <w:tc>
          <w:tcPr>
            <w:tcW w:w="3036"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取费依据</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jc w:val="center"/>
        </w:trPr>
        <w:tc>
          <w:tcPr>
            <w:tcW w:w="1853" w:type="dxa"/>
            <w:tcBorders>
              <w:top w:val="nil"/>
              <w:left w:val="single" w:color="auto" w:sz="4" w:space="0"/>
              <w:bottom w:val="single" w:color="auto" w:sz="4"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规费（包括：物业专项维修资金、建筑面积测绘等）</w:t>
            </w:r>
          </w:p>
        </w:tc>
        <w:tc>
          <w:tcPr>
            <w:tcW w:w="1248" w:type="dxa"/>
            <w:tcBorders>
              <w:top w:val="nil"/>
              <w:left w:val="nil"/>
              <w:bottom w:val="single" w:color="auto" w:sz="4" w:space="0"/>
              <w:right w:val="single" w:color="auto" w:sz="4" w:space="0"/>
            </w:tcBorders>
            <w:vAlign w:val="center"/>
          </w:tcPr>
          <w:p>
            <w:pPr>
              <w:widowControl/>
              <w:jc w:val="left"/>
              <w:rPr>
                <w:rFonts w:ascii="仿宋_GB2312" w:eastAsia="仿宋_GB2312" w:hAnsiTheme="minorEastAsia"/>
              </w:rPr>
            </w:pPr>
            <w:r>
              <w:rPr>
                <w:rFonts w:hint="eastAsia" w:ascii="仿宋_GB2312" w:eastAsia="仿宋_GB2312" w:hAnsiTheme="minorEastAsia"/>
              </w:rPr>
              <w:t>直接套用费用单价</w:t>
            </w:r>
          </w:p>
        </w:tc>
        <w:tc>
          <w:tcPr>
            <w:tcW w:w="1559" w:type="dxa"/>
            <w:tcBorders>
              <w:top w:val="single" w:color="auto" w:sz="4" w:space="0"/>
              <w:left w:val="nil"/>
              <w:bottom w:val="single" w:color="auto" w:sz="2"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元/平方米</w:t>
            </w:r>
          </w:p>
          <w:p>
            <w:pPr>
              <w:snapToGrid w:val="0"/>
              <w:rPr>
                <w:rFonts w:ascii="仿宋_GB2312" w:eastAsia="仿宋_GB2312" w:hAnsiTheme="minorEastAsia"/>
                <w:b/>
                <w:bCs/>
              </w:rPr>
            </w:pPr>
            <w:r>
              <w:rPr>
                <w:rFonts w:hint="eastAsia" w:ascii="仿宋_GB2312" w:eastAsia="仿宋_GB2312" w:hAnsiTheme="minorEastAsia"/>
              </w:rPr>
              <w:t>住宅建筑面积</w:t>
            </w:r>
          </w:p>
        </w:tc>
        <w:tc>
          <w:tcPr>
            <w:tcW w:w="1134" w:type="dxa"/>
            <w:tcBorders>
              <w:top w:val="single" w:color="auto" w:sz="4" w:space="0"/>
              <w:left w:val="nil"/>
              <w:bottom w:val="single" w:color="auto" w:sz="2" w:space="0"/>
              <w:right w:val="single" w:color="auto" w:sz="4" w:space="0"/>
            </w:tcBorders>
            <w:vAlign w:val="center"/>
          </w:tcPr>
          <w:p>
            <w:pPr>
              <w:snapToGrid w:val="0"/>
              <w:jc w:val="center"/>
              <w:rPr>
                <w:rFonts w:ascii="仿宋_GB2312" w:eastAsia="仿宋_GB2312" w:hAnsiTheme="minorEastAsia"/>
                <w:b/>
                <w:bCs/>
              </w:rPr>
            </w:pPr>
            <w:r>
              <w:rPr>
                <w:rFonts w:hint="eastAsia" w:ascii="仿宋_GB2312" w:eastAsia="仿宋_GB2312" w:hAnsiTheme="minorEastAsia"/>
              </w:rPr>
              <w:t>69</w:t>
            </w:r>
          </w:p>
        </w:tc>
        <w:tc>
          <w:tcPr>
            <w:tcW w:w="3036" w:type="dxa"/>
            <w:tcBorders>
              <w:top w:val="single" w:color="auto" w:sz="4" w:space="0"/>
              <w:left w:val="nil"/>
              <w:bottom w:val="single" w:color="auto" w:sz="2" w:space="0"/>
              <w:right w:val="single" w:color="auto" w:sz="4" w:space="0"/>
            </w:tcBorders>
            <w:vAlign w:val="center"/>
          </w:tcPr>
          <w:p>
            <w:pPr>
              <w:snapToGrid w:val="0"/>
              <w:jc w:val="left"/>
              <w:rPr>
                <w:rFonts w:ascii="仿宋_GB2312" w:eastAsia="仿宋_GB2312" w:hAnsiTheme="minorEastAsia"/>
                <w:b/>
                <w:bCs/>
              </w:rPr>
            </w:pPr>
            <w:r>
              <w:rPr>
                <w:rFonts w:hint="eastAsia" w:ascii="仿宋_GB2312" w:eastAsia="仿宋_GB2312" w:hAnsiTheme="minorEastAsia"/>
              </w:rPr>
              <w:t>深建规</w:t>
            </w:r>
            <w:r>
              <w:rPr>
                <w:rFonts w:hint="eastAsia" w:ascii="仿宋_GB2312" w:eastAsia="仿宋_GB2312" w:hAnsiTheme="minorEastAsia"/>
                <w:kern w:val="0"/>
              </w:rPr>
              <w:t>深建规〔2016〕2号</w:t>
            </w:r>
            <w:r>
              <w:rPr>
                <w:rFonts w:hint="eastAsia" w:ascii="仿宋_GB2312" w:eastAsia="仿宋_GB2312" w:hAnsiTheme="minorEastAsia"/>
              </w:rPr>
              <w:t>、</w:t>
            </w:r>
            <w:r>
              <w:rPr>
                <w:rFonts w:hint="eastAsia" w:ascii="仿宋_GB2312" w:eastAsia="仿宋_GB2312" w:hAnsiTheme="minorEastAsia"/>
                <w:kern w:val="0"/>
              </w:rPr>
              <w:t>《关于制定我省房地产测绘收费标准的复函》（粤价【2007】193号、粤价函【1998】548号</w:t>
            </w:r>
          </w:p>
        </w:tc>
      </w:tr>
    </w:tbl>
    <w:p>
      <w:pPr>
        <w:widowControl/>
        <w:jc w:val="center"/>
        <w:rPr>
          <w:rFonts w:ascii="宋体" w:hAnsi="宋体"/>
          <w:b/>
          <w:bCs/>
          <w:sz w:val="36"/>
          <w:szCs w:val="36"/>
        </w:rPr>
      </w:pPr>
      <w:r>
        <w:rPr>
          <w:rFonts w:ascii="宋体" w:hAnsi="宋体" w:cs="Times New Roman"/>
          <w:b/>
          <w:bCs/>
          <w:sz w:val="28"/>
          <w:szCs w:val="28"/>
        </w:rPr>
        <w:br w:type="page"/>
      </w:r>
      <w:r>
        <w:rPr>
          <w:rFonts w:hint="eastAsia" w:ascii="宋体" w:hAnsi="宋体"/>
          <w:b/>
          <w:bCs/>
          <w:sz w:val="36"/>
          <w:szCs w:val="36"/>
        </w:rPr>
        <w:t>第三部分 资金成本计算方式</w:t>
      </w:r>
    </w:p>
    <w:tbl>
      <w:tblPr>
        <w:tblStyle w:val="20"/>
        <w:tblW w:w="89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825"/>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序号</w:t>
            </w:r>
          </w:p>
        </w:tc>
        <w:tc>
          <w:tcPr>
            <w:tcW w:w="1825"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收购价付款方式</w:t>
            </w:r>
          </w:p>
        </w:tc>
        <w:tc>
          <w:tcPr>
            <w:tcW w:w="6642"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计算规则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rPr>
            </w:pPr>
            <w:r>
              <w:rPr>
                <w:rFonts w:hint="eastAsia" w:ascii="仿宋_GB2312" w:eastAsia="仿宋_GB2312" w:hAnsiTheme="minorEastAsia"/>
              </w:rPr>
              <w:t>1</w:t>
            </w:r>
          </w:p>
        </w:tc>
        <w:tc>
          <w:tcPr>
            <w:tcW w:w="1825" w:type="dxa"/>
            <w:tcBorders>
              <w:top w:val="single" w:color="auto" w:sz="4" w:space="0"/>
              <w:left w:val="nil"/>
              <w:bottom w:val="single" w:color="auto" w:sz="4" w:space="0"/>
              <w:right w:val="single" w:color="auto" w:sz="4" w:space="0"/>
            </w:tcBorders>
            <w:vAlign w:val="center"/>
          </w:tcPr>
          <w:p>
            <w:pPr>
              <w:rPr>
                <w:rFonts w:ascii="仿宋_GB2312" w:eastAsia="仿宋_GB2312" w:hAnsiTheme="minorEastAsia"/>
              </w:rPr>
            </w:pPr>
            <w:r>
              <w:rPr>
                <w:rFonts w:hint="eastAsia" w:ascii="仿宋_GB2312" w:eastAsia="仿宋_GB2312" w:hAnsiTheme="minorEastAsia"/>
              </w:rPr>
              <w:t>一次性支付</w:t>
            </w:r>
          </w:p>
        </w:tc>
        <w:tc>
          <w:tcPr>
            <w:tcW w:w="6642" w:type="dxa"/>
            <w:tcBorders>
              <w:top w:val="single" w:color="auto" w:sz="4" w:space="0"/>
              <w:left w:val="nil"/>
              <w:bottom w:val="single" w:color="auto" w:sz="4" w:space="0"/>
              <w:right w:val="single" w:color="auto" w:sz="4" w:space="0"/>
            </w:tcBorders>
            <w:vAlign w:val="center"/>
          </w:tcPr>
          <w:p>
            <w:pPr>
              <w:rPr>
                <w:rFonts w:ascii="仿宋_GB2312" w:eastAsia="仿宋_GB2312" w:hAnsiTheme="minorEastAsia"/>
              </w:rPr>
            </w:pPr>
            <w:r>
              <w:rPr>
                <w:rFonts w:hint="eastAsia" w:ascii="仿宋_GB2312" w:eastAsia="仿宋_GB2312" w:hAnsiTheme="minorEastAsia"/>
              </w:rPr>
              <w:drawing>
                <wp:inline distT="0" distB="0" distL="0" distR="0">
                  <wp:extent cx="2026920" cy="573405"/>
                  <wp:effectExtent l="0" t="0" r="0" b="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26920" cy="573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rPr>
            </w:pPr>
            <w:r>
              <w:rPr>
                <w:rFonts w:hint="eastAsia" w:ascii="仿宋_GB2312" w:eastAsia="仿宋_GB2312" w:hAnsiTheme="minorEastAsia"/>
              </w:rPr>
              <w:t>2</w:t>
            </w:r>
          </w:p>
        </w:tc>
        <w:tc>
          <w:tcPr>
            <w:tcW w:w="1825" w:type="dxa"/>
            <w:tcBorders>
              <w:top w:val="single" w:color="auto" w:sz="4" w:space="0"/>
              <w:left w:val="nil"/>
              <w:bottom w:val="single" w:color="auto" w:sz="4" w:space="0"/>
              <w:right w:val="single" w:color="auto" w:sz="4" w:space="0"/>
            </w:tcBorders>
            <w:vAlign w:val="center"/>
          </w:tcPr>
          <w:p>
            <w:pPr>
              <w:rPr>
                <w:rFonts w:ascii="仿宋_GB2312" w:eastAsia="仿宋_GB2312" w:hAnsiTheme="minorEastAsia"/>
              </w:rPr>
            </w:pPr>
            <w:r>
              <w:rPr>
                <w:rFonts w:hint="eastAsia" w:ascii="仿宋_GB2312" w:eastAsia="仿宋_GB2312" w:hAnsiTheme="minorEastAsia"/>
              </w:rPr>
              <w:t>建设期间分期支付收购款项的资金成本计算（扣减提前支付的款项利息）</w:t>
            </w:r>
          </w:p>
        </w:tc>
        <w:tc>
          <w:tcPr>
            <w:tcW w:w="6642" w:type="dxa"/>
            <w:tcBorders>
              <w:top w:val="single" w:color="auto" w:sz="4" w:space="0"/>
              <w:left w:val="nil"/>
              <w:bottom w:val="single" w:color="auto" w:sz="4" w:space="0"/>
              <w:right w:val="single" w:color="auto" w:sz="4" w:space="0"/>
            </w:tcBorders>
            <w:vAlign w:val="center"/>
          </w:tcPr>
          <w:p>
            <w:pPr>
              <w:rPr>
                <w:rFonts w:ascii="仿宋_GB2312" w:eastAsia="仿宋_GB2312" w:hAnsiTheme="minorEastAsia"/>
              </w:rPr>
            </w:pPr>
            <w:r>
              <w:rPr>
                <w:rFonts w:hint="eastAsia" w:ascii="仿宋_GB2312" w:eastAsia="仿宋_GB2312" w:hAnsiTheme="minorEastAsia"/>
                <w:position w:val="-30"/>
              </w:rPr>
              <w:drawing>
                <wp:inline distT="0" distB="0" distL="0" distR="0">
                  <wp:extent cx="4114800" cy="907415"/>
                  <wp:effectExtent l="0" t="0" r="0" b="698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14800" cy="907415"/>
                          </a:xfrm>
                          <a:prstGeom prst="rect">
                            <a:avLst/>
                          </a:prstGeom>
                          <a:noFill/>
                          <a:ln>
                            <a:noFill/>
                          </a:ln>
                        </pic:spPr>
                      </pic:pic>
                    </a:graphicData>
                  </a:graphic>
                </wp:inline>
              </w:drawing>
            </w:r>
          </w:p>
        </w:tc>
      </w:tr>
    </w:tbl>
    <w:p>
      <w:pPr>
        <w:widowControl/>
        <w:jc w:val="left"/>
        <w:rPr>
          <w:rFonts w:ascii="仿宋_GB2312" w:hAnsi="仿宋_GB2312" w:eastAsia="仿宋_GB2312"/>
        </w:rPr>
      </w:pPr>
      <w:r>
        <w:rPr>
          <w:rFonts w:hint="eastAsia" w:ascii="仿宋_GB2312" w:hAnsi="仿宋_GB2312" w:eastAsia="仿宋_GB2312"/>
        </w:rPr>
        <w:t>注：</w:t>
      </w:r>
    </w:p>
    <w:p>
      <w:pPr>
        <w:widowControl/>
        <w:ind w:firstLine="315" w:firstLineChars="150"/>
        <w:rPr>
          <w:rFonts w:ascii="仿宋_GB2312" w:eastAsia="仿宋_GB2312" w:cs="Times New Roman" w:hAnsiTheme="minorEastAsia"/>
          <w:szCs w:val="21"/>
        </w:rPr>
      </w:pPr>
      <w:r>
        <w:rPr>
          <w:rFonts w:hint="eastAsia" w:ascii="仿宋_GB2312" w:eastAsia="仿宋_GB2312" w:hAnsiTheme="minorEastAsia"/>
        </w:rPr>
        <w:t>1.</w:t>
      </w:r>
      <w:r>
        <w:rPr>
          <w:rFonts w:hint="eastAsia" w:ascii="仿宋_GB2312" w:hAnsi="仿宋_GB2312" w:eastAsia="仿宋_GB2312" w:cs="仿宋_GB2312"/>
        </w:rPr>
        <w:t>I为资金成本总额，P为土地成本及建设成本；i为测算时点的五年期贷款市场报价利率（LPR），测算时点在2019年8月以前的，i取测算时点的3年期贷款基准利率；n为公共住房开发建设周期；P</w:t>
      </w:r>
      <w:r>
        <w:rPr>
          <w:rFonts w:hint="eastAsia" w:ascii="仿宋_GB2312" w:hAnsi="仿宋_GB2312" w:eastAsia="仿宋_GB2312" w:cs="仿宋_GB2312"/>
          <w:vertAlign w:val="subscript"/>
        </w:rPr>
        <w:t>k</w:t>
      </w:r>
      <w:r>
        <w:rPr>
          <w:rFonts w:hint="eastAsia" w:ascii="仿宋_GB2312" w:hAnsi="仿宋_GB2312" w:eastAsia="仿宋_GB2312" w:cs="仿宋_GB2312"/>
        </w:rPr>
        <w:t>为第k期预付款；n</w:t>
      </w:r>
      <w:r>
        <w:rPr>
          <w:rFonts w:hint="eastAsia" w:ascii="仿宋_GB2312" w:hAnsi="仿宋_GB2312" w:eastAsia="仿宋_GB2312" w:cs="仿宋_GB2312"/>
          <w:vertAlign w:val="subscript"/>
        </w:rPr>
        <w:t>k</w:t>
      </w:r>
      <w:r>
        <w:rPr>
          <w:rFonts w:hint="eastAsia" w:ascii="仿宋_GB2312" w:hAnsi="仿宋_GB2312" w:eastAsia="仿宋_GB2312" w:cs="仿宋_GB2312"/>
        </w:rPr>
        <w:t>为第k期预付款的计息期(是从支付时点起到开发结束的时间段)。</w:t>
      </w:r>
    </w:p>
    <w:p>
      <w:pPr>
        <w:spacing w:afterLines="50"/>
        <w:ind w:firstLine="315" w:firstLineChars="150"/>
        <w:rPr>
          <w:rFonts w:ascii="仿宋_GB2312" w:eastAsia="仿宋_GB2312" w:hAnsiTheme="minorEastAsia"/>
        </w:rPr>
      </w:pPr>
      <w:r>
        <w:rPr>
          <w:rFonts w:hint="eastAsia" w:ascii="仿宋_GB2312" w:eastAsia="仿宋_GB2312" w:hAnsiTheme="minorEastAsia"/>
        </w:rPr>
        <w:t>2.开发期及分期支付的支付时点,详见下表。</w:t>
      </w:r>
    </w:p>
    <w:tbl>
      <w:tblPr>
        <w:tblStyle w:val="20"/>
        <w:tblW w:w="8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390"/>
        <w:gridCol w:w="411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rPr>
            </w:pPr>
            <w:r>
              <w:rPr>
                <w:rFonts w:hint="eastAsia" w:ascii="黑体" w:hAnsi="黑体" w:eastAsia="黑体"/>
              </w:rPr>
              <w:t>收购的公共住房建筑面积</w:t>
            </w:r>
          </w:p>
        </w:tc>
        <w:tc>
          <w:tcPr>
            <w:tcW w:w="1390"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rPr>
            </w:pPr>
            <w:r>
              <w:rPr>
                <w:rFonts w:hint="eastAsia" w:ascii="黑体" w:hAnsi="黑体" w:eastAsia="黑体"/>
              </w:rPr>
              <w:t>整个开发期</w:t>
            </w:r>
          </w:p>
        </w:tc>
        <w:tc>
          <w:tcPr>
            <w:tcW w:w="5021"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rPr>
            </w:pPr>
            <w:r>
              <w:rPr>
                <w:rFonts w:hint="eastAsia" w:ascii="黑体" w:hAnsi="黑体" w:eastAsia="黑体"/>
              </w:rPr>
              <w:t>分期支付的支付时点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restart"/>
            <w:tcBorders>
              <w:top w:val="nil"/>
              <w:left w:val="single" w:color="auto" w:sz="4" w:space="0"/>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50000</w:t>
            </w:r>
            <w:r>
              <w:rPr>
                <w:rFonts w:hint="eastAsia" w:ascii="仿宋_GB2312" w:hAnsiTheme="minorEastAsia"/>
              </w:rPr>
              <w:t>㎡</w:t>
            </w:r>
            <w:r>
              <w:rPr>
                <w:rFonts w:hint="eastAsia" w:ascii="仿宋_GB2312" w:eastAsia="仿宋_GB2312" w:hAnsiTheme="minorEastAsia"/>
              </w:rPr>
              <w:t>以下</w:t>
            </w:r>
          </w:p>
        </w:tc>
        <w:tc>
          <w:tcPr>
            <w:tcW w:w="1390" w:type="dxa"/>
            <w:vMerge w:val="restart"/>
            <w:tcBorders>
              <w:top w:val="nil"/>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2年</w:t>
            </w: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住宅主体工程±0.00</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住宅主体封顶</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14月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取得竣工验收备案回执</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22月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项目移交且产权转移登记至住房保障部门</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restart"/>
            <w:tcBorders>
              <w:top w:val="nil"/>
              <w:left w:val="single" w:color="auto" w:sz="4" w:space="0"/>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50001</w:t>
            </w:r>
            <w:r>
              <w:rPr>
                <w:rFonts w:hint="eastAsia" w:ascii="仿宋_GB2312" w:hAnsiTheme="minorEastAsia"/>
              </w:rPr>
              <w:t>㎡</w:t>
            </w:r>
            <w:r>
              <w:rPr>
                <w:rFonts w:hint="eastAsia" w:ascii="仿宋_GB2312" w:eastAsia="仿宋_GB2312" w:hAnsiTheme="minorEastAsia"/>
              </w:rPr>
              <w:t>～200000</w:t>
            </w:r>
            <w:r>
              <w:rPr>
                <w:rFonts w:hint="eastAsia" w:ascii="仿宋_GB2312" w:hAnsiTheme="minorEastAsia"/>
              </w:rPr>
              <w:t>㎡</w:t>
            </w:r>
          </w:p>
        </w:tc>
        <w:tc>
          <w:tcPr>
            <w:tcW w:w="1390" w:type="dxa"/>
            <w:vMerge w:val="restart"/>
            <w:tcBorders>
              <w:top w:val="nil"/>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3年</w:t>
            </w: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住宅主体工程±0.00</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住宅主体封顶</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取得竣工验收备案回执</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32月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项目移交且产权转移登记至住房保障部门</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36月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restart"/>
            <w:tcBorders>
              <w:top w:val="nil"/>
              <w:left w:val="single" w:color="auto" w:sz="4" w:space="0"/>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200001</w:t>
            </w:r>
            <w:r>
              <w:rPr>
                <w:rFonts w:hint="eastAsia" w:ascii="仿宋_GB2312" w:hAnsiTheme="minorEastAsia"/>
              </w:rPr>
              <w:t>㎡</w:t>
            </w:r>
            <w:r>
              <w:rPr>
                <w:rFonts w:hint="eastAsia" w:ascii="仿宋_GB2312" w:eastAsia="仿宋_GB2312" w:hAnsiTheme="minorEastAsia"/>
              </w:rPr>
              <w:t>以上</w:t>
            </w:r>
          </w:p>
        </w:tc>
        <w:tc>
          <w:tcPr>
            <w:tcW w:w="1390" w:type="dxa"/>
            <w:vMerge w:val="restart"/>
            <w:tcBorders>
              <w:top w:val="nil"/>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4年</w:t>
            </w: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住宅主体工程±0.00</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13月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住宅主体封顶</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24月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取得竣工验收备案回执</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1390"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hAnsiTheme="minorEastAsia"/>
                <w:szCs w:val="21"/>
              </w:rPr>
            </w:pPr>
          </w:p>
        </w:tc>
        <w:tc>
          <w:tcPr>
            <w:tcW w:w="4110" w:type="dxa"/>
            <w:tcBorders>
              <w:top w:val="single" w:color="auto" w:sz="4" w:space="0"/>
              <w:left w:val="nil"/>
              <w:bottom w:val="single" w:color="auto" w:sz="4" w:space="0"/>
              <w:right w:val="single" w:color="auto" w:sz="4" w:space="0"/>
            </w:tcBorders>
            <w:vAlign w:val="center"/>
          </w:tcPr>
          <w:p>
            <w:pPr>
              <w:adjustRightInd w:val="0"/>
              <w:jc w:val="left"/>
              <w:rPr>
                <w:rFonts w:ascii="仿宋_GB2312" w:eastAsia="仿宋_GB2312" w:hAnsiTheme="minorEastAsia"/>
              </w:rPr>
            </w:pPr>
            <w:r>
              <w:rPr>
                <w:rFonts w:hint="eastAsia" w:ascii="仿宋_GB2312" w:eastAsia="仿宋_GB2312" w:hAnsiTheme="minorEastAsia"/>
              </w:rPr>
              <w:t>项目移交且产权转移登记至住房保障部门</w:t>
            </w:r>
          </w:p>
        </w:tc>
        <w:tc>
          <w:tcPr>
            <w:tcW w:w="911" w:type="dxa"/>
            <w:tcBorders>
              <w:top w:val="single" w:color="auto" w:sz="4" w:space="0"/>
              <w:left w:val="nil"/>
              <w:bottom w:val="single" w:color="auto" w:sz="4" w:space="0"/>
              <w:right w:val="single" w:color="auto" w:sz="4" w:space="0"/>
            </w:tcBorders>
            <w:vAlign w:val="center"/>
          </w:tcPr>
          <w:p>
            <w:pPr>
              <w:adjustRightInd w:val="0"/>
              <w:jc w:val="center"/>
              <w:rPr>
                <w:rFonts w:ascii="仿宋_GB2312" w:eastAsia="仿宋_GB2312" w:hAnsiTheme="minorEastAsia"/>
              </w:rPr>
            </w:pPr>
            <w:r>
              <w:rPr>
                <w:rFonts w:hint="eastAsia" w:ascii="仿宋_GB2312" w:eastAsia="仿宋_GB2312" w:hAnsiTheme="minorEastAsia"/>
              </w:rPr>
              <w:t>48月</w:t>
            </w:r>
          </w:p>
        </w:tc>
      </w:tr>
    </w:tbl>
    <w:p>
      <w:pPr>
        <w:snapToGrid w:val="0"/>
        <w:spacing w:line="360" w:lineRule="auto"/>
        <w:jc w:val="center"/>
        <w:rPr>
          <w:rFonts w:ascii="宋体" w:hAnsi="宋体" w:cs="Times New Roman"/>
          <w:b/>
          <w:bCs/>
          <w:sz w:val="28"/>
          <w:szCs w:val="28"/>
        </w:rPr>
      </w:pPr>
    </w:p>
    <w:p>
      <w:pPr>
        <w:snapToGrid w:val="0"/>
        <w:spacing w:line="360" w:lineRule="auto"/>
        <w:jc w:val="center"/>
        <w:rPr>
          <w:rFonts w:ascii="宋体" w:hAnsi="宋体"/>
          <w:b/>
          <w:bCs/>
          <w:sz w:val="28"/>
          <w:szCs w:val="28"/>
        </w:rPr>
      </w:pPr>
    </w:p>
    <w:p>
      <w:pPr>
        <w:snapToGrid w:val="0"/>
        <w:spacing w:line="360" w:lineRule="auto"/>
        <w:jc w:val="center"/>
        <w:rPr>
          <w:rFonts w:ascii="宋体" w:hAnsi="宋体"/>
          <w:b/>
          <w:bCs/>
          <w:sz w:val="36"/>
          <w:szCs w:val="36"/>
        </w:rPr>
      </w:pPr>
    </w:p>
    <w:p>
      <w:pPr>
        <w:snapToGrid w:val="0"/>
        <w:spacing w:line="360" w:lineRule="auto"/>
        <w:jc w:val="center"/>
        <w:rPr>
          <w:rFonts w:ascii="宋体" w:hAnsi="宋体"/>
          <w:b/>
          <w:bCs/>
          <w:sz w:val="36"/>
          <w:szCs w:val="36"/>
        </w:rPr>
      </w:pPr>
      <w:r>
        <w:rPr>
          <w:rFonts w:hint="eastAsia" w:ascii="宋体" w:hAnsi="宋体"/>
          <w:b/>
          <w:bCs/>
          <w:sz w:val="36"/>
          <w:szCs w:val="36"/>
        </w:rPr>
        <w:t>第四部分 合理利润计算方式</w:t>
      </w:r>
    </w:p>
    <w:tbl>
      <w:tblPr>
        <w:tblStyle w:val="20"/>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77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费用名称</w:t>
            </w:r>
          </w:p>
        </w:tc>
        <w:tc>
          <w:tcPr>
            <w:tcW w:w="3774"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计算公式</w:t>
            </w:r>
          </w:p>
        </w:tc>
        <w:tc>
          <w:tcPr>
            <w:tcW w:w="3827"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合理利润</w:t>
            </w:r>
          </w:p>
        </w:tc>
        <w:tc>
          <w:tcPr>
            <w:tcW w:w="3774"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（土地成本+建设成本）×利润率</w:t>
            </w:r>
          </w:p>
        </w:tc>
        <w:tc>
          <w:tcPr>
            <w:tcW w:w="3827" w:type="dxa"/>
            <w:tcBorders>
              <w:top w:val="single" w:color="auto" w:sz="4" w:space="0"/>
              <w:left w:val="nil"/>
              <w:bottom w:val="single" w:color="auto" w:sz="4" w:space="0"/>
              <w:right w:val="single" w:color="auto" w:sz="4" w:space="0"/>
            </w:tcBorders>
            <w:vAlign w:val="center"/>
          </w:tcPr>
          <w:p>
            <w:pPr>
              <w:snapToGrid w:val="0"/>
              <w:rPr>
                <w:rFonts w:ascii="仿宋_GB2312" w:eastAsia="仿宋_GB2312" w:hAnsiTheme="minorEastAsia"/>
              </w:rPr>
            </w:pPr>
            <w:r>
              <w:rPr>
                <w:rFonts w:hint="eastAsia" w:ascii="仿宋_GB2312" w:eastAsia="仿宋_GB2312" w:hAnsiTheme="minorEastAsia"/>
              </w:rPr>
              <w:t>利润率：按测算时点对应的五年期贷款市场报价利率（LPR）确定，测算时点在2019年8月以前的，按测算时点1-3年的贷款基准利率计算。</w:t>
            </w:r>
          </w:p>
        </w:tc>
      </w:tr>
    </w:tbl>
    <w:p>
      <w:pPr>
        <w:snapToGrid w:val="0"/>
        <w:jc w:val="center"/>
        <w:rPr>
          <w:rFonts w:ascii="宋体" w:hAnsi="宋体"/>
          <w:b/>
          <w:bCs/>
          <w:sz w:val="36"/>
          <w:szCs w:val="36"/>
        </w:rPr>
      </w:pPr>
    </w:p>
    <w:p>
      <w:pPr>
        <w:snapToGrid w:val="0"/>
        <w:jc w:val="center"/>
        <w:rPr>
          <w:rFonts w:ascii="宋体" w:hAnsi="宋体"/>
          <w:b/>
          <w:bCs/>
          <w:sz w:val="36"/>
          <w:szCs w:val="36"/>
        </w:rPr>
      </w:pPr>
    </w:p>
    <w:p>
      <w:pPr>
        <w:snapToGrid w:val="0"/>
        <w:spacing w:line="360" w:lineRule="auto"/>
        <w:jc w:val="center"/>
        <w:rPr>
          <w:rFonts w:ascii="宋体" w:hAnsi="宋体"/>
          <w:b/>
          <w:bCs/>
          <w:sz w:val="36"/>
          <w:szCs w:val="36"/>
        </w:rPr>
      </w:pPr>
      <w:r>
        <w:rPr>
          <w:rFonts w:hint="eastAsia" w:ascii="宋体" w:hAnsi="宋体"/>
          <w:b/>
          <w:bCs/>
          <w:sz w:val="36"/>
          <w:szCs w:val="36"/>
        </w:rPr>
        <w:t>第五部分 户内装饰装修造价确定原则</w:t>
      </w:r>
    </w:p>
    <w:tbl>
      <w:tblPr>
        <w:tblStyle w:val="20"/>
        <w:tblW w:w="8990" w:type="dxa"/>
        <w:jc w:val="center"/>
        <w:tblInd w:w="0" w:type="dxa"/>
        <w:tblLayout w:type="fixed"/>
        <w:tblCellMar>
          <w:top w:w="0" w:type="dxa"/>
          <w:left w:w="108" w:type="dxa"/>
          <w:bottom w:w="0" w:type="dxa"/>
          <w:right w:w="108" w:type="dxa"/>
        </w:tblCellMar>
      </w:tblPr>
      <w:tblGrid>
        <w:gridCol w:w="1902"/>
        <w:gridCol w:w="7088"/>
      </w:tblGrid>
      <w:tr>
        <w:tblPrEx>
          <w:tblLayout w:type="fixed"/>
          <w:tblCellMar>
            <w:top w:w="0" w:type="dxa"/>
            <w:left w:w="108" w:type="dxa"/>
            <w:bottom w:w="0" w:type="dxa"/>
            <w:right w:w="108" w:type="dxa"/>
          </w:tblCellMar>
        </w:tblPrEx>
        <w:trPr>
          <w:trHeight w:val="879"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费用名称</w:t>
            </w:r>
          </w:p>
        </w:tc>
        <w:tc>
          <w:tcPr>
            <w:tcW w:w="7088"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确定原则</w:t>
            </w:r>
          </w:p>
        </w:tc>
      </w:tr>
      <w:tr>
        <w:tblPrEx>
          <w:tblLayout w:type="fixed"/>
          <w:tblCellMar>
            <w:top w:w="0" w:type="dxa"/>
            <w:left w:w="108" w:type="dxa"/>
            <w:bottom w:w="0" w:type="dxa"/>
            <w:right w:w="108" w:type="dxa"/>
          </w:tblCellMar>
        </w:tblPrEx>
        <w:trPr>
          <w:trHeight w:val="905"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rPr>
            </w:pPr>
            <w:r>
              <w:rPr>
                <w:rFonts w:hint="eastAsia" w:ascii="仿宋_GB2312" w:hAnsi="仿宋_GB2312" w:eastAsia="仿宋_GB2312"/>
              </w:rPr>
              <w:t>户内装饰装修造价</w:t>
            </w:r>
          </w:p>
        </w:tc>
        <w:tc>
          <w:tcPr>
            <w:tcW w:w="7088"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rPr>
            </w:pPr>
            <w:r>
              <w:rPr>
                <w:rFonts w:hint="eastAsia" w:ascii="仿宋_GB2312" w:hAnsi="仿宋_GB2312" w:eastAsia="仿宋_GB2312"/>
              </w:rPr>
              <w:t>收购主体或其委托机构按实际装饰装修配置审核户内装饰装修造价，装饰装修造价以审核的结果为准。审核的结果不再下浮，但应计取法定税金</w:t>
            </w:r>
          </w:p>
        </w:tc>
      </w:tr>
    </w:tbl>
    <w:p>
      <w:pPr>
        <w:snapToGrid w:val="0"/>
        <w:jc w:val="center"/>
        <w:rPr>
          <w:rFonts w:ascii="宋体" w:hAnsi="宋体"/>
          <w:b/>
          <w:bCs/>
          <w:sz w:val="36"/>
          <w:szCs w:val="36"/>
        </w:rPr>
      </w:pPr>
    </w:p>
    <w:p>
      <w:pPr>
        <w:jc w:val="center"/>
        <w:rPr>
          <w:rFonts w:hint="eastAsia" w:ascii="仿宋_GB2312" w:hAnsi="仿宋_GB2312" w:eastAsia="仿宋_GB2312"/>
          <w:szCs w:val="21"/>
        </w:rPr>
      </w:pPr>
      <w:r>
        <w:rPr>
          <w:rFonts w:hint="eastAsia" w:ascii="宋体" w:hAnsi="宋体"/>
          <w:b/>
          <w:bCs/>
          <w:kern w:val="0"/>
          <w:sz w:val="28"/>
          <w:szCs w:val="28"/>
        </w:rPr>
        <w:t>表5-</w:t>
      </w:r>
      <w:r>
        <w:rPr>
          <w:rFonts w:hint="eastAsia" w:ascii="宋体" w:hAnsi="宋体"/>
          <w:b/>
          <w:bCs/>
          <w:kern w:val="0"/>
          <w:sz w:val="28"/>
          <w:szCs w:val="28"/>
          <w:lang w:val="en-US" w:eastAsia="zh-CN"/>
        </w:rPr>
        <w:t xml:space="preserve">1 </w:t>
      </w:r>
      <w:r>
        <w:rPr>
          <w:rFonts w:hint="eastAsia" w:ascii="宋体" w:hAnsi="宋体"/>
          <w:b/>
          <w:bCs/>
          <w:kern w:val="0"/>
          <w:sz w:val="28"/>
          <w:szCs w:val="28"/>
        </w:rPr>
        <w:t>建筑安装工程及设备经济指标对应的房屋室内装修标准</w:t>
      </w:r>
    </w:p>
    <w:tbl>
      <w:tblPr>
        <w:tblStyle w:val="20"/>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63"/>
        <w:gridCol w:w="2126"/>
        <w:gridCol w:w="1989"/>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p>
        </w:tc>
        <w:tc>
          <w:tcPr>
            <w:tcW w:w="1763"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厅及房间</w:t>
            </w:r>
          </w:p>
        </w:tc>
        <w:tc>
          <w:tcPr>
            <w:tcW w:w="2126"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卫生间</w:t>
            </w:r>
          </w:p>
        </w:tc>
        <w:tc>
          <w:tcPr>
            <w:tcW w:w="198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厨房</w:t>
            </w:r>
          </w:p>
        </w:tc>
        <w:tc>
          <w:tcPr>
            <w:tcW w:w="1413"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地面</w:t>
            </w:r>
          </w:p>
        </w:tc>
        <w:tc>
          <w:tcPr>
            <w:tcW w:w="1763"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砼结构面</w:t>
            </w:r>
          </w:p>
        </w:tc>
        <w:tc>
          <w:tcPr>
            <w:tcW w:w="2126"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水泥砂浆</w:t>
            </w:r>
          </w:p>
          <w:p>
            <w:pPr>
              <w:snapToGrid w:val="0"/>
              <w:rPr>
                <w:rFonts w:ascii="仿宋_GB2312" w:hAnsi="仿宋_GB2312" w:eastAsia="仿宋_GB2312" w:cs="仿宋_GB2312"/>
              </w:rPr>
            </w:pPr>
            <w:r>
              <w:rPr>
                <w:rFonts w:hint="eastAsia" w:ascii="仿宋_GB2312" w:hAnsi="仿宋_GB2312" w:eastAsia="仿宋_GB2312" w:cs="仿宋_GB2312"/>
              </w:rPr>
              <w:t>(包含地面防水)</w:t>
            </w:r>
          </w:p>
        </w:tc>
        <w:tc>
          <w:tcPr>
            <w:tcW w:w="1989"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水泥砂浆(包含地面防水)</w:t>
            </w:r>
          </w:p>
        </w:tc>
        <w:tc>
          <w:tcPr>
            <w:tcW w:w="1413"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水泥砂浆(包含地面防水)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墙面</w:t>
            </w:r>
          </w:p>
        </w:tc>
        <w:tc>
          <w:tcPr>
            <w:tcW w:w="1763"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有内隔墙，水泥砂浆墙面</w:t>
            </w:r>
          </w:p>
        </w:tc>
        <w:tc>
          <w:tcPr>
            <w:tcW w:w="2126"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有内隔墙，水泥砂浆</w:t>
            </w:r>
          </w:p>
          <w:p>
            <w:pPr>
              <w:snapToGrid w:val="0"/>
              <w:rPr>
                <w:rFonts w:ascii="仿宋_GB2312" w:hAnsi="仿宋_GB2312" w:eastAsia="仿宋_GB2312" w:cs="仿宋_GB2312"/>
              </w:rPr>
            </w:pPr>
            <w:r>
              <w:rPr>
                <w:rFonts w:hint="eastAsia" w:ascii="仿宋_GB2312" w:hAnsi="仿宋_GB2312" w:eastAsia="仿宋_GB2312" w:cs="仿宋_GB2312"/>
              </w:rPr>
              <w:t>（包含墙面防水）</w:t>
            </w:r>
          </w:p>
        </w:tc>
        <w:tc>
          <w:tcPr>
            <w:tcW w:w="1989"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有内隔墙，水泥砂浆（包含墙面防水）</w:t>
            </w:r>
          </w:p>
        </w:tc>
        <w:tc>
          <w:tcPr>
            <w:tcW w:w="1413" w:type="dxa"/>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同外墙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天花</w:t>
            </w:r>
          </w:p>
        </w:tc>
        <w:tc>
          <w:tcPr>
            <w:tcW w:w="7291" w:type="dxa"/>
            <w:gridSpan w:val="4"/>
            <w:tcBorders>
              <w:top w:val="single" w:color="auto" w:sz="4" w:space="0"/>
              <w:left w:val="nil"/>
              <w:bottom w:val="single" w:color="auto" w:sz="4" w:space="0"/>
              <w:right w:val="single" w:color="auto" w:sz="4" w:space="0"/>
            </w:tcBorders>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打磨平整，水泥腻子保护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入户门、窗、栏杆</w:t>
            </w:r>
          </w:p>
        </w:tc>
        <w:tc>
          <w:tcPr>
            <w:tcW w:w="7291" w:type="dxa"/>
            <w:gridSpan w:val="4"/>
            <w:tcBorders>
              <w:top w:val="single" w:color="auto" w:sz="4" w:space="0"/>
              <w:left w:val="nil"/>
              <w:bottom w:val="single" w:color="auto" w:sz="4" w:space="0"/>
              <w:right w:val="single" w:color="auto" w:sz="4" w:space="0"/>
            </w:tcBorders>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安装入户门、阳台门、窗以及栏杆，配件齐全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强电</w:t>
            </w:r>
          </w:p>
        </w:tc>
        <w:tc>
          <w:tcPr>
            <w:tcW w:w="7291" w:type="dxa"/>
            <w:gridSpan w:val="4"/>
            <w:tcBorders>
              <w:top w:val="single" w:color="auto" w:sz="4" w:space="0"/>
              <w:left w:val="nil"/>
              <w:bottom w:val="single" w:color="auto" w:sz="4" w:space="0"/>
              <w:right w:val="single" w:color="auto" w:sz="4" w:space="0"/>
            </w:tcBorders>
            <w:vAlign w:val="center"/>
          </w:tcPr>
          <w:p>
            <w:pPr>
              <w:snapToGrid w:val="0"/>
              <w:rPr>
                <w:rFonts w:ascii="仿宋_GB2312" w:hAnsi="仿宋_GB2312" w:eastAsia="仿宋_GB2312" w:cs="仿宋_GB2312"/>
              </w:rPr>
            </w:pPr>
            <w:r>
              <w:rPr>
                <w:rFonts w:hint="eastAsia" w:ascii="仿宋_GB2312" w:hAnsi="仿宋_GB2312" w:eastAsia="仿宋_GB2312" w:cs="仿宋_GB2312"/>
              </w:rPr>
              <w:t>安装配电箱，电到点：各个房间及阳台开关插座安装完成、配置白炽灯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弱电</w:t>
            </w:r>
          </w:p>
        </w:tc>
        <w:tc>
          <w:tcPr>
            <w:tcW w:w="7291" w:type="dxa"/>
            <w:gridSpan w:val="4"/>
            <w:tcBorders>
              <w:top w:val="single" w:color="auto" w:sz="4" w:space="0"/>
              <w:left w:val="nil"/>
              <w:bottom w:val="single" w:color="auto" w:sz="4" w:space="0"/>
              <w:right w:val="single" w:color="auto" w:sz="4" w:space="0"/>
            </w:tcBorders>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电到点：有线电视及网络分线盒及插孔、电话插座、红外线探头、楼宇对讲、厨房燃气报警器等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给水</w:t>
            </w:r>
          </w:p>
        </w:tc>
        <w:tc>
          <w:tcPr>
            <w:tcW w:w="7291" w:type="dxa"/>
            <w:gridSpan w:val="4"/>
            <w:tcBorders>
              <w:top w:val="single" w:color="auto" w:sz="4" w:space="0"/>
              <w:left w:val="nil"/>
              <w:bottom w:val="single" w:color="auto" w:sz="4" w:space="0"/>
              <w:right w:val="single" w:color="auto" w:sz="4" w:space="0"/>
            </w:tcBorders>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水到点：楼板面给水管用水泥砂浆保护。预留洗手盆洗菜盆给水点，管口加堵头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排水</w:t>
            </w:r>
          </w:p>
        </w:tc>
        <w:tc>
          <w:tcPr>
            <w:tcW w:w="7291" w:type="dxa"/>
            <w:gridSpan w:val="4"/>
            <w:tcBorders>
              <w:top w:val="single" w:color="auto" w:sz="4" w:space="0"/>
              <w:left w:val="nil"/>
              <w:bottom w:val="single" w:color="auto" w:sz="4" w:space="0"/>
              <w:right w:val="single" w:color="auto" w:sz="4" w:space="0"/>
            </w:tcBorders>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预留排气扇洞口；排水管加PVC管帽；安装PVC地漏及配套地漏盖；</w:t>
            </w:r>
          </w:p>
          <w:p>
            <w:pPr>
              <w:snapToGrid w:val="0"/>
              <w:jc w:val="left"/>
              <w:rPr>
                <w:rFonts w:ascii="仿宋_GB2312" w:hAnsi="仿宋_GB2312" w:eastAsia="仿宋_GB2312" w:cs="仿宋_GB2312"/>
              </w:rPr>
            </w:pPr>
            <w:r>
              <w:rPr>
                <w:rFonts w:hint="eastAsia" w:ascii="仿宋_GB2312" w:hAnsi="仿宋_GB2312" w:eastAsia="仿宋_GB2312" w:cs="仿宋_GB2312"/>
              </w:rPr>
              <w:t>阳台安装PVC地漏及配套地漏盖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消防通风</w:t>
            </w:r>
          </w:p>
        </w:tc>
        <w:tc>
          <w:tcPr>
            <w:tcW w:w="7291" w:type="dxa"/>
            <w:gridSpan w:val="4"/>
            <w:tcBorders>
              <w:top w:val="single" w:color="auto" w:sz="4" w:space="0"/>
              <w:left w:val="nil"/>
              <w:bottom w:val="single" w:color="auto" w:sz="4" w:space="0"/>
              <w:right w:val="single" w:color="auto" w:sz="4" w:space="0"/>
            </w:tcBorders>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安装</w:t>
            </w:r>
            <w:r>
              <w:rPr>
                <w:rFonts w:hint="eastAsia" w:ascii="仿宋_GB2312" w:hAnsi="仿宋_GB2312" w:eastAsia="仿宋_GB2312" w:cs="仿宋_GB2312"/>
                <w:kern w:val="0"/>
              </w:rPr>
              <w:t>消防水、消防电、气体灭火系统、通风防排烟系统</w:t>
            </w:r>
          </w:p>
        </w:tc>
      </w:tr>
    </w:tbl>
    <w:p>
      <w:pPr>
        <w:jc w:val="center"/>
        <w:rPr>
          <w:rFonts w:ascii="仿宋_GB2312" w:hAnsi="仿宋"/>
          <w:sz w:val="32"/>
          <w:szCs w:val="32"/>
        </w:rPr>
      </w:pPr>
    </w:p>
    <w:p>
      <w:pPr>
        <w:snapToGrid w:val="0"/>
        <w:spacing w:line="360" w:lineRule="auto"/>
        <w:jc w:val="center"/>
        <w:rPr>
          <w:rFonts w:ascii="宋体" w:hAnsi="宋体" w:cs="Times New Roman"/>
          <w:b/>
          <w:bCs/>
          <w:sz w:val="36"/>
          <w:szCs w:val="36"/>
        </w:rPr>
      </w:pPr>
      <w:r>
        <w:rPr>
          <w:rFonts w:hint="eastAsia" w:ascii="宋体" w:hAnsi="宋体"/>
          <w:b/>
          <w:bCs/>
          <w:sz w:val="36"/>
          <w:szCs w:val="36"/>
        </w:rPr>
        <w:t>第六部分 税金计算方式</w:t>
      </w:r>
    </w:p>
    <w:tbl>
      <w:tblPr>
        <w:tblStyle w:val="2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607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Cs w:val="21"/>
              </w:rPr>
            </w:pPr>
            <w:r>
              <w:rPr>
                <w:rFonts w:hint="eastAsia" w:ascii="黑体" w:hAnsi="黑体" w:eastAsia="黑体"/>
              </w:rPr>
              <w:t>费用名称</w:t>
            </w:r>
          </w:p>
        </w:tc>
        <w:tc>
          <w:tcPr>
            <w:tcW w:w="6077"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计算公式</w:t>
            </w:r>
          </w:p>
        </w:tc>
        <w:tc>
          <w:tcPr>
            <w:tcW w:w="1247" w:type="dxa"/>
            <w:tcBorders>
              <w:top w:val="single" w:color="auto" w:sz="4" w:space="0"/>
              <w:left w:val="nil"/>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hAnsiTheme="minorEastAsia"/>
              </w:rPr>
            </w:pPr>
            <w:r>
              <w:rPr>
                <w:rFonts w:hint="eastAsia" w:ascii="仿宋_GB2312" w:eastAsia="仿宋_GB2312" w:hAnsiTheme="minorEastAsia"/>
              </w:rPr>
              <w:t>法定税金</w:t>
            </w:r>
          </w:p>
          <w:p>
            <w:pPr>
              <w:snapToGrid w:val="0"/>
              <w:rPr>
                <w:rFonts w:ascii="仿宋_GB2312" w:eastAsia="仿宋_GB2312" w:hAnsiTheme="minorEastAsia"/>
              </w:rPr>
            </w:pPr>
            <w:r>
              <w:rPr>
                <w:rFonts w:hint="eastAsia" w:ascii="仿宋_GB2312" w:eastAsia="仿宋_GB2312" w:hAnsiTheme="minorEastAsia"/>
              </w:rPr>
              <w:t>(包括：增值税、城建维护税、教育附加税、印花税)</w:t>
            </w:r>
          </w:p>
        </w:tc>
        <w:tc>
          <w:tcPr>
            <w:tcW w:w="6077" w:type="dxa"/>
            <w:tcBorders>
              <w:top w:val="single" w:color="auto" w:sz="4" w:space="0"/>
              <w:left w:val="nil"/>
              <w:bottom w:val="single" w:color="auto" w:sz="4" w:space="0"/>
              <w:right w:val="single" w:color="auto" w:sz="4" w:space="0"/>
            </w:tcBorders>
            <w:vAlign w:val="center"/>
          </w:tcPr>
          <w:p>
            <w:pPr>
              <w:rPr>
                <w:rFonts w:ascii="仿宋_GB2312" w:eastAsia="仿宋_GB2312" w:hAnsiTheme="minorEastAsia"/>
              </w:rPr>
            </w:pPr>
            <w:r>
              <w:rPr>
                <w:rFonts w:hint="eastAsia" w:ascii="仿宋_GB2312" w:eastAsia="仿宋_GB2312" w:hAnsiTheme="minorEastAsia"/>
              </w:rPr>
              <w:t>（土地成本+建设成本+资金成本+合理利润+户内装饰装修造价）/（1-综合税率）×综合税率</w:t>
            </w:r>
          </w:p>
        </w:tc>
        <w:tc>
          <w:tcPr>
            <w:tcW w:w="1247"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hAnsiTheme="minorEastAsia"/>
              </w:rPr>
            </w:pPr>
            <w:r>
              <w:rPr>
                <w:rFonts w:hint="eastAsia" w:ascii="仿宋_GB2312" w:eastAsia="仿宋_GB2312" w:hAnsiTheme="minorEastAsia"/>
              </w:rPr>
              <w:t>综合税率为5.38%</w:t>
            </w:r>
          </w:p>
        </w:tc>
      </w:tr>
    </w:tbl>
    <w:p>
      <w:pPr>
        <w:snapToGrid w:val="0"/>
        <w:spacing w:line="300" w:lineRule="auto"/>
        <w:rPr>
          <w:rFonts w:ascii="仿宋_GB2312" w:hAnsi="Arial" w:eastAsia="仿宋_GB2312" w:cs="Arial"/>
          <w:color w:val="000000"/>
          <w:sz w:val="32"/>
          <w:szCs w:val="32"/>
        </w:rPr>
      </w:pPr>
      <w:r>
        <w:rPr>
          <w:rFonts w:hint="eastAsia" w:ascii="仿宋_GB2312" w:hAnsi="仿宋_GB2312" w:eastAsia="仿宋_GB2312"/>
        </w:rPr>
        <w:t>注：法定税金在收购价格计算时如已缴纳税金，则按实际缴纳计算，如未缴纳，则按上述简易计税方法计算。</w:t>
      </w:r>
    </w:p>
    <w:sectPr>
      <w:footerReference r:id="rId5" w:type="default"/>
      <w:pgSz w:w="11906" w:h="16838"/>
      <w:pgMar w:top="1701"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8762"/>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6092"/>
      <w:docPartObj>
        <w:docPartGallery w:val="autotext"/>
      </w:docPartObj>
    </w:sdtPr>
    <w:sdtContent>
      <w:p>
        <w:pPr>
          <w:pStyle w:val="11"/>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14</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5"/>
    <w:rsid w:val="00040345"/>
    <w:rsid w:val="00041A1B"/>
    <w:rsid w:val="00044F04"/>
    <w:rsid w:val="00051BC2"/>
    <w:rsid w:val="00052E05"/>
    <w:rsid w:val="00061286"/>
    <w:rsid w:val="00061D0C"/>
    <w:rsid w:val="000819A2"/>
    <w:rsid w:val="0008583F"/>
    <w:rsid w:val="000C0508"/>
    <w:rsid w:val="000C0B3C"/>
    <w:rsid w:val="000E60DC"/>
    <w:rsid w:val="000E7988"/>
    <w:rsid w:val="00115C36"/>
    <w:rsid w:val="0015690C"/>
    <w:rsid w:val="00160593"/>
    <w:rsid w:val="0017728E"/>
    <w:rsid w:val="00192D66"/>
    <w:rsid w:val="001947E6"/>
    <w:rsid w:val="001B4ADD"/>
    <w:rsid w:val="001C2847"/>
    <w:rsid w:val="001D1E77"/>
    <w:rsid w:val="001D2E39"/>
    <w:rsid w:val="001F1D8E"/>
    <w:rsid w:val="001F7A2F"/>
    <w:rsid w:val="002012B8"/>
    <w:rsid w:val="00203A73"/>
    <w:rsid w:val="00210F0F"/>
    <w:rsid w:val="00215D13"/>
    <w:rsid w:val="00227132"/>
    <w:rsid w:val="00231520"/>
    <w:rsid w:val="00237E00"/>
    <w:rsid w:val="002428A5"/>
    <w:rsid w:val="00263F7A"/>
    <w:rsid w:val="00264AD6"/>
    <w:rsid w:val="00290A5C"/>
    <w:rsid w:val="00292B15"/>
    <w:rsid w:val="002B2FB8"/>
    <w:rsid w:val="002B4BE7"/>
    <w:rsid w:val="002D23E6"/>
    <w:rsid w:val="002D5E69"/>
    <w:rsid w:val="002E382B"/>
    <w:rsid w:val="002F28B8"/>
    <w:rsid w:val="003023DF"/>
    <w:rsid w:val="003173B8"/>
    <w:rsid w:val="00317643"/>
    <w:rsid w:val="00325874"/>
    <w:rsid w:val="003331C1"/>
    <w:rsid w:val="00351F35"/>
    <w:rsid w:val="00357439"/>
    <w:rsid w:val="00361030"/>
    <w:rsid w:val="003667BD"/>
    <w:rsid w:val="003671AB"/>
    <w:rsid w:val="003847F1"/>
    <w:rsid w:val="00387507"/>
    <w:rsid w:val="00390918"/>
    <w:rsid w:val="003D0396"/>
    <w:rsid w:val="003D22F7"/>
    <w:rsid w:val="003D30D0"/>
    <w:rsid w:val="00400A2C"/>
    <w:rsid w:val="00403C15"/>
    <w:rsid w:val="00417C97"/>
    <w:rsid w:val="00420D62"/>
    <w:rsid w:val="00427031"/>
    <w:rsid w:val="00431989"/>
    <w:rsid w:val="00460880"/>
    <w:rsid w:val="00477FD9"/>
    <w:rsid w:val="0048578F"/>
    <w:rsid w:val="00496A9B"/>
    <w:rsid w:val="004A1AAA"/>
    <w:rsid w:val="004A7D32"/>
    <w:rsid w:val="004B2255"/>
    <w:rsid w:val="004B7242"/>
    <w:rsid w:val="004C0818"/>
    <w:rsid w:val="004C1C34"/>
    <w:rsid w:val="004C59AF"/>
    <w:rsid w:val="004E36B2"/>
    <w:rsid w:val="005369BA"/>
    <w:rsid w:val="005409C0"/>
    <w:rsid w:val="005538F5"/>
    <w:rsid w:val="005642EA"/>
    <w:rsid w:val="00583C4C"/>
    <w:rsid w:val="005B0E97"/>
    <w:rsid w:val="005B7476"/>
    <w:rsid w:val="005C23E4"/>
    <w:rsid w:val="005E1078"/>
    <w:rsid w:val="005F30B2"/>
    <w:rsid w:val="005F59F3"/>
    <w:rsid w:val="005F72F7"/>
    <w:rsid w:val="005F7431"/>
    <w:rsid w:val="00601E34"/>
    <w:rsid w:val="00635E0A"/>
    <w:rsid w:val="00644C53"/>
    <w:rsid w:val="00647B6C"/>
    <w:rsid w:val="00653B20"/>
    <w:rsid w:val="00674F31"/>
    <w:rsid w:val="00680EEB"/>
    <w:rsid w:val="00685918"/>
    <w:rsid w:val="006928FF"/>
    <w:rsid w:val="006A07BA"/>
    <w:rsid w:val="006A1B2F"/>
    <w:rsid w:val="006A6A90"/>
    <w:rsid w:val="006C1E9B"/>
    <w:rsid w:val="006D052E"/>
    <w:rsid w:val="006D2DD9"/>
    <w:rsid w:val="006E0727"/>
    <w:rsid w:val="006F4C0C"/>
    <w:rsid w:val="00710E63"/>
    <w:rsid w:val="007133A1"/>
    <w:rsid w:val="007247AE"/>
    <w:rsid w:val="00734B36"/>
    <w:rsid w:val="0075528E"/>
    <w:rsid w:val="00795710"/>
    <w:rsid w:val="00795BCC"/>
    <w:rsid w:val="00796B76"/>
    <w:rsid w:val="00797868"/>
    <w:rsid w:val="007B266E"/>
    <w:rsid w:val="007B6CB3"/>
    <w:rsid w:val="007C73C3"/>
    <w:rsid w:val="007D40C5"/>
    <w:rsid w:val="007E1712"/>
    <w:rsid w:val="007F1AF1"/>
    <w:rsid w:val="007F1E04"/>
    <w:rsid w:val="00835293"/>
    <w:rsid w:val="00835D74"/>
    <w:rsid w:val="008518C1"/>
    <w:rsid w:val="00862CBA"/>
    <w:rsid w:val="00874973"/>
    <w:rsid w:val="008809DC"/>
    <w:rsid w:val="00884E67"/>
    <w:rsid w:val="00886895"/>
    <w:rsid w:val="008A0DCE"/>
    <w:rsid w:val="008A19AE"/>
    <w:rsid w:val="008A740B"/>
    <w:rsid w:val="008B31B8"/>
    <w:rsid w:val="008B75B5"/>
    <w:rsid w:val="008C157A"/>
    <w:rsid w:val="008C3BBF"/>
    <w:rsid w:val="008D0724"/>
    <w:rsid w:val="008D0F12"/>
    <w:rsid w:val="008E1E48"/>
    <w:rsid w:val="008E610C"/>
    <w:rsid w:val="0091721A"/>
    <w:rsid w:val="00924946"/>
    <w:rsid w:val="009328C1"/>
    <w:rsid w:val="00942E5A"/>
    <w:rsid w:val="00956F38"/>
    <w:rsid w:val="00974E2B"/>
    <w:rsid w:val="00977132"/>
    <w:rsid w:val="009816B6"/>
    <w:rsid w:val="009A4E94"/>
    <w:rsid w:val="009B40E1"/>
    <w:rsid w:val="009D0DBF"/>
    <w:rsid w:val="009D4CB6"/>
    <w:rsid w:val="009E4F97"/>
    <w:rsid w:val="009F2844"/>
    <w:rsid w:val="00A1744B"/>
    <w:rsid w:val="00A22B42"/>
    <w:rsid w:val="00A27306"/>
    <w:rsid w:val="00A55605"/>
    <w:rsid w:val="00A66DCA"/>
    <w:rsid w:val="00A70746"/>
    <w:rsid w:val="00A75D48"/>
    <w:rsid w:val="00A77B63"/>
    <w:rsid w:val="00A81461"/>
    <w:rsid w:val="00AC77D0"/>
    <w:rsid w:val="00AD1A48"/>
    <w:rsid w:val="00B03377"/>
    <w:rsid w:val="00B570FB"/>
    <w:rsid w:val="00B76914"/>
    <w:rsid w:val="00B850DC"/>
    <w:rsid w:val="00BA2ECB"/>
    <w:rsid w:val="00BA2F16"/>
    <w:rsid w:val="00BB029E"/>
    <w:rsid w:val="00BF7778"/>
    <w:rsid w:val="00C17203"/>
    <w:rsid w:val="00C26812"/>
    <w:rsid w:val="00C337AB"/>
    <w:rsid w:val="00C3433E"/>
    <w:rsid w:val="00C62762"/>
    <w:rsid w:val="00C6581D"/>
    <w:rsid w:val="00C90B56"/>
    <w:rsid w:val="00C969A8"/>
    <w:rsid w:val="00C96BEC"/>
    <w:rsid w:val="00CB5D8E"/>
    <w:rsid w:val="00CD6E3B"/>
    <w:rsid w:val="00CE6AB1"/>
    <w:rsid w:val="00CE6DBF"/>
    <w:rsid w:val="00D00CE8"/>
    <w:rsid w:val="00D10B62"/>
    <w:rsid w:val="00D11921"/>
    <w:rsid w:val="00D12D0F"/>
    <w:rsid w:val="00D242EE"/>
    <w:rsid w:val="00D260FA"/>
    <w:rsid w:val="00D4106E"/>
    <w:rsid w:val="00D46F73"/>
    <w:rsid w:val="00D7193E"/>
    <w:rsid w:val="00D8497D"/>
    <w:rsid w:val="00D912C4"/>
    <w:rsid w:val="00DB2DBF"/>
    <w:rsid w:val="00DB6150"/>
    <w:rsid w:val="00DC31FD"/>
    <w:rsid w:val="00DC537A"/>
    <w:rsid w:val="00DC68D9"/>
    <w:rsid w:val="00DD5391"/>
    <w:rsid w:val="00DE2838"/>
    <w:rsid w:val="00DF7B14"/>
    <w:rsid w:val="00E0000F"/>
    <w:rsid w:val="00E01A75"/>
    <w:rsid w:val="00E229C0"/>
    <w:rsid w:val="00E32CBD"/>
    <w:rsid w:val="00E44BFB"/>
    <w:rsid w:val="00E601C8"/>
    <w:rsid w:val="00E718B6"/>
    <w:rsid w:val="00EA6239"/>
    <w:rsid w:val="00EA7EEE"/>
    <w:rsid w:val="00EB1D0E"/>
    <w:rsid w:val="00EB20F4"/>
    <w:rsid w:val="00EB52DA"/>
    <w:rsid w:val="00EB7547"/>
    <w:rsid w:val="00ED67C4"/>
    <w:rsid w:val="00EE4362"/>
    <w:rsid w:val="00EE790F"/>
    <w:rsid w:val="00EF70D2"/>
    <w:rsid w:val="00F0125F"/>
    <w:rsid w:val="00F126E2"/>
    <w:rsid w:val="00F12C94"/>
    <w:rsid w:val="00F13E5B"/>
    <w:rsid w:val="00F14F5C"/>
    <w:rsid w:val="00F25564"/>
    <w:rsid w:val="00F40F8D"/>
    <w:rsid w:val="00F57A96"/>
    <w:rsid w:val="00F67941"/>
    <w:rsid w:val="00F748FE"/>
    <w:rsid w:val="00FC2CD9"/>
    <w:rsid w:val="00FC589C"/>
    <w:rsid w:val="00FF28DB"/>
    <w:rsid w:val="00FF5FB1"/>
    <w:rsid w:val="05C678BD"/>
    <w:rsid w:val="12D276B3"/>
    <w:rsid w:val="176703D6"/>
    <w:rsid w:val="201E0B40"/>
    <w:rsid w:val="23C17825"/>
    <w:rsid w:val="25A26C99"/>
    <w:rsid w:val="2CD87117"/>
    <w:rsid w:val="2CE6221F"/>
    <w:rsid w:val="2EDC48C3"/>
    <w:rsid w:val="30584423"/>
    <w:rsid w:val="32EE216D"/>
    <w:rsid w:val="397244E6"/>
    <w:rsid w:val="3AB973B9"/>
    <w:rsid w:val="3C0A12B3"/>
    <w:rsid w:val="3F764F06"/>
    <w:rsid w:val="463600E8"/>
    <w:rsid w:val="49801D69"/>
    <w:rsid w:val="49AA0A2B"/>
    <w:rsid w:val="4ED74D4B"/>
    <w:rsid w:val="4FBF3EC4"/>
    <w:rsid w:val="579519B6"/>
    <w:rsid w:val="5940243F"/>
    <w:rsid w:val="6DCE6FC5"/>
    <w:rsid w:val="6E1C281F"/>
    <w:rsid w:val="7909265D"/>
    <w:rsid w:val="7BB341C4"/>
    <w:rsid w:val="7D4C5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qFormat/>
    <w:uiPriority w:val="0"/>
    <w:rPr>
      <w:b/>
      <w:bCs/>
    </w:rPr>
  </w:style>
  <w:style w:type="paragraph" w:styleId="6">
    <w:name w:val="annotation text"/>
    <w:basedOn w:val="1"/>
    <w:link w:val="32"/>
    <w:qFormat/>
    <w:uiPriority w:val="0"/>
    <w:pPr>
      <w:jc w:val="left"/>
    </w:pPr>
  </w:style>
  <w:style w:type="paragraph" w:styleId="7">
    <w:name w:val="toc 3"/>
    <w:basedOn w:val="1"/>
    <w:next w:val="1"/>
    <w:qFormat/>
    <w:uiPriority w:val="39"/>
    <w:pPr>
      <w:ind w:left="840" w:leftChars="400"/>
    </w:pPr>
  </w:style>
  <w:style w:type="paragraph" w:styleId="8">
    <w:name w:val="Plain Text"/>
    <w:basedOn w:val="1"/>
    <w:link w:val="30"/>
    <w:unhideWhenUsed/>
    <w:qFormat/>
    <w:uiPriority w:val="99"/>
    <w:rPr>
      <w:rFonts w:ascii="宋体" w:hAnsi="Courier New" w:eastAsia="宋体" w:cs="Times New Roman"/>
      <w:szCs w:val="21"/>
    </w:rPr>
  </w:style>
  <w:style w:type="paragraph" w:styleId="9">
    <w:name w:val="Date"/>
    <w:basedOn w:val="1"/>
    <w:next w:val="1"/>
    <w:link w:val="35"/>
    <w:semiHidden/>
    <w:unhideWhenUsed/>
    <w:uiPriority w:val="0"/>
    <w:pPr>
      <w:ind w:left="100" w:leftChars="2500"/>
    </w:pPr>
  </w:style>
  <w:style w:type="paragraph" w:styleId="10">
    <w:name w:val="Balloon Text"/>
    <w:basedOn w:val="1"/>
    <w:link w:val="28"/>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7">
    <w:name w:val="page number"/>
    <w:basedOn w:val="16"/>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WPSOffice手动目录 1"/>
    <w:qFormat/>
    <w:uiPriority w:val="0"/>
    <w:rPr>
      <w:rFonts w:ascii="Calibri" w:hAnsi="Calibri" w:eastAsia="宋体" w:cs="Calibri"/>
      <w:lang w:val="en-US" w:eastAsia="zh-CN" w:bidi="ar-SA"/>
    </w:rPr>
  </w:style>
  <w:style w:type="paragraph" w:customStyle="1" w:styleId="23">
    <w:name w:val="WPSOffice手动目录 2"/>
    <w:qFormat/>
    <w:uiPriority w:val="0"/>
    <w:pPr>
      <w:ind w:left="200" w:leftChars="200"/>
    </w:pPr>
    <w:rPr>
      <w:rFonts w:ascii="Calibri" w:hAnsi="Calibri" w:eastAsia="宋体" w:cs="Calibri"/>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6"/>
    <w:link w:val="2"/>
    <w:qFormat/>
    <w:uiPriority w:val="0"/>
    <w:rPr>
      <w:rFonts w:asciiTheme="minorHAnsi" w:hAnsiTheme="minorHAnsi" w:eastAsiaTheme="minorEastAsia" w:cstheme="minorBidi"/>
      <w:b/>
      <w:bCs/>
      <w:kern w:val="44"/>
      <w:sz w:val="44"/>
      <w:szCs w:val="44"/>
    </w:rPr>
  </w:style>
  <w:style w:type="character" w:customStyle="1" w:styleId="26">
    <w:name w:val="标题 2 Char"/>
    <w:basedOn w:val="16"/>
    <w:link w:val="3"/>
    <w:qFormat/>
    <w:uiPriority w:val="0"/>
    <w:rPr>
      <w:rFonts w:asciiTheme="majorHAnsi" w:hAnsiTheme="majorHAnsi" w:eastAsiaTheme="majorEastAsia" w:cstheme="majorBidi"/>
      <w:b/>
      <w:bCs/>
      <w:kern w:val="2"/>
      <w:sz w:val="32"/>
      <w:szCs w:val="32"/>
    </w:rPr>
  </w:style>
  <w:style w:type="character" w:customStyle="1" w:styleId="27">
    <w:name w:val="标题 3 Char"/>
    <w:basedOn w:val="16"/>
    <w:link w:val="4"/>
    <w:semiHidden/>
    <w:qFormat/>
    <w:uiPriority w:val="0"/>
    <w:rPr>
      <w:rFonts w:asciiTheme="minorHAnsi" w:hAnsiTheme="minorHAnsi" w:eastAsiaTheme="minorEastAsia" w:cstheme="minorBidi"/>
      <w:b/>
      <w:bCs/>
      <w:kern w:val="2"/>
      <w:sz w:val="32"/>
      <w:szCs w:val="32"/>
    </w:rPr>
  </w:style>
  <w:style w:type="character" w:customStyle="1" w:styleId="28">
    <w:name w:val="批注框文本 Char"/>
    <w:basedOn w:val="16"/>
    <w:link w:val="10"/>
    <w:qFormat/>
    <w:uiPriority w:val="0"/>
    <w:rPr>
      <w:rFonts w:asciiTheme="minorHAnsi" w:hAnsiTheme="minorHAnsi" w:eastAsiaTheme="minorEastAsia" w:cstheme="minorBidi"/>
      <w:kern w:val="2"/>
      <w:sz w:val="18"/>
      <w:szCs w:val="18"/>
    </w:rPr>
  </w:style>
  <w:style w:type="paragraph" w:customStyle="1" w:styleId="29">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0">
    <w:name w:val="纯文本 Char"/>
    <w:basedOn w:val="16"/>
    <w:link w:val="8"/>
    <w:qFormat/>
    <w:uiPriority w:val="99"/>
    <w:rPr>
      <w:rFonts w:ascii="宋体" w:hAnsi="Courier New" w:cs="Times New Roman"/>
      <w:kern w:val="2"/>
      <w:sz w:val="21"/>
      <w:szCs w:val="21"/>
    </w:rPr>
  </w:style>
  <w:style w:type="paragraph" w:customStyle="1" w:styleId="3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2">
    <w:name w:val="批注文字 Char"/>
    <w:basedOn w:val="16"/>
    <w:link w:val="6"/>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5"/>
    <w:qFormat/>
    <w:uiPriority w:val="0"/>
    <w:rPr>
      <w:rFonts w:asciiTheme="minorHAnsi" w:hAnsiTheme="minorHAnsi" w:eastAsiaTheme="minorEastAsia" w:cstheme="minorBidi"/>
      <w:b/>
      <w:bCs/>
      <w:kern w:val="2"/>
      <w:sz w:val="21"/>
      <w:szCs w:val="24"/>
    </w:rPr>
  </w:style>
  <w:style w:type="character" w:customStyle="1" w:styleId="34">
    <w:name w:val="页脚 Char"/>
    <w:basedOn w:val="16"/>
    <w:link w:val="11"/>
    <w:qFormat/>
    <w:uiPriority w:val="99"/>
    <w:rPr>
      <w:rFonts w:asciiTheme="minorHAnsi" w:hAnsiTheme="minorHAnsi" w:eastAsiaTheme="minorEastAsia" w:cstheme="minorBidi"/>
      <w:kern w:val="2"/>
      <w:sz w:val="18"/>
      <w:szCs w:val="18"/>
    </w:rPr>
  </w:style>
  <w:style w:type="character" w:customStyle="1" w:styleId="35">
    <w:name w:val="日期 Char"/>
    <w:basedOn w:val="16"/>
    <w:link w:val="9"/>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AB2EF-A600-414A-B896-741818669920}">
  <ds:schemaRefs/>
</ds:datastoreItem>
</file>

<file path=docProps/app.xml><?xml version="1.0" encoding="utf-8"?>
<Properties xmlns="http://schemas.openxmlformats.org/officeDocument/2006/extended-properties" xmlns:vt="http://schemas.openxmlformats.org/officeDocument/2006/docPropsVTypes">
  <Template>Normal</Template>
  <Pages>1</Pages>
  <Words>1214</Words>
  <Characters>6924</Characters>
  <Lines>57</Lines>
  <Paragraphs>16</Paragraphs>
  <TotalTime>1717</TotalTime>
  <ScaleCrop>false</ScaleCrop>
  <LinksUpToDate>false</LinksUpToDate>
  <CharactersWithSpaces>8122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2020-12-02T08:18:00Z</dcterms:created>
  <dc:creator>若晨</dc:creator>
  <cp:lastModifiedBy>LINHENG</cp:lastModifiedBy>
  <dcterms:modified xsi:type="dcterms:W3CDTF">2020-12-24T06:29:40Z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