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60" w:lineRule="exact"/>
        <w:jc w:val="center"/>
        <w:rPr>
          <w:rFonts w:ascii="Times New Roman" w:hAnsi="Times New Roman" w:eastAsia="仿宋_GB2312" w:cs="Times New Roman"/>
          <w:sz w:val="32"/>
          <w:szCs w:val="32"/>
        </w:rPr>
      </w:pPr>
    </w:p>
    <w:p>
      <w:pPr>
        <w:pStyle w:val="9"/>
        <w:spacing w:before="0" w:beforeAutospacing="0" w:after="0" w:afterAutospacing="0"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深圳市药品集中</w:t>
      </w:r>
      <w:r>
        <w:rPr>
          <w:rFonts w:hint="eastAsia" w:ascii="Times New Roman" w:hAnsi="Times New Roman" w:eastAsia="方正小标宋_GBK" w:cs="Times New Roman"/>
          <w:sz w:val="44"/>
          <w:szCs w:val="44"/>
        </w:rPr>
        <w:t>带量</w:t>
      </w:r>
      <w:r>
        <w:rPr>
          <w:rFonts w:ascii="Times New Roman" w:hAnsi="Times New Roman" w:eastAsia="方正小标宋_GBK" w:cs="Times New Roman"/>
          <w:sz w:val="44"/>
          <w:szCs w:val="44"/>
        </w:rPr>
        <w:t>采购中</w:t>
      </w:r>
      <w:r>
        <w:rPr>
          <w:rFonts w:ascii="Times New Roman" w:hAnsi="Times New Roman" w:eastAsia="方正小标宋_GBK" w:cs="Times New Roman"/>
          <w:sz w:val="44"/>
          <w:szCs w:val="44"/>
        </w:rPr>
        <w:br w:type="textWrapping"/>
      </w:r>
      <w:r>
        <w:rPr>
          <w:rFonts w:ascii="Times New Roman" w:hAnsi="Times New Roman" w:eastAsia="方正小标宋_GBK" w:cs="Times New Roman"/>
          <w:sz w:val="44"/>
          <w:szCs w:val="44"/>
        </w:rPr>
        <w:t>医保资金结余留用</w:t>
      </w:r>
      <w:r>
        <w:rPr>
          <w:rFonts w:hint="eastAsia" w:ascii="Times New Roman" w:hAnsi="Times New Roman" w:eastAsia="方正小标宋_GBK" w:cs="Times New Roman"/>
          <w:sz w:val="44"/>
          <w:szCs w:val="44"/>
        </w:rPr>
        <w:t>暂行</w:t>
      </w:r>
      <w:r>
        <w:rPr>
          <w:rFonts w:ascii="Times New Roman" w:hAnsi="Times New Roman" w:eastAsia="方正小标宋_GBK" w:cs="Times New Roman"/>
          <w:sz w:val="44"/>
          <w:szCs w:val="44"/>
        </w:rPr>
        <w:t>管理办法</w:t>
      </w:r>
    </w:p>
    <w:p>
      <w:pPr>
        <w:pStyle w:val="9"/>
        <w:spacing w:before="0" w:beforeAutospacing="0" w:after="0" w:afterAutospacing="0" w:line="560" w:lineRule="exact"/>
        <w:ind w:firstLine="640" w:firstLineChars="200"/>
        <w:jc w:val="center"/>
        <w:rPr>
          <w:rFonts w:hint="eastAsia" w:ascii="Times New Roman" w:hAnsi="Times New Roman" w:eastAsia="楷体" w:cs="Times New Roman"/>
          <w:sz w:val="32"/>
          <w:szCs w:val="32"/>
          <w:lang w:eastAsia="zh-CN"/>
        </w:rPr>
      </w:pPr>
      <w:r>
        <w:rPr>
          <w:rFonts w:hint="eastAsia" w:ascii="Times New Roman" w:hAnsi="Times New Roman" w:eastAsia="楷体" w:cs="Times New Roman"/>
          <w:sz w:val="32"/>
          <w:szCs w:val="32"/>
          <w:lang w:eastAsia="zh-CN"/>
        </w:rPr>
        <w:t>（</w:t>
      </w:r>
      <w:r>
        <w:rPr>
          <w:rFonts w:hint="eastAsia" w:ascii="Times New Roman" w:hAnsi="Times New Roman" w:eastAsia="楷体" w:cs="Times New Roman"/>
          <w:sz w:val="32"/>
          <w:szCs w:val="32"/>
          <w:lang w:val="en-US" w:eastAsia="zh-CN"/>
        </w:rPr>
        <w:t>征求意见稿</w:t>
      </w:r>
      <w:r>
        <w:rPr>
          <w:rFonts w:hint="eastAsia" w:ascii="Times New Roman" w:hAnsi="Times New Roman" w:eastAsia="楷体" w:cs="Times New Roman"/>
          <w:sz w:val="32"/>
          <w:szCs w:val="32"/>
          <w:lang w:eastAsia="zh-CN"/>
        </w:rPr>
        <w:t>）</w:t>
      </w:r>
    </w:p>
    <w:p>
      <w:pPr>
        <w:pStyle w:val="9"/>
        <w:spacing w:before="0" w:beforeAutospacing="0" w:after="0" w:afterAutospacing="0" w:line="560" w:lineRule="exact"/>
        <w:ind w:firstLine="640" w:firstLineChars="200"/>
        <w:jc w:val="center"/>
        <w:rPr>
          <w:rFonts w:hint="eastAsia" w:ascii="Times New Roman" w:hAnsi="Times New Roman" w:eastAsia="楷体" w:cs="Times New Roman"/>
          <w:sz w:val="32"/>
          <w:szCs w:val="32"/>
          <w:lang w:eastAsia="zh-CN"/>
        </w:rPr>
      </w:pPr>
    </w:p>
    <w:p>
      <w:pPr>
        <w:pStyle w:val="9"/>
        <w:adjustRightInd w:val="0"/>
        <w:snapToGrid w:val="0"/>
        <w:spacing w:before="0" w:beforeAutospacing="0" w:after="0" w:afterAutospacing="0" w:line="560" w:lineRule="exact"/>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pPr>
        <w:pStyle w:val="9"/>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一</w:t>
      </w:r>
      <w:r>
        <w:rPr>
          <w:rFonts w:ascii="Times New Roman" w:hAnsi="Times New Roman" w:eastAsia="仿宋_GB2312" w:cs="Times New Roman"/>
          <w:b/>
          <w:bCs/>
          <w:sz w:val="32"/>
          <w:szCs w:val="32"/>
        </w:rPr>
        <w:fldChar w:fldCharType="end"/>
      </w:r>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rPr>
        <w:t>目的及</w:t>
      </w:r>
      <w:r>
        <w:rPr>
          <w:rFonts w:ascii="Times New Roman" w:hAnsi="Times New Roman" w:eastAsia="仿宋_GB2312" w:cs="Times New Roman"/>
          <w:b/>
          <w:bCs/>
          <w:sz w:val="32"/>
          <w:szCs w:val="32"/>
        </w:rPr>
        <w:t>政策依据】</w:t>
      </w:r>
      <w:r>
        <w:rPr>
          <w:rFonts w:ascii="Times New Roman" w:hAnsi="Times New Roman" w:eastAsia="仿宋_GB2312" w:cs="Times New Roman"/>
          <w:sz w:val="32"/>
          <w:szCs w:val="32"/>
        </w:rPr>
        <w:t xml:space="preserve"> 为进一步提升医疗机构和医务人员参与药品集中</w:t>
      </w:r>
      <w:r>
        <w:rPr>
          <w:rFonts w:hint="eastAsia" w:ascii="Times New Roman" w:hAnsi="Times New Roman" w:eastAsia="仿宋_GB2312" w:cs="Times New Roman"/>
          <w:sz w:val="32"/>
          <w:szCs w:val="32"/>
        </w:rPr>
        <w:t>带量</w:t>
      </w:r>
      <w:r>
        <w:rPr>
          <w:rFonts w:ascii="Times New Roman" w:hAnsi="Times New Roman" w:eastAsia="仿宋_GB2312" w:cs="Times New Roman"/>
          <w:sz w:val="32"/>
          <w:szCs w:val="32"/>
        </w:rPr>
        <w:t>采购工作的积极性，推进“三医联动”改革，根据《国家医保局 财政部关于国家组织药品集中采购工作中医保资金结余留用的指导意见》（医保发〔2020〕26号）、《广东省医疗保障局 广东省财政厅关于</w:t>
      </w:r>
      <w:r>
        <w:rPr>
          <w:rFonts w:hint="eastAsia" w:ascii="Times New Roman" w:hAnsi="Times New Roman" w:eastAsia="仿宋_GB2312" w:cs="Times New Roman"/>
          <w:sz w:val="32"/>
          <w:szCs w:val="32"/>
        </w:rPr>
        <w:t>广东省全面落实</w:t>
      </w:r>
      <w:r>
        <w:rPr>
          <w:rFonts w:ascii="Times New Roman" w:hAnsi="Times New Roman" w:eastAsia="仿宋_GB2312" w:cs="Times New Roman"/>
          <w:sz w:val="32"/>
          <w:szCs w:val="32"/>
        </w:rPr>
        <w:t>国家组织药品集中采购工作中医保资金结余留用政策的</w:t>
      </w:r>
      <w:r>
        <w:rPr>
          <w:rFonts w:hint="eastAsia" w:ascii="Times New Roman" w:hAnsi="Times New Roman" w:eastAsia="仿宋_GB2312" w:cs="Times New Roman"/>
          <w:sz w:val="32"/>
          <w:szCs w:val="32"/>
        </w:rPr>
        <w:t>通知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粤</w:t>
      </w:r>
      <w:r>
        <w:rPr>
          <w:rFonts w:ascii="Times New Roman" w:hAnsi="Times New Roman" w:eastAsia="仿宋_GB2312" w:cs="Times New Roman"/>
          <w:sz w:val="32"/>
          <w:szCs w:val="32"/>
        </w:rPr>
        <w:t>医保发〔2020〕</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6号）</w:t>
      </w:r>
      <w:r>
        <w:rPr>
          <w:rFonts w:hint="eastAsia" w:ascii="Times New Roman" w:hAnsi="Times New Roman" w:eastAsia="仿宋_GB2312" w:cs="Times New Roman"/>
          <w:sz w:val="32"/>
          <w:szCs w:val="32"/>
        </w:rPr>
        <w:t>、《深圳市社会医疗保险定点医药机构医疗费用支付办法》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深</w:t>
      </w:r>
      <w:r>
        <w:rPr>
          <w:rFonts w:ascii="Times New Roman" w:hAnsi="Times New Roman" w:eastAsia="仿宋_GB2312" w:cs="Times New Roman"/>
          <w:sz w:val="32"/>
          <w:szCs w:val="32"/>
        </w:rPr>
        <w:t>医保</w:t>
      </w:r>
      <w:r>
        <w:rPr>
          <w:rFonts w:hint="eastAsia" w:ascii="Times New Roman" w:hAnsi="Times New Roman" w:eastAsia="仿宋_GB2312" w:cs="Times New Roman"/>
          <w:sz w:val="32"/>
          <w:szCs w:val="32"/>
        </w:rPr>
        <w:t>规</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号）等</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关规定，制定本办法。</w:t>
      </w:r>
    </w:p>
    <w:p>
      <w:pPr>
        <w:pStyle w:val="9"/>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二</w:t>
      </w:r>
      <w:r>
        <w:rPr>
          <w:rFonts w:ascii="Times New Roman" w:hAnsi="Times New Roman" w:eastAsia="仿宋_GB2312" w:cs="Times New Roman"/>
          <w:b/>
          <w:bCs/>
          <w:sz w:val="32"/>
          <w:szCs w:val="32"/>
        </w:rPr>
        <w:fldChar w:fldCharType="end"/>
      </w:r>
      <w:r>
        <w:rPr>
          <w:rFonts w:ascii="Times New Roman" w:hAnsi="Times New Roman" w:eastAsia="仿宋_GB2312" w:cs="Times New Roman"/>
          <w:b/>
          <w:bCs/>
          <w:sz w:val="32"/>
          <w:szCs w:val="32"/>
        </w:rPr>
        <w:t>条【适用范围】</w:t>
      </w:r>
      <w:r>
        <w:rPr>
          <w:rFonts w:ascii="Times New Roman" w:hAnsi="Times New Roman" w:eastAsia="仿宋_GB2312" w:cs="Times New Roman"/>
          <w:sz w:val="32"/>
          <w:szCs w:val="32"/>
        </w:rPr>
        <w:t xml:space="preserve"> 本市</w:t>
      </w:r>
      <w:r>
        <w:rPr>
          <w:rFonts w:hint="eastAsia" w:ascii="Times New Roman" w:hAnsi="Times New Roman" w:eastAsia="仿宋_GB2312" w:cs="Times New Roman"/>
          <w:sz w:val="32"/>
          <w:szCs w:val="32"/>
        </w:rPr>
        <w:t>医疗保障经办机构与本市行政区域内定点医疗机构就</w:t>
      </w:r>
      <w:r>
        <w:rPr>
          <w:rFonts w:ascii="Times New Roman" w:hAnsi="Times New Roman" w:eastAsia="仿宋_GB2312" w:cs="Times New Roman"/>
          <w:sz w:val="32"/>
          <w:szCs w:val="32"/>
        </w:rPr>
        <w:t>国家</w:t>
      </w:r>
      <w:r>
        <w:rPr>
          <w:rFonts w:hint="eastAsia" w:ascii="Times New Roman" w:hAnsi="Times New Roman" w:eastAsia="仿宋_GB2312" w:cs="Times New Roman"/>
          <w:sz w:val="32"/>
          <w:szCs w:val="32"/>
        </w:rPr>
        <w:t>、广东省、深圳市统一</w:t>
      </w:r>
      <w:r>
        <w:rPr>
          <w:rFonts w:ascii="Times New Roman" w:hAnsi="Times New Roman" w:eastAsia="仿宋_GB2312" w:cs="Times New Roman"/>
          <w:sz w:val="32"/>
          <w:szCs w:val="32"/>
        </w:rPr>
        <w:t>组织药品集中</w:t>
      </w:r>
      <w:r>
        <w:rPr>
          <w:rFonts w:hint="eastAsia" w:ascii="Times New Roman" w:hAnsi="Times New Roman" w:eastAsia="仿宋_GB2312" w:cs="Times New Roman"/>
          <w:sz w:val="32"/>
          <w:szCs w:val="32"/>
        </w:rPr>
        <w:t>带量</w:t>
      </w:r>
      <w:r>
        <w:rPr>
          <w:rFonts w:ascii="Times New Roman" w:hAnsi="Times New Roman" w:eastAsia="仿宋_GB2312" w:cs="Times New Roman"/>
          <w:sz w:val="32"/>
          <w:szCs w:val="32"/>
        </w:rPr>
        <w:t>采购工作中</w:t>
      </w:r>
      <w:r>
        <w:rPr>
          <w:rFonts w:hint="eastAsia" w:ascii="Times New Roman" w:hAnsi="Times New Roman" w:eastAsia="仿宋_GB2312" w:cs="Times New Roman"/>
          <w:sz w:val="32"/>
          <w:szCs w:val="32"/>
        </w:rPr>
        <w:t>采购的医保目录内药品</w:t>
      </w:r>
      <w:r>
        <w:rPr>
          <w:rFonts w:ascii="Times New Roman" w:hAnsi="Times New Roman" w:eastAsia="仿宋_GB2312" w:cs="Times New Roman"/>
          <w:sz w:val="32"/>
          <w:szCs w:val="32"/>
        </w:rPr>
        <w:t>（下称“集采</w:t>
      </w:r>
      <w:r>
        <w:rPr>
          <w:rFonts w:hint="eastAsia" w:ascii="Times New Roman" w:hAnsi="Times New Roman" w:eastAsia="仿宋_GB2312" w:cs="Times New Roman"/>
          <w:sz w:val="32"/>
          <w:szCs w:val="32"/>
        </w:rPr>
        <w:t>药品</w:t>
      </w:r>
      <w:r>
        <w:rPr>
          <w:rFonts w:ascii="Times New Roman" w:hAnsi="Times New Roman" w:eastAsia="仿宋_GB2312" w:cs="Times New Roman"/>
          <w:sz w:val="32"/>
          <w:szCs w:val="32"/>
        </w:rPr>
        <w:t>”）医保资金</w:t>
      </w:r>
      <w:r>
        <w:rPr>
          <w:rFonts w:hint="eastAsia" w:ascii="Times New Roman" w:hAnsi="Times New Roman" w:eastAsia="仿宋_GB2312" w:cs="Times New Roman"/>
          <w:sz w:val="32"/>
          <w:szCs w:val="32"/>
        </w:rPr>
        <w:t>预算、</w:t>
      </w:r>
      <w:r>
        <w:rPr>
          <w:rFonts w:ascii="Times New Roman" w:hAnsi="Times New Roman" w:eastAsia="仿宋_GB2312" w:cs="Times New Roman"/>
          <w:sz w:val="32"/>
          <w:szCs w:val="32"/>
        </w:rPr>
        <w:t>结余</w:t>
      </w:r>
      <w:r>
        <w:rPr>
          <w:rFonts w:hint="eastAsia" w:ascii="Times New Roman" w:hAnsi="Times New Roman" w:eastAsia="仿宋_GB2312" w:cs="Times New Roman"/>
          <w:sz w:val="32"/>
          <w:szCs w:val="32"/>
        </w:rPr>
        <w:t>核算、考核评价和</w:t>
      </w:r>
      <w:r>
        <w:rPr>
          <w:rFonts w:ascii="Times New Roman" w:hAnsi="Times New Roman" w:eastAsia="仿宋_GB2312" w:cs="Times New Roman"/>
          <w:sz w:val="32"/>
          <w:szCs w:val="32"/>
        </w:rPr>
        <w:t>留用管理，适用本办法。</w:t>
      </w:r>
    </w:p>
    <w:p>
      <w:pPr>
        <w:pStyle w:val="9"/>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三</w:t>
      </w:r>
      <w:r>
        <w:rPr>
          <w:rFonts w:ascii="Times New Roman" w:hAnsi="Times New Roman" w:eastAsia="仿宋_GB2312" w:cs="Times New Roman"/>
          <w:b/>
          <w:bCs/>
          <w:sz w:val="32"/>
          <w:szCs w:val="32"/>
        </w:rPr>
        <w:fldChar w:fldCharType="end"/>
      </w:r>
      <w:r>
        <w:rPr>
          <w:rFonts w:ascii="Times New Roman" w:hAnsi="Times New Roman" w:eastAsia="仿宋_GB2312" w:cs="Times New Roman"/>
          <w:b/>
          <w:bCs/>
          <w:sz w:val="32"/>
          <w:szCs w:val="32"/>
        </w:rPr>
        <w:t>条 【</w:t>
      </w:r>
      <w:r>
        <w:rPr>
          <w:rFonts w:hint="eastAsia" w:ascii="Times New Roman" w:hAnsi="Times New Roman" w:eastAsia="仿宋_GB2312" w:cs="Times New Roman"/>
          <w:b/>
          <w:bCs/>
          <w:sz w:val="32"/>
          <w:szCs w:val="32"/>
        </w:rPr>
        <w:t>结余留用</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rPr>
        <w:t>集采药品医保资金结余留用，坚持合理预算、科学测算、总体平衡工作方向，实行采购周期内年度预算管理，结余资金按采购执行年度结算，科学考核评价执行效果，合理分配和使用留用资金。</w:t>
      </w:r>
    </w:p>
    <w:p>
      <w:pPr>
        <w:pStyle w:val="9"/>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四</w:t>
      </w:r>
      <w:r>
        <w:rPr>
          <w:rFonts w:ascii="Times New Roman" w:hAnsi="Times New Roman" w:eastAsia="仿宋_GB2312" w:cs="Times New Roman"/>
          <w:b/>
          <w:bCs/>
          <w:sz w:val="32"/>
          <w:szCs w:val="32"/>
        </w:rPr>
        <w:fldChar w:fldCharType="end"/>
      </w:r>
      <w:r>
        <w:rPr>
          <w:rFonts w:ascii="Times New Roman" w:hAnsi="Times New Roman" w:eastAsia="仿宋_GB2312" w:cs="Times New Roman"/>
          <w:b/>
          <w:bCs/>
          <w:sz w:val="32"/>
          <w:szCs w:val="32"/>
        </w:rPr>
        <w:t>条【职责分工】</w:t>
      </w:r>
      <w:r>
        <w:rPr>
          <w:rFonts w:hint="eastAsia" w:ascii="Times New Roman" w:hAnsi="Times New Roman" w:eastAsia="仿宋_GB2312" w:cs="Times New Roman"/>
          <w:sz w:val="32"/>
          <w:szCs w:val="32"/>
        </w:rPr>
        <w:t>市医疗保障行政部门会同财政部门、卫生健康部门制定并完善集采药品医保资金结余留用相关制度和办法，制定考核标准，加强对结余留用资金分配和使用的指导监督，做好结余留用与医保支付标准和医疗服务价格调整的衔接，指导市医疗保障经办机构实施本办法。</w:t>
      </w:r>
    </w:p>
    <w:p>
      <w:pPr>
        <w:pStyle w:val="9"/>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市财政部门</w:t>
      </w:r>
      <w:r>
        <w:rPr>
          <w:rFonts w:hint="eastAsia" w:ascii="Times New Roman" w:hAnsi="Times New Roman" w:eastAsia="仿宋_GB2312" w:cs="Times New Roman"/>
          <w:sz w:val="32"/>
          <w:szCs w:val="32"/>
          <w:lang w:val="en-US" w:eastAsia="zh-CN"/>
        </w:rPr>
        <w:t>负责</w:t>
      </w:r>
      <w:r>
        <w:rPr>
          <w:rFonts w:hint="eastAsia" w:ascii="Times New Roman" w:hAnsi="Times New Roman" w:eastAsia="仿宋_GB2312" w:cs="Times New Roman"/>
          <w:sz w:val="32"/>
          <w:szCs w:val="32"/>
        </w:rPr>
        <w:t>加强预算管理、基金使用的指导和监督，做好结余留用与财政补助之间的衔接。</w:t>
      </w:r>
    </w:p>
    <w:p>
      <w:pPr>
        <w:pStyle w:val="9"/>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市卫生健康部门负责指导医疗机构合理分配结余留用资金，并加强对结余留用资金的使用监督。</w:t>
      </w:r>
    </w:p>
    <w:p>
      <w:pPr>
        <w:pStyle w:val="9"/>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 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五</w:t>
      </w:r>
      <w:r>
        <w:rPr>
          <w:rFonts w:ascii="Times New Roman" w:hAnsi="Times New Roman" w:eastAsia="仿宋_GB2312" w:cs="Times New Roman"/>
          <w:b/>
          <w:bCs/>
          <w:sz w:val="32"/>
          <w:szCs w:val="32"/>
        </w:rPr>
        <w:fldChar w:fldCharType="end"/>
      </w:r>
      <w:r>
        <w:rPr>
          <w:rFonts w:ascii="Times New Roman" w:hAnsi="Times New Roman" w:eastAsia="仿宋_GB2312" w:cs="Times New Roman"/>
          <w:b/>
          <w:bCs/>
          <w:sz w:val="32"/>
          <w:szCs w:val="32"/>
        </w:rPr>
        <w:t>条 【管理原则】</w:t>
      </w:r>
      <w:r>
        <w:rPr>
          <w:rFonts w:hint="eastAsia" w:ascii="Times New Roman" w:hAnsi="Times New Roman" w:eastAsia="仿宋_GB2312" w:cs="Times New Roman"/>
          <w:sz w:val="32"/>
          <w:szCs w:val="32"/>
        </w:rPr>
        <w:t>集采药品医保资金结余留用</w:t>
      </w:r>
      <w:r>
        <w:rPr>
          <w:rFonts w:ascii="Times New Roman" w:hAnsi="Times New Roman" w:eastAsia="仿宋_GB2312" w:cs="Times New Roman"/>
          <w:sz w:val="32"/>
          <w:szCs w:val="32"/>
        </w:rPr>
        <w:t>管理遵循客观、公平、公正、激励为主的原则，鼓励医疗机构和医务人员参与</w:t>
      </w:r>
      <w:r>
        <w:rPr>
          <w:rFonts w:hint="eastAsia" w:ascii="Times New Roman" w:hAnsi="Times New Roman" w:eastAsia="仿宋_GB2312" w:cs="Times New Roman"/>
          <w:sz w:val="32"/>
          <w:szCs w:val="32"/>
        </w:rPr>
        <w:t>药品集中带量采购改革</w:t>
      </w:r>
      <w:r>
        <w:rPr>
          <w:rFonts w:ascii="Times New Roman" w:hAnsi="Times New Roman" w:eastAsia="仿宋_GB2312" w:cs="Times New Roman"/>
          <w:sz w:val="32"/>
          <w:szCs w:val="32"/>
        </w:rPr>
        <w:t>。</w:t>
      </w:r>
    </w:p>
    <w:p>
      <w:pPr>
        <w:pStyle w:val="9"/>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p>
    <w:p>
      <w:pPr>
        <w:pStyle w:val="9"/>
        <w:adjustRightInd w:val="0"/>
        <w:snapToGrid w:val="0"/>
        <w:spacing w:before="0" w:beforeAutospacing="0" w:after="0" w:afterAutospacing="0" w:line="560" w:lineRule="exact"/>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第二章 </w:t>
      </w:r>
      <w:r>
        <w:rPr>
          <w:rFonts w:hint="eastAsia" w:ascii="Times New Roman" w:hAnsi="Times New Roman" w:eastAsia="黑体" w:cs="Times New Roman"/>
          <w:sz w:val="32"/>
          <w:szCs w:val="32"/>
        </w:rPr>
        <w:t>医保资金预算管理</w:t>
      </w:r>
    </w:p>
    <w:p>
      <w:pPr>
        <w:pStyle w:val="9"/>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六</w:t>
      </w:r>
      <w:r>
        <w:rPr>
          <w:rFonts w:ascii="Times New Roman" w:hAnsi="Times New Roman" w:eastAsia="仿宋_GB2312" w:cs="Times New Roman"/>
          <w:b/>
          <w:bCs/>
          <w:sz w:val="32"/>
          <w:szCs w:val="32"/>
        </w:rPr>
        <w:fldChar w:fldCharType="end"/>
      </w:r>
      <w:r>
        <w:rPr>
          <w:rFonts w:ascii="Times New Roman" w:hAnsi="Times New Roman" w:eastAsia="仿宋_GB2312" w:cs="Times New Roman"/>
          <w:b/>
          <w:bCs/>
          <w:sz w:val="32"/>
          <w:szCs w:val="32"/>
        </w:rPr>
        <w:t>条 【预算管理】</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坚持医保基金总额预算管理，合理确定年度基金可分配总量，</w:t>
      </w:r>
      <w:r>
        <w:rPr>
          <w:rFonts w:ascii="Times New Roman" w:hAnsi="Times New Roman" w:eastAsia="仿宋_GB2312" w:cs="Times New Roman"/>
          <w:sz w:val="32"/>
          <w:szCs w:val="32"/>
        </w:rPr>
        <w:t>集采药品费用纳入年度基金可分配总量，在采购周期内实施医保资金预算管理，以1个采购执行年度为单位确定集采药品年度医保资金预算。</w:t>
      </w:r>
    </w:p>
    <w:p>
      <w:pPr>
        <w:pStyle w:val="9"/>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七</w:t>
      </w:r>
      <w:r>
        <w:rPr>
          <w:rFonts w:ascii="Times New Roman" w:hAnsi="Times New Roman" w:eastAsia="仿宋_GB2312" w:cs="Times New Roman"/>
          <w:b/>
          <w:bCs/>
          <w:sz w:val="32"/>
          <w:szCs w:val="32"/>
        </w:rPr>
        <w:fldChar w:fldCharType="end"/>
      </w:r>
      <w:r>
        <w:rPr>
          <w:rFonts w:hint="eastAsia" w:ascii="Times New Roman" w:hAnsi="Times New Roman" w:eastAsia="仿宋_GB2312" w:cs="Times New Roman"/>
          <w:b/>
          <w:bCs/>
          <w:sz w:val="32"/>
          <w:szCs w:val="32"/>
        </w:rPr>
        <w:t>条 【预算支出】</w:t>
      </w:r>
      <w:r>
        <w:rPr>
          <w:rFonts w:hint="eastAsia" w:ascii="Times New Roman" w:hAnsi="Times New Roman" w:eastAsia="仿宋_GB2312" w:cs="Times New Roman"/>
          <w:sz w:val="32"/>
          <w:szCs w:val="32"/>
        </w:rPr>
        <w:t xml:space="preserve"> 集采药品结余留用资金支出列入基本医疗保险待遇支出科目，按上年度大病统筹基金、社区门诊统筹基金等实际支出比例进行分配并计入相应支出科目。</w:t>
      </w:r>
    </w:p>
    <w:p>
      <w:pPr>
        <w:pStyle w:val="9"/>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八</w:t>
      </w:r>
      <w:r>
        <w:rPr>
          <w:rFonts w:ascii="Times New Roman" w:hAnsi="Times New Roman" w:eastAsia="仿宋_GB2312" w:cs="Times New Roman"/>
          <w:b/>
          <w:bCs/>
          <w:sz w:val="32"/>
          <w:szCs w:val="32"/>
        </w:rPr>
        <w:fldChar w:fldCharType="end"/>
      </w:r>
      <w:r>
        <w:rPr>
          <w:rFonts w:ascii="Times New Roman" w:hAnsi="Times New Roman" w:eastAsia="仿宋_GB2312" w:cs="Times New Roman"/>
          <w:b/>
          <w:bCs/>
          <w:sz w:val="32"/>
          <w:szCs w:val="32"/>
        </w:rPr>
        <w:t>条 【</w:t>
      </w:r>
      <w:r>
        <w:rPr>
          <w:rFonts w:hint="eastAsia" w:ascii="Times New Roman" w:hAnsi="Times New Roman" w:eastAsia="仿宋_GB2312" w:cs="Times New Roman"/>
          <w:b/>
          <w:bCs/>
          <w:sz w:val="32"/>
          <w:szCs w:val="32"/>
        </w:rPr>
        <w:t>预算资金</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rPr>
        <w:t>集采药品医保资金预算根据集采药品约定采购量、集采前通用名药品加权平均价格、医保基金实际支付比例、集采通用名药品参保患者占比等因素确定，按照《结余留用资金计算公式》（</w:t>
      </w:r>
      <w:r>
        <w:rPr>
          <w:rFonts w:ascii="Times New Roman" w:hAnsi="Times New Roman" w:eastAsia="仿宋_GB2312" w:cs="Times New Roman"/>
          <w:sz w:val="32"/>
          <w:szCs w:val="32"/>
        </w:rPr>
        <w:t>附件1</w:t>
      </w:r>
      <w:r>
        <w:rPr>
          <w:rFonts w:hint="eastAsia" w:ascii="Times New Roman" w:hAnsi="Times New Roman" w:eastAsia="仿宋_GB2312" w:cs="Times New Roman"/>
          <w:sz w:val="32"/>
          <w:szCs w:val="32"/>
        </w:rPr>
        <w:t>）规定进行核算</w:t>
      </w:r>
      <w:r>
        <w:rPr>
          <w:rFonts w:ascii="Times New Roman" w:hAnsi="Times New Roman" w:eastAsia="仿宋_GB2312" w:cs="Times New Roman"/>
          <w:sz w:val="32"/>
          <w:szCs w:val="32"/>
        </w:rPr>
        <w:t>。</w:t>
      </w:r>
    </w:p>
    <w:p>
      <w:pPr>
        <w:pStyle w:val="9"/>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p>
    <w:p>
      <w:pPr>
        <w:pStyle w:val="9"/>
        <w:adjustRightInd w:val="0"/>
        <w:snapToGrid w:val="0"/>
        <w:spacing w:before="0" w:beforeAutospacing="0" w:after="0" w:afterAutospacing="0" w:line="560" w:lineRule="exact"/>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章 结余留用</w:t>
      </w:r>
      <w:r>
        <w:rPr>
          <w:rFonts w:hint="eastAsia" w:ascii="Times New Roman" w:hAnsi="Times New Roman" w:eastAsia="黑体" w:cs="Times New Roman"/>
          <w:sz w:val="32"/>
          <w:szCs w:val="32"/>
        </w:rPr>
        <w:t>资金核算</w:t>
      </w:r>
    </w:p>
    <w:p>
      <w:pPr>
        <w:pStyle w:val="9"/>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九</w:t>
      </w:r>
      <w:r>
        <w:rPr>
          <w:rFonts w:ascii="Times New Roman" w:hAnsi="Times New Roman" w:eastAsia="仿宋_GB2312" w:cs="Times New Roman"/>
          <w:b/>
          <w:bCs/>
          <w:sz w:val="32"/>
          <w:szCs w:val="32"/>
        </w:rPr>
        <w:fldChar w:fldCharType="end"/>
      </w:r>
      <w:r>
        <w:rPr>
          <w:rFonts w:ascii="Times New Roman" w:hAnsi="Times New Roman" w:eastAsia="仿宋_GB2312" w:cs="Times New Roman"/>
          <w:b/>
          <w:bCs/>
          <w:sz w:val="32"/>
          <w:szCs w:val="32"/>
        </w:rPr>
        <w:t>条 【结余留用</w:t>
      </w:r>
      <w:r>
        <w:rPr>
          <w:rFonts w:hint="eastAsia" w:ascii="Times New Roman" w:hAnsi="Times New Roman" w:eastAsia="仿宋_GB2312" w:cs="Times New Roman"/>
          <w:b/>
          <w:bCs/>
          <w:sz w:val="32"/>
          <w:szCs w:val="32"/>
        </w:rPr>
        <w:t>金额</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结余留用</w:t>
      </w:r>
      <w:r>
        <w:rPr>
          <w:rFonts w:hint="eastAsia" w:ascii="Times New Roman" w:hAnsi="Times New Roman" w:eastAsia="仿宋_GB2312" w:cs="Times New Roman"/>
          <w:sz w:val="32"/>
          <w:szCs w:val="32"/>
        </w:rPr>
        <w:t>资金</w:t>
      </w:r>
      <w:r>
        <w:rPr>
          <w:rFonts w:ascii="Times New Roman" w:hAnsi="Times New Roman" w:eastAsia="仿宋_GB2312" w:cs="Times New Roman"/>
          <w:sz w:val="32"/>
          <w:szCs w:val="32"/>
        </w:rPr>
        <w:t>核算</w:t>
      </w:r>
      <w:r>
        <w:rPr>
          <w:rFonts w:hint="eastAsia" w:ascii="Times New Roman" w:hAnsi="Times New Roman" w:eastAsia="仿宋_GB2312" w:cs="Times New Roman"/>
          <w:sz w:val="32"/>
          <w:szCs w:val="32"/>
        </w:rPr>
        <w:t>根据《结余留用资金计算公式》规定分批次进行，结合各医疗机构考核结果确定</w:t>
      </w:r>
      <w:r>
        <w:rPr>
          <w:rFonts w:ascii="Times New Roman" w:hAnsi="Times New Roman" w:eastAsia="仿宋_GB2312" w:cs="Times New Roman"/>
          <w:sz w:val="32"/>
          <w:szCs w:val="32"/>
        </w:rPr>
        <w:t>。</w:t>
      </w:r>
      <w:bookmarkStart w:id="0" w:name="_Ref56960270"/>
    </w:p>
    <w:p>
      <w:pPr>
        <w:pStyle w:val="9"/>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bookmarkStart w:id="1" w:name="_Ref22260"/>
      <w:r>
        <w:rPr>
          <w:rFonts w:ascii="Times New Roman" w:hAnsi="Times New Roman" w:eastAsia="仿宋_GB2312" w:cs="Times New Roman"/>
          <w:b/>
          <w:bCs/>
          <w:sz w:val="32"/>
          <w:szCs w:val="32"/>
        </w:rPr>
        <w:t>十</w:t>
      </w:r>
      <w:bookmarkEnd w:id="1"/>
      <w:r>
        <w:rPr>
          <w:rFonts w:ascii="Times New Roman" w:hAnsi="Times New Roman" w:eastAsia="仿宋_GB2312" w:cs="Times New Roman"/>
          <w:b/>
          <w:bCs/>
          <w:sz w:val="32"/>
          <w:szCs w:val="32"/>
        </w:rPr>
        <w:fldChar w:fldCharType="end"/>
      </w:r>
      <w:bookmarkEnd w:id="0"/>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rPr>
        <w:t>特殊情况</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结余留用</w:t>
      </w:r>
      <w:r>
        <w:rPr>
          <w:rFonts w:hint="eastAsia" w:ascii="Times New Roman" w:hAnsi="Times New Roman" w:eastAsia="仿宋_GB2312" w:cs="Times New Roman"/>
          <w:sz w:val="32"/>
          <w:szCs w:val="32"/>
        </w:rPr>
        <w:t>资金</w:t>
      </w:r>
      <w:r>
        <w:rPr>
          <w:rFonts w:ascii="Times New Roman" w:hAnsi="Times New Roman" w:eastAsia="仿宋_GB2312" w:cs="Times New Roman"/>
          <w:sz w:val="32"/>
          <w:szCs w:val="32"/>
        </w:rPr>
        <w:t>拨付前，医疗机构经营状态发生变化的</w:t>
      </w:r>
      <w:r>
        <w:rPr>
          <w:rFonts w:hint="eastAsia" w:ascii="Times New Roman" w:hAnsi="Times New Roman" w:eastAsia="仿宋_GB2312" w:cs="Times New Roman"/>
          <w:sz w:val="32"/>
          <w:szCs w:val="32"/>
        </w:rPr>
        <w:t>，按以下方式处理</w:t>
      </w:r>
      <w:r>
        <w:rPr>
          <w:rFonts w:ascii="Times New Roman" w:hAnsi="Times New Roman" w:eastAsia="仿宋_GB2312" w:cs="Times New Roman"/>
          <w:sz w:val="32"/>
          <w:szCs w:val="32"/>
        </w:rPr>
        <w:t>：</w:t>
      </w:r>
    </w:p>
    <w:p>
      <w:pPr>
        <w:pStyle w:val="9"/>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（一）合并或分立的（含下属社康更换隶属关系），应在合并或分立后及时</w:t>
      </w:r>
      <w:r>
        <w:rPr>
          <w:rFonts w:hint="eastAsia" w:ascii="Times New Roman" w:hAnsi="Times New Roman" w:eastAsia="仿宋_GB2312" w:cs="Times New Roman"/>
          <w:sz w:val="32"/>
          <w:szCs w:val="32"/>
        </w:rPr>
        <w:t>划转</w:t>
      </w:r>
      <w:r>
        <w:rPr>
          <w:rFonts w:ascii="Times New Roman" w:hAnsi="Times New Roman" w:eastAsia="仿宋_GB2312" w:cs="Times New Roman"/>
          <w:sz w:val="32"/>
          <w:szCs w:val="32"/>
        </w:rPr>
        <w:t>约定采购量，</w:t>
      </w:r>
      <w:r>
        <w:rPr>
          <w:rFonts w:hint="eastAsia" w:ascii="Times New Roman" w:hAnsi="Times New Roman" w:eastAsia="仿宋_GB2312" w:cs="Times New Roman"/>
          <w:sz w:val="32"/>
          <w:szCs w:val="32"/>
        </w:rPr>
        <w:t>并保持约定采购量总量不变。划转结果应于结余留用资金核算程序启动前报市医疗保障行政部门备案</w:t>
      </w:r>
      <w:r>
        <w:rPr>
          <w:rFonts w:ascii="Times New Roman" w:hAnsi="Times New Roman" w:eastAsia="仿宋_GB2312" w:cs="Times New Roman"/>
          <w:sz w:val="32"/>
          <w:szCs w:val="32"/>
        </w:rPr>
        <w:t>；</w:t>
      </w:r>
    </w:p>
    <w:p>
      <w:pPr>
        <w:pStyle w:val="9"/>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因被吊销营业执照、停业、清算、注销等情况停止经营</w:t>
      </w:r>
      <w:r>
        <w:rPr>
          <w:rFonts w:ascii="Times New Roman" w:hAnsi="Times New Roman" w:eastAsia="仿宋_GB2312" w:cs="Times New Roman"/>
          <w:sz w:val="32"/>
          <w:szCs w:val="32"/>
        </w:rPr>
        <w:t>的，不参与结余留用</w:t>
      </w:r>
      <w:r>
        <w:rPr>
          <w:rFonts w:hint="eastAsia" w:ascii="Times New Roman" w:hAnsi="Times New Roman" w:eastAsia="仿宋_GB2312" w:cs="Times New Roman"/>
          <w:sz w:val="32"/>
          <w:szCs w:val="32"/>
        </w:rPr>
        <w:t>资金核算</w:t>
      </w:r>
      <w:r>
        <w:rPr>
          <w:rFonts w:ascii="Times New Roman" w:hAnsi="Times New Roman" w:eastAsia="仿宋_GB2312" w:cs="Times New Roman"/>
          <w:sz w:val="32"/>
          <w:szCs w:val="32"/>
        </w:rPr>
        <w:t>；</w:t>
      </w:r>
    </w:p>
    <w:p>
      <w:pPr>
        <w:pStyle w:val="9"/>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失去</w:t>
      </w:r>
      <w:r>
        <w:rPr>
          <w:rFonts w:ascii="Times New Roman" w:hAnsi="Times New Roman" w:eastAsia="仿宋_GB2312" w:cs="Times New Roman"/>
          <w:sz w:val="32"/>
          <w:szCs w:val="32"/>
        </w:rPr>
        <w:t>定点医疗机构资格的，不参与结余留用</w:t>
      </w:r>
      <w:r>
        <w:rPr>
          <w:rFonts w:hint="eastAsia" w:ascii="Times New Roman" w:hAnsi="Times New Roman" w:eastAsia="仿宋_GB2312" w:cs="Times New Roman"/>
          <w:sz w:val="32"/>
          <w:szCs w:val="32"/>
        </w:rPr>
        <w:t>资金核算；</w:t>
      </w:r>
    </w:p>
    <w:p>
      <w:pPr>
        <w:pStyle w:val="9"/>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其他情况致无法确认执行约定采购量的，不参与结余留用资金核算。</w:t>
      </w:r>
    </w:p>
    <w:p>
      <w:pPr>
        <w:pStyle w:val="9"/>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十一</w:t>
      </w:r>
      <w:r>
        <w:rPr>
          <w:rFonts w:ascii="Times New Roman" w:hAnsi="Times New Roman" w:eastAsia="仿宋_GB2312" w:cs="Times New Roman"/>
          <w:b/>
          <w:bCs/>
          <w:sz w:val="32"/>
          <w:szCs w:val="32"/>
        </w:rPr>
        <w:fldChar w:fldCharType="end"/>
      </w:r>
      <w:r>
        <w:rPr>
          <w:rFonts w:ascii="Times New Roman" w:hAnsi="Times New Roman" w:eastAsia="仿宋_GB2312" w:cs="Times New Roman"/>
          <w:b/>
          <w:bCs/>
          <w:sz w:val="32"/>
          <w:szCs w:val="32"/>
        </w:rPr>
        <w:t>条 【</w:t>
      </w:r>
      <w:r>
        <w:rPr>
          <w:rFonts w:hint="eastAsia" w:ascii="Times New Roman" w:hAnsi="Times New Roman" w:eastAsia="仿宋_GB2312" w:cs="Times New Roman"/>
          <w:b/>
          <w:bCs/>
          <w:sz w:val="32"/>
          <w:szCs w:val="32"/>
        </w:rPr>
        <w:t>超量部分</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 xml:space="preserve"> 中选产品实际采购量超过约定采购量部分，不计入集采药品医保支出总额</w:t>
      </w:r>
      <w:r>
        <w:rPr>
          <w:rFonts w:hint="eastAsia" w:ascii="Times New Roman" w:hAnsi="Times New Roman" w:eastAsia="仿宋_GB2312" w:cs="Times New Roman"/>
          <w:sz w:val="32"/>
          <w:szCs w:val="32"/>
        </w:rPr>
        <w:t>范围</w:t>
      </w:r>
      <w:r>
        <w:rPr>
          <w:rFonts w:ascii="Times New Roman" w:hAnsi="Times New Roman" w:eastAsia="仿宋_GB2312" w:cs="Times New Roman"/>
          <w:sz w:val="32"/>
          <w:szCs w:val="32"/>
        </w:rPr>
        <w:t>。</w:t>
      </w:r>
    </w:p>
    <w:p>
      <w:pPr>
        <w:pStyle w:val="9"/>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p>
    <w:p>
      <w:pPr>
        <w:pStyle w:val="9"/>
        <w:adjustRightInd w:val="0"/>
        <w:snapToGrid w:val="0"/>
        <w:spacing w:before="0" w:beforeAutospacing="0" w:after="0" w:afterAutospacing="0" w:line="560" w:lineRule="exact"/>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章 医疗机构考核</w:t>
      </w:r>
    </w:p>
    <w:p>
      <w:pPr>
        <w:pStyle w:val="9"/>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十二</w:t>
      </w:r>
      <w:r>
        <w:rPr>
          <w:rFonts w:ascii="Times New Roman" w:hAnsi="Times New Roman" w:eastAsia="仿宋_GB2312" w:cs="Times New Roman"/>
          <w:b/>
          <w:bCs/>
          <w:sz w:val="32"/>
          <w:szCs w:val="32"/>
        </w:rPr>
        <w:fldChar w:fldCharType="end"/>
      </w:r>
      <w:r>
        <w:rPr>
          <w:rFonts w:ascii="Times New Roman" w:hAnsi="Times New Roman" w:eastAsia="仿宋_GB2312" w:cs="Times New Roman"/>
          <w:b/>
          <w:bCs/>
          <w:sz w:val="32"/>
          <w:szCs w:val="32"/>
        </w:rPr>
        <w:t>条 【考核</w:t>
      </w:r>
      <w:r>
        <w:rPr>
          <w:rFonts w:hint="eastAsia" w:ascii="Times New Roman" w:hAnsi="Times New Roman" w:eastAsia="仿宋_GB2312" w:cs="Times New Roman"/>
          <w:b/>
          <w:bCs/>
          <w:sz w:val="32"/>
          <w:szCs w:val="32"/>
        </w:rPr>
        <w:t>执行</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rPr>
        <w:t>医疗保障经办机构</w:t>
      </w:r>
      <w:r>
        <w:rPr>
          <w:rFonts w:ascii="Times New Roman" w:hAnsi="Times New Roman" w:eastAsia="仿宋_GB2312" w:cs="Times New Roman"/>
          <w:sz w:val="32"/>
          <w:szCs w:val="32"/>
        </w:rPr>
        <w:t>应根据本办法规定</w:t>
      </w:r>
      <w:r>
        <w:rPr>
          <w:rFonts w:hint="eastAsia" w:ascii="Times New Roman" w:hAnsi="Times New Roman" w:eastAsia="仿宋_GB2312" w:cs="Times New Roman"/>
          <w:sz w:val="32"/>
          <w:szCs w:val="32"/>
        </w:rPr>
        <w:t>分批次</w:t>
      </w:r>
      <w:r>
        <w:rPr>
          <w:rFonts w:ascii="Times New Roman" w:hAnsi="Times New Roman" w:eastAsia="仿宋_GB2312" w:cs="Times New Roman"/>
          <w:sz w:val="32"/>
          <w:szCs w:val="32"/>
        </w:rPr>
        <w:t>对医疗机构进行考核，</w:t>
      </w:r>
      <w:r>
        <w:rPr>
          <w:rFonts w:hint="eastAsia" w:ascii="Times New Roman" w:hAnsi="Times New Roman" w:eastAsia="仿宋_GB2312" w:cs="Times New Roman"/>
          <w:sz w:val="32"/>
          <w:szCs w:val="32"/>
        </w:rPr>
        <w:t>相关单位</w:t>
      </w:r>
      <w:r>
        <w:rPr>
          <w:rFonts w:ascii="Times New Roman" w:hAnsi="Times New Roman" w:eastAsia="仿宋_GB2312" w:cs="Times New Roman"/>
          <w:sz w:val="32"/>
          <w:szCs w:val="32"/>
        </w:rPr>
        <w:t>应予紧密配合。</w:t>
      </w:r>
      <w:r>
        <w:rPr>
          <w:rFonts w:hint="eastAsia" w:ascii="Times New Roman" w:hAnsi="Times New Roman" w:eastAsia="仿宋_GB2312" w:cs="Times New Roman"/>
          <w:sz w:val="32"/>
          <w:szCs w:val="32"/>
        </w:rPr>
        <w:t>考核指标按照《医疗机构考核指标》（</w:t>
      </w:r>
      <w:r>
        <w:rPr>
          <w:rFonts w:ascii="Times New Roman" w:hAnsi="Times New Roman" w:eastAsia="仿宋_GB2312" w:cs="Times New Roman"/>
          <w:sz w:val="32"/>
          <w:szCs w:val="32"/>
        </w:rPr>
        <w:t>附件2</w:t>
      </w:r>
      <w:r>
        <w:rPr>
          <w:rFonts w:hint="eastAsia" w:ascii="Times New Roman" w:hAnsi="Times New Roman" w:eastAsia="仿宋_GB2312" w:cs="Times New Roman"/>
          <w:sz w:val="32"/>
          <w:szCs w:val="32"/>
        </w:rPr>
        <w:t>）执行</w:t>
      </w:r>
      <w:r>
        <w:rPr>
          <w:rFonts w:ascii="Times New Roman" w:hAnsi="Times New Roman" w:eastAsia="仿宋_GB2312" w:cs="Times New Roman"/>
          <w:sz w:val="32"/>
          <w:szCs w:val="32"/>
        </w:rPr>
        <w:t>。</w:t>
      </w:r>
    </w:p>
    <w:p>
      <w:pPr>
        <w:pStyle w:val="9"/>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bookmarkStart w:id="2" w:name="_Ref22133"/>
      <w:r>
        <w:rPr>
          <w:rFonts w:ascii="Times New Roman" w:hAnsi="Times New Roman" w:eastAsia="仿宋_GB2312" w:cs="Times New Roman"/>
          <w:b/>
          <w:bCs/>
          <w:sz w:val="32"/>
          <w:szCs w:val="32"/>
        </w:rPr>
        <w:t>十三</w:t>
      </w:r>
      <w:bookmarkEnd w:id="2"/>
      <w:r>
        <w:rPr>
          <w:rFonts w:ascii="Times New Roman" w:hAnsi="Times New Roman" w:eastAsia="仿宋_GB2312" w:cs="Times New Roman"/>
          <w:b/>
          <w:bCs/>
          <w:sz w:val="32"/>
          <w:szCs w:val="32"/>
        </w:rPr>
        <w:fldChar w:fldCharType="end"/>
      </w:r>
      <w:r>
        <w:rPr>
          <w:rFonts w:ascii="Times New Roman" w:hAnsi="Times New Roman" w:eastAsia="仿宋_GB2312" w:cs="Times New Roman"/>
          <w:b/>
          <w:bCs/>
          <w:sz w:val="32"/>
          <w:szCs w:val="32"/>
        </w:rPr>
        <w:t xml:space="preserve">条 【考核等级】 </w:t>
      </w:r>
      <w:r>
        <w:rPr>
          <w:rFonts w:hint="eastAsia" w:ascii="Times New Roman" w:hAnsi="Times New Roman" w:eastAsia="仿宋_GB2312" w:cs="Times New Roman"/>
          <w:sz w:val="32"/>
          <w:szCs w:val="32"/>
        </w:rPr>
        <w:t>考核与结算同步进行，对</w:t>
      </w:r>
      <w:r>
        <w:rPr>
          <w:rFonts w:ascii="Times New Roman" w:hAnsi="Times New Roman" w:eastAsia="仿宋_GB2312" w:cs="Times New Roman"/>
          <w:sz w:val="32"/>
          <w:szCs w:val="32"/>
        </w:rPr>
        <w:t>按时完成</w:t>
      </w:r>
      <w:r>
        <w:rPr>
          <w:rFonts w:hint="eastAsia" w:ascii="Times New Roman" w:hAnsi="Times New Roman" w:eastAsia="仿宋_GB2312" w:cs="Times New Roman"/>
          <w:sz w:val="32"/>
          <w:szCs w:val="32"/>
        </w:rPr>
        <w:t>中选药品</w:t>
      </w:r>
      <w:r>
        <w:rPr>
          <w:rFonts w:ascii="Times New Roman" w:hAnsi="Times New Roman" w:eastAsia="仿宋_GB2312" w:cs="Times New Roman"/>
          <w:sz w:val="32"/>
          <w:szCs w:val="32"/>
        </w:rPr>
        <w:t>约定采购量的医疗机构，根据考核总得分，将考核结果分为A、B、C、D四个等级。其中，得分≥80分的</w:t>
      </w:r>
      <w:r>
        <w:rPr>
          <w:rFonts w:hint="eastAsia" w:ascii="Times New Roman" w:hAnsi="Times New Roman" w:eastAsia="仿宋_GB2312" w:cs="Times New Roman"/>
          <w:sz w:val="32"/>
          <w:szCs w:val="32"/>
        </w:rPr>
        <w:t>评定</w:t>
      </w:r>
      <w:r>
        <w:rPr>
          <w:rFonts w:ascii="Times New Roman" w:hAnsi="Times New Roman" w:eastAsia="仿宋_GB2312" w:cs="Times New Roman"/>
          <w:sz w:val="32"/>
          <w:szCs w:val="32"/>
        </w:rPr>
        <w:t>为A级，结余留用比例为50%；得分为70分（含）-80分（不含）的</w:t>
      </w:r>
      <w:r>
        <w:rPr>
          <w:rFonts w:hint="eastAsia" w:ascii="Times New Roman" w:hAnsi="Times New Roman" w:eastAsia="仿宋_GB2312" w:cs="Times New Roman"/>
          <w:sz w:val="32"/>
          <w:szCs w:val="32"/>
        </w:rPr>
        <w:t>评定</w:t>
      </w:r>
      <w:r>
        <w:rPr>
          <w:rFonts w:ascii="Times New Roman" w:hAnsi="Times New Roman" w:eastAsia="仿宋_GB2312" w:cs="Times New Roman"/>
          <w:sz w:val="32"/>
          <w:szCs w:val="32"/>
        </w:rPr>
        <w:t>为B级，结余留用比例为40%；得分为60分（含）-70分（不含）的</w:t>
      </w:r>
      <w:r>
        <w:rPr>
          <w:rFonts w:hint="eastAsia" w:ascii="Times New Roman" w:hAnsi="Times New Roman" w:eastAsia="仿宋_GB2312" w:cs="Times New Roman"/>
          <w:sz w:val="32"/>
          <w:szCs w:val="32"/>
        </w:rPr>
        <w:t>评定</w:t>
      </w:r>
      <w:r>
        <w:rPr>
          <w:rFonts w:ascii="Times New Roman" w:hAnsi="Times New Roman" w:eastAsia="仿宋_GB2312" w:cs="Times New Roman"/>
          <w:sz w:val="32"/>
          <w:szCs w:val="32"/>
        </w:rPr>
        <w:t>为C级，结余留用比例为30%；得分＜60分的</w:t>
      </w:r>
      <w:r>
        <w:rPr>
          <w:rFonts w:hint="eastAsia" w:ascii="Times New Roman" w:hAnsi="Times New Roman" w:eastAsia="仿宋_GB2312" w:cs="Times New Roman"/>
          <w:sz w:val="32"/>
          <w:szCs w:val="32"/>
        </w:rPr>
        <w:t>评定</w:t>
      </w:r>
      <w:r>
        <w:rPr>
          <w:rFonts w:ascii="Times New Roman" w:hAnsi="Times New Roman" w:eastAsia="仿宋_GB2312" w:cs="Times New Roman"/>
          <w:sz w:val="32"/>
          <w:szCs w:val="32"/>
        </w:rPr>
        <w:t>为D级，不予发放</w:t>
      </w:r>
      <w:r>
        <w:rPr>
          <w:rFonts w:hint="eastAsia" w:ascii="Times New Roman" w:hAnsi="Times New Roman" w:eastAsia="仿宋_GB2312" w:cs="Times New Roman"/>
          <w:sz w:val="32"/>
          <w:szCs w:val="32"/>
        </w:rPr>
        <w:t>结余留用资金</w:t>
      </w:r>
      <w:r>
        <w:rPr>
          <w:rFonts w:ascii="Times New Roman" w:hAnsi="Times New Roman" w:eastAsia="仿宋_GB2312" w:cs="Times New Roman"/>
          <w:sz w:val="32"/>
          <w:szCs w:val="32"/>
        </w:rPr>
        <w:t>。</w:t>
      </w:r>
    </w:p>
    <w:p>
      <w:pPr>
        <w:pStyle w:val="9"/>
        <w:numPr>
          <w:ilvl w:val="0"/>
          <w:numId w:val="0"/>
        </w:numPr>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bookmarkStart w:id="3" w:name="_Ref56957579"/>
      <w:r>
        <w:rPr>
          <w:rFonts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十四</w:t>
      </w:r>
      <w:r>
        <w:rPr>
          <w:rFonts w:ascii="Times New Roman" w:hAnsi="Times New Roman" w:eastAsia="仿宋_GB2312" w:cs="Times New Roman"/>
          <w:b/>
          <w:bCs/>
          <w:sz w:val="32"/>
          <w:szCs w:val="32"/>
        </w:rPr>
        <w:fldChar w:fldCharType="end"/>
      </w:r>
      <w:bookmarkEnd w:id="3"/>
      <w:r>
        <w:rPr>
          <w:rFonts w:ascii="Times New Roman" w:hAnsi="Times New Roman" w:eastAsia="仿宋_GB2312" w:cs="Times New Roman"/>
          <w:b/>
          <w:bCs/>
          <w:sz w:val="32"/>
          <w:szCs w:val="32"/>
        </w:rPr>
        <w:t>条 【未完成</w:t>
      </w:r>
      <w:r>
        <w:rPr>
          <w:rFonts w:hint="eastAsia" w:ascii="Times New Roman" w:hAnsi="Times New Roman" w:eastAsia="仿宋_GB2312" w:cs="Times New Roman"/>
          <w:b/>
          <w:bCs/>
          <w:sz w:val="32"/>
          <w:szCs w:val="32"/>
        </w:rPr>
        <w:t>任务</w:t>
      </w:r>
      <w:r>
        <w:rPr>
          <w:rFonts w:ascii="Times New Roman" w:hAnsi="Times New Roman" w:eastAsia="仿宋_GB2312" w:cs="Times New Roman"/>
          <w:b/>
          <w:bCs/>
          <w:sz w:val="32"/>
          <w:szCs w:val="32"/>
        </w:rPr>
        <w:t>量】</w:t>
      </w:r>
      <w:r>
        <w:rPr>
          <w:rFonts w:hint="eastAsia" w:ascii="Times New Roman" w:hAnsi="Times New Roman" w:eastAsia="仿宋_GB2312" w:cs="Times New Roman"/>
          <w:sz w:val="32"/>
          <w:szCs w:val="32"/>
        </w:rPr>
        <w:t>医疗机构应优先使用中选药品，规范用药行为，安排好采购计划，避免在采购执行年度结束时紧急采购。</w:t>
      </w:r>
    </w:p>
    <w:p>
      <w:pPr>
        <w:pStyle w:val="9"/>
        <w:numPr>
          <w:ilvl w:val="0"/>
          <w:numId w:val="0"/>
        </w:numPr>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未按时完成</w:t>
      </w:r>
      <w:r>
        <w:rPr>
          <w:rFonts w:hint="eastAsia" w:ascii="Times New Roman" w:hAnsi="Times New Roman" w:eastAsia="仿宋_GB2312" w:cs="Times New Roman"/>
          <w:sz w:val="32"/>
          <w:szCs w:val="32"/>
        </w:rPr>
        <w:t>药品集采</w:t>
      </w:r>
      <w:r>
        <w:rPr>
          <w:rFonts w:ascii="Times New Roman" w:hAnsi="Times New Roman" w:eastAsia="仿宋_GB2312" w:cs="Times New Roman"/>
          <w:sz w:val="32"/>
          <w:szCs w:val="32"/>
        </w:rPr>
        <w:t>中选产品约定采购量总量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或有至少1个</w:t>
      </w:r>
      <w:r>
        <w:rPr>
          <w:rFonts w:hint="eastAsia" w:ascii="Times New Roman" w:hAnsi="Times New Roman" w:eastAsia="仿宋_GB2312" w:cs="Times New Roman"/>
          <w:sz w:val="32"/>
          <w:szCs w:val="32"/>
        </w:rPr>
        <w:t>中选</w:t>
      </w:r>
      <w:r>
        <w:rPr>
          <w:rFonts w:ascii="Times New Roman" w:hAnsi="Times New Roman" w:eastAsia="仿宋_GB2312" w:cs="Times New Roman"/>
          <w:sz w:val="32"/>
          <w:szCs w:val="32"/>
        </w:rPr>
        <w:t>药品未按时完成至少50%约定采购量</w:t>
      </w:r>
      <w:r>
        <w:rPr>
          <w:rFonts w:hint="eastAsia" w:ascii="Times New Roman" w:hAnsi="Times New Roman" w:eastAsia="仿宋_GB2312" w:cs="Times New Roman"/>
          <w:sz w:val="32"/>
          <w:szCs w:val="32"/>
        </w:rPr>
        <w:t>，或有至少3个中选产品</w:t>
      </w:r>
      <w:r>
        <w:rPr>
          <w:rFonts w:ascii="Times New Roman" w:hAnsi="Times New Roman" w:eastAsia="仿宋_GB2312" w:cs="Times New Roman"/>
          <w:sz w:val="32"/>
          <w:szCs w:val="32"/>
        </w:rPr>
        <w:t>未按时完成</w:t>
      </w:r>
      <w:r>
        <w:rPr>
          <w:rFonts w:hint="eastAsia" w:ascii="Times New Roman" w:hAnsi="Times New Roman" w:eastAsia="仿宋_GB2312" w:cs="Times New Roman"/>
          <w:sz w:val="32"/>
          <w:szCs w:val="32"/>
        </w:rPr>
        <w:t>药品集采</w:t>
      </w:r>
      <w:r>
        <w:rPr>
          <w:rFonts w:ascii="Times New Roman" w:hAnsi="Times New Roman" w:eastAsia="仿宋_GB2312" w:cs="Times New Roman"/>
          <w:sz w:val="32"/>
          <w:szCs w:val="32"/>
        </w:rPr>
        <w:t>中选产品约定采购量，但完成超过50%约定采购量的医疗机构，</w:t>
      </w:r>
      <w:r>
        <w:rPr>
          <w:rFonts w:hint="eastAsia" w:ascii="Times New Roman" w:hAnsi="Times New Roman" w:eastAsia="仿宋_GB2312" w:cs="Times New Roman"/>
          <w:sz w:val="32"/>
          <w:szCs w:val="32"/>
        </w:rPr>
        <w:t>该批次考核等级直接定为D级；</w:t>
      </w:r>
    </w:p>
    <w:p>
      <w:pPr>
        <w:pStyle w:val="9"/>
        <w:numPr>
          <w:ilvl w:val="0"/>
          <w:numId w:val="0"/>
        </w:numPr>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有至少1个</w:t>
      </w:r>
      <w:r>
        <w:rPr>
          <w:rFonts w:hint="eastAsia" w:ascii="Times New Roman" w:hAnsi="Times New Roman" w:eastAsia="仿宋_GB2312" w:cs="Times New Roman"/>
          <w:sz w:val="32"/>
          <w:szCs w:val="32"/>
        </w:rPr>
        <w:t>中选</w:t>
      </w:r>
      <w:r>
        <w:rPr>
          <w:rFonts w:ascii="Times New Roman" w:hAnsi="Times New Roman" w:eastAsia="仿宋_GB2312" w:cs="Times New Roman"/>
          <w:sz w:val="32"/>
          <w:szCs w:val="32"/>
        </w:rPr>
        <w:t>药品未按时完成</w:t>
      </w:r>
      <w:r>
        <w:rPr>
          <w:rFonts w:hint="eastAsia" w:ascii="Times New Roman" w:hAnsi="Times New Roman" w:eastAsia="仿宋_GB2312" w:cs="Times New Roman"/>
          <w:sz w:val="32"/>
          <w:szCs w:val="32"/>
        </w:rPr>
        <w:t>药品集采</w:t>
      </w:r>
      <w:r>
        <w:rPr>
          <w:rFonts w:ascii="Times New Roman" w:hAnsi="Times New Roman" w:eastAsia="仿宋_GB2312" w:cs="Times New Roman"/>
          <w:sz w:val="32"/>
          <w:szCs w:val="32"/>
        </w:rPr>
        <w:t>中选产品约定采购量，但完成超过50%约定采购量的医疗机构，</w:t>
      </w:r>
      <w:r>
        <w:rPr>
          <w:rFonts w:hint="eastAsia" w:ascii="Times New Roman" w:hAnsi="Times New Roman" w:eastAsia="仿宋_GB2312" w:cs="Times New Roman"/>
          <w:sz w:val="32"/>
          <w:szCs w:val="32"/>
        </w:rPr>
        <w:t>该批次考核等级直接定为C级。</w:t>
      </w:r>
    </w:p>
    <w:p>
      <w:pPr>
        <w:spacing w:line="560" w:lineRule="exact"/>
        <w:ind w:firstLine="723" w:firstLineChars="225"/>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十五</w:t>
      </w:r>
      <w:r>
        <w:rPr>
          <w:rFonts w:ascii="Times New Roman" w:hAnsi="Times New Roman" w:eastAsia="仿宋_GB2312" w:cs="Times New Roman"/>
          <w:b/>
          <w:bCs/>
          <w:sz w:val="32"/>
          <w:szCs w:val="32"/>
        </w:rPr>
        <w:fldChar w:fldCharType="end"/>
      </w:r>
      <w:r>
        <w:rPr>
          <w:rFonts w:ascii="Times New Roman" w:hAnsi="Times New Roman" w:eastAsia="仿宋_GB2312" w:cs="Times New Roman"/>
          <w:b/>
          <w:bCs/>
          <w:sz w:val="32"/>
          <w:szCs w:val="32"/>
        </w:rPr>
        <w:t>条 【不纳入考核药品】</w:t>
      </w:r>
      <w:r>
        <w:rPr>
          <w:rFonts w:ascii="Times New Roman" w:hAnsi="Times New Roman" w:eastAsia="仿宋_GB2312" w:cs="Times New Roman"/>
          <w:sz w:val="32"/>
          <w:szCs w:val="32"/>
        </w:rPr>
        <w:t>中选药品生产企业（含替补企业）出现无法正常供应中选产品或取消中选资格等情况，致使该</w:t>
      </w:r>
      <w:r>
        <w:rPr>
          <w:rFonts w:hint="eastAsia" w:ascii="Times New Roman" w:hAnsi="Times New Roman" w:eastAsia="仿宋_GB2312" w:cs="Times New Roman"/>
          <w:sz w:val="32"/>
          <w:szCs w:val="32"/>
        </w:rPr>
        <w:t>批次</w:t>
      </w:r>
      <w:r>
        <w:rPr>
          <w:rFonts w:ascii="Times New Roman" w:hAnsi="Times New Roman" w:eastAsia="仿宋_GB2312" w:cs="Times New Roman"/>
          <w:sz w:val="32"/>
          <w:szCs w:val="32"/>
        </w:rPr>
        <w:t>该中选</w:t>
      </w:r>
      <w:r>
        <w:rPr>
          <w:rFonts w:hint="eastAsia" w:ascii="Times New Roman" w:hAnsi="Times New Roman" w:eastAsia="仿宋_GB2312" w:cs="Times New Roman"/>
          <w:sz w:val="32"/>
          <w:szCs w:val="32"/>
        </w:rPr>
        <w:t>药品供应无法满足医疗机构约定采购量的</w:t>
      </w:r>
      <w:r>
        <w:rPr>
          <w:rFonts w:ascii="Times New Roman" w:hAnsi="Times New Roman" w:eastAsia="仿宋_GB2312" w:cs="Times New Roman"/>
          <w:sz w:val="32"/>
          <w:szCs w:val="32"/>
        </w:rPr>
        <w:t>，不纳入本办法</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eastAsia="zh-CN"/>
        </w:rPr>
        <w:fldChar w:fldCharType="begin"/>
      </w:r>
      <w:r>
        <w:rPr>
          <w:rFonts w:hint="eastAsia" w:ascii="Times New Roman" w:hAnsi="Times New Roman" w:eastAsia="仿宋_GB2312" w:cs="Times New Roman"/>
          <w:sz w:val="32"/>
          <w:szCs w:val="32"/>
          <w:lang w:eastAsia="zh-CN"/>
        </w:rPr>
        <w:instrText xml:space="preserve"> REF _Ref22133 \h </w:instrText>
      </w:r>
      <w:r>
        <w:rPr>
          <w:rFonts w:hint="eastAsia" w:ascii="Times New Roman" w:hAnsi="Times New Roman" w:eastAsia="仿宋_GB2312" w:cs="Times New Roman"/>
          <w:sz w:val="32"/>
          <w:szCs w:val="32"/>
          <w:lang w:eastAsia="zh-CN"/>
        </w:rPr>
        <w:fldChar w:fldCharType="separate"/>
      </w:r>
      <w:r>
        <w:rPr>
          <w:rFonts w:ascii="Times New Roman" w:hAnsi="Times New Roman" w:eastAsia="仿宋_GB2312" w:cs="Times New Roman"/>
          <w:sz w:val="32"/>
          <w:szCs w:val="32"/>
        </w:rPr>
        <w:t>十三</w:t>
      </w:r>
      <w:r>
        <w:rPr>
          <w:rFonts w:hint="eastAsia" w:ascii="Times New Roman" w:hAnsi="Times New Roman" w:eastAsia="仿宋_GB2312" w:cs="Times New Roman"/>
          <w:sz w:val="32"/>
          <w:szCs w:val="32"/>
          <w:lang w:eastAsia="zh-CN"/>
        </w:rPr>
        <w:fldChar w:fldCharType="end"/>
      </w:r>
      <w:r>
        <w:rPr>
          <w:rFonts w:hint="eastAsia" w:ascii="仿宋_GB2312" w:hAnsi="仿宋_GB2312" w:eastAsia="仿宋_GB2312" w:cs="仿宋_GB2312"/>
          <w:sz w:val="32"/>
          <w:szCs w:val="32"/>
        </w:rPr>
        <w:t>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REF _Ref56957579 \h  \* MERGEFORMAT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第十四</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条的考核范围。</w:t>
      </w:r>
    </w:p>
    <w:p>
      <w:pPr>
        <w:pStyle w:val="9"/>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p>
    <w:p>
      <w:pPr>
        <w:pStyle w:val="9"/>
        <w:adjustRightInd w:val="0"/>
        <w:snapToGrid w:val="0"/>
        <w:spacing w:before="0" w:beforeAutospacing="0" w:after="0" w:afterAutospacing="0" w:line="560" w:lineRule="exact"/>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章 结余留用</w:t>
      </w:r>
      <w:r>
        <w:rPr>
          <w:rFonts w:hint="eastAsia" w:ascii="Times New Roman" w:hAnsi="Times New Roman" w:eastAsia="黑体" w:cs="Times New Roman"/>
          <w:sz w:val="32"/>
          <w:szCs w:val="32"/>
        </w:rPr>
        <w:t>资金结算与管理</w:t>
      </w:r>
    </w:p>
    <w:p>
      <w:pPr>
        <w:pStyle w:val="9"/>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十六</w:t>
      </w:r>
      <w:r>
        <w:rPr>
          <w:rFonts w:ascii="Times New Roman" w:hAnsi="Times New Roman" w:eastAsia="仿宋_GB2312" w:cs="Times New Roman"/>
          <w:b/>
          <w:bCs/>
          <w:sz w:val="32"/>
          <w:szCs w:val="32"/>
        </w:rPr>
        <w:fldChar w:fldCharType="end"/>
      </w:r>
      <w:r>
        <w:rPr>
          <w:rFonts w:ascii="Times New Roman" w:hAnsi="Times New Roman" w:eastAsia="仿宋_GB2312" w:cs="Times New Roman"/>
          <w:b/>
          <w:bCs/>
          <w:sz w:val="32"/>
          <w:szCs w:val="32"/>
        </w:rPr>
        <w:t>条 【</w:t>
      </w:r>
      <w:r>
        <w:rPr>
          <w:rFonts w:hint="eastAsia" w:ascii="Times New Roman" w:hAnsi="Times New Roman" w:eastAsia="仿宋_GB2312" w:cs="Times New Roman"/>
          <w:b/>
          <w:bCs/>
          <w:sz w:val="32"/>
          <w:szCs w:val="32"/>
        </w:rPr>
        <w:t>结算</w:t>
      </w:r>
      <w:r>
        <w:rPr>
          <w:rFonts w:ascii="Times New Roman" w:hAnsi="Times New Roman" w:eastAsia="仿宋_GB2312" w:cs="Times New Roman"/>
          <w:b/>
          <w:bCs/>
          <w:sz w:val="32"/>
          <w:szCs w:val="32"/>
        </w:rPr>
        <w:t>启动】</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rPr>
        <w:t>医疗保障经办机构</w:t>
      </w:r>
      <w:r>
        <w:rPr>
          <w:rFonts w:ascii="Times New Roman" w:hAnsi="Times New Roman" w:eastAsia="仿宋_GB2312" w:cs="Times New Roman"/>
          <w:sz w:val="32"/>
          <w:szCs w:val="32"/>
        </w:rPr>
        <w:t>应根据本办法有关规定</w:t>
      </w:r>
      <w:r>
        <w:rPr>
          <w:rFonts w:hint="eastAsia" w:ascii="Times New Roman" w:hAnsi="Times New Roman" w:eastAsia="仿宋_GB2312" w:cs="Times New Roman"/>
          <w:sz w:val="32"/>
          <w:szCs w:val="32"/>
        </w:rPr>
        <w:t>，结合医保支付年终清算管理，原则上每自然年度完成</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rPr>
        <w:t>次集采药品结余留用资金结算</w:t>
      </w:r>
      <w:r>
        <w:rPr>
          <w:rFonts w:ascii="Times New Roman" w:hAnsi="Times New Roman" w:eastAsia="仿宋_GB2312" w:cs="Times New Roman"/>
          <w:sz w:val="32"/>
          <w:szCs w:val="32"/>
        </w:rPr>
        <w:t>。</w:t>
      </w:r>
    </w:p>
    <w:p>
      <w:pPr>
        <w:pStyle w:val="9"/>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bookmarkStart w:id="4" w:name="_Ref60065054"/>
      <w:r>
        <w:rPr>
          <w:rFonts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十七</w:t>
      </w:r>
      <w:r>
        <w:rPr>
          <w:rFonts w:ascii="Times New Roman" w:hAnsi="Times New Roman" w:eastAsia="仿宋_GB2312" w:cs="Times New Roman"/>
          <w:b/>
          <w:bCs/>
          <w:sz w:val="32"/>
          <w:szCs w:val="32"/>
        </w:rPr>
        <w:fldChar w:fldCharType="end"/>
      </w:r>
      <w:bookmarkEnd w:id="4"/>
      <w:r>
        <w:rPr>
          <w:rFonts w:ascii="Times New Roman" w:hAnsi="Times New Roman" w:eastAsia="仿宋_GB2312" w:cs="Times New Roman"/>
          <w:b/>
          <w:bCs/>
          <w:sz w:val="32"/>
          <w:szCs w:val="32"/>
        </w:rPr>
        <w:t>条 【</w:t>
      </w:r>
      <w:r>
        <w:rPr>
          <w:rFonts w:hint="eastAsia" w:ascii="Times New Roman" w:hAnsi="Times New Roman" w:eastAsia="仿宋_GB2312" w:cs="Times New Roman"/>
          <w:b/>
          <w:bCs/>
          <w:sz w:val="32"/>
          <w:szCs w:val="32"/>
        </w:rPr>
        <w:t>计算考核周期</w:t>
      </w:r>
      <w:r>
        <w:rPr>
          <w:rFonts w:ascii="Times New Roman" w:hAnsi="Times New Roman" w:eastAsia="仿宋_GB2312" w:cs="Times New Roman"/>
          <w:b/>
          <w:bCs/>
          <w:sz w:val="32"/>
          <w:szCs w:val="32"/>
        </w:rPr>
        <w:t>】</w:t>
      </w:r>
      <w:r>
        <w:rPr>
          <w:rFonts w:hint="eastAsia" w:ascii="Times New Roman" w:hAnsi="Times New Roman" w:eastAsia="仿宋_GB2312" w:cs="Times New Roman"/>
          <w:b w:val="0"/>
          <w:bCs/>
          <w:sz w:val="32"/>
          <w:szCs w:val="32"/>
        </w:rPr>
        <w:t>结余留用</w:t>
      </w:r>
      <w:r>
        <w:rPr>
          <w:rFonts w:hint="eastAsia" w:ascii="Times New Roman" w:hAnsi="Times New Roman" w:eastAsia="仿宋_GB2312" w:cs="Times New Roman"/>
          <w:bCs/>
          <w:sz w:val="32"/>
          <w:szCs w:val="32"/>
        </w:rPr>
        <w:t>资金核算及医疗机构考核时，计算参数及考核指标以自然年度为计算范围的，按该批次结余留用核算程序启动时最新年度数据</w:t>
      </w:r>
      <w:r>
        <w:rPr>
          <w:rFonts w:hint="eastAsia" w:ascii="Times New Roman" w:hAnsi="Times New Roman" w:eastAsia="仿宋_GB2312" w:cs="Times New Roman"/>
          <w:bCs/>
          <w:sz w:val="32"/>
          <w:szCs w:val="32"/>
          <w:lang w:val="en-US" w:eastAsia="zh-CN"/>
        </w:rPr>
        <w:t>计算</w:t>
      </w:r>
      <w:r>
        <w:rPr>
          <w:rFonts w:hint="eastAsia" w:ascii="Times New Roman" w:hAnsi="Times New Roman" w:eastAsia="仿宋_GB2312" w:cs="Times New Roman"/>
          <w:bCs/>
          <w:sz w:val="32"/>
          <w:szCs w:val="32"/>
        </w:rPr>
        <w:t>；其余按该批次单个采购执行年度</w:t>
      </w:r>
      <w:r>
        <w:rPr>
          <w:rFonts w:hint="eastAsia" w:ascii="Times New Roman" w:hAnsi="Times New Roman" w:eastAsia="仿宋_GB2312" w:cs="Times New Roman"/>
          <w:bCs/>
          <w:sz w:val="32"/>
          <w:szCs w:val="32"/>
          <w:lang w:val="en-US" w:eastAsia="zh-CN"/>
        </w:rPr>
        <w:t>计算</w:t>
      </w:r>
      <w:r>
        <w:rPr>
          <w:rFonts w:hint="eastAsia" w:ascii="Times New Roman" w:hAnsi="Times New Roman" w:eastAsia="仿宋_GB2312" w:cs="Times New Roman"/>
          <w:bCs/>
          <w:sz w:val="32"/>
          <w:szCs w:val="32"/>
        </w:rPr>
        <w:t>。</w:t>
      </w:r>
    </w:p>
    <w:p>
      <w:pPr>
        <w:pStyle w:val="9"/>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十八</w:t>
      </w:r>
      <w:r>
        <w:rPr>
          <w:rFonts w:ascii="Times New Roman" w:hAnsi="Times New Roman" w:eastAsia="仿宋_GB2312" w:cs="Times New Roman"/>
          <w:b/>
          <w:bCs/>
          <w:sz w:val="32"/>
          <w:szCs w:val="32"/>
        </w:rPr>
        <w:fldChar w:fldCharType="end"/>
      </w:r>
      <w:r>
        <w:rPr>
          <w:rFonts w:ascii="Times New Roman" w:hAnsi="Times New Roman" w:eastAsia="仿宋_GB2312" w:cs="Times New Roman"/>
          <w:b/>
          <w:bCs/>
          <w:sz w:val="32"/>
          <w:szCs w:val="32"/>
        </w:rPr>
        <w:t>条 【</w:t>
      </w:r>
      <w:r>
        <w:rPr>
          <w:rFonts w:hint="eastAsia" w:ascii="Times New Roman" w:hAnsi="Times New Roman" w:eastAsia="仿宋_GB2312" w:cs="Times New Roman"/>
          <w:b/>
          <w:bCs/>
          <w:sz w:val="32"/>
          <w:szCs w:val="32"/>
        </w:rPr>
        <w:t>数据</w:t>
      </w:r>
      <w:r>
        <w:rPr>
          <w:rFonts w:ascii="Times New Roman" w:hAnsi="Times New Roman" w:eastAsia="仿宋_GB2312" w:cs="Times New Roman"/>
          <w:b/>
          <w:bCs/>
          <w:sz w:val="32"/>
          <w:szCs w:val="32"/>
        </w:rPr>
        <w:t>配合】</w:t>
      </w:r>
      <w:r>
        <w:rPr>
          <w:rFonts w:ascii="Times New Roman" w:hAnsi="Times New Roman" w:eastAsia="仿宋_GB2312" w:cs="Times New Roman"/>
          <w:sz w:val="32"/>
          <w:szCs w:val="32"/>
        </w:rPr>
        <w:t>结余留用</w:t>
      </w:r>
      <w:r>
        <w:rPr>
          <w:rFonts w:hint="eastAsia" w:ascii="Times New Roman" w:hAnsi="Times New Roman" w:eastAsia="仿宋_GB2312" w:cs="Times New Roman"/>
          <w:sz w:val="32"/>
          <w:szCs w:val="32"/>
        </w:rPr>
        <w:t>资金结算</w:t>
      </w:r>
      <w:r>
        <w:rPr>
          <w:rFonts w:ascii="Times New Roman" w:hAnsi="Times New Roman" w:eastAsia="仿宋_GB2312" w:cs="Times New Roman"/>
          <w:sz w:val="32"/>
          <w:szCs w:val="32"/>
        </w:rPr>
        <w:t>及医疗机构</w:t>
      </w:r>
      <w:r>
        <w:rPr>
          <w:rFonts w:hint="eastAsia" w:ascii="Times New Roman" w:hAnsi="Times New Roman" w:eastAsia="仿宋_GB2312" w:cs="Times New Roman"/>
          <w:sz w:val="32"/>
          <w:szCs w:val="32"/>
        </w:rPr>
        <w:t>考核</w:t>
      </w:r>
      <w:r>
        <w:rPr>
          <w:rFonts w:ascii="Times New Roman" w:hAnsi="Times New Roman" w:eastAsia="仿宋_GB2312" w:cs="Times New Roman"/>
          <w:sz w:val="32"/>
          <w:szCs w:val="32"/>
        </w:rPr>
        <w:t>相关数据</w:t>
      </w:r>
      <w:r>
        <w:rPr>
          <w:rFonts w:hint="eastAsia" w:ascii="Times New Roman" w:hAnsi="Times New Roman" w:eastAsia="仿宋_GB2312" w:cs="Times New Roman"/>
          <w:sz w:val="32"/>
          <w:szCs w:val="32"/>
        </w:rPr>
        <w:t>涉及</w:t>
      </w:r>
      <w:r>
        <w:rPr>
          <w:rFonts w:ascii="Times New Roman" w:hAnsi="Times New Roman" w:eastAsia="仿宋_GB2312" w:cs="Times New Roman"/>
          <w:sz w:val="32"/>
          <w:szCs w:val="32"/>
        </w:rPr>
        <w:t>单位应主动配合数据采集，及时、准确提供有关数据。</w:t>
      </w:r>
    </w:p>
    <w:p>
      <w:pPr>
        <w:pStyle w:val="9"/>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医疗机构应参照参保人医保记账标准，实时、规范</w:t>
      </w:r>
      <w:r>
        <w:rPr>
          <w:rFonts w:hint="eastAsia" w:ascii="Times New Roman" w:hAnsi="Times New Roman" w:eastAsia="仿宋_GB2312" w:cs="Times New Roman"/>
          <w:sz w:val="32"/>
          <w:szCs w:val="32"/>
        </w:rPr>
        <w:t>、准确</w:t>
      </w:r>
      <w:r>
        <w:rPr>
          <w:rFonts w:ascii="Times New Roman" w:hAnsi="Times New Roman" w:eastAsia="仿宋_GB2312" w:cs="Times New Roman"/>
          <w:sz w:val="32"/>
          <w:szCs w:val="32"/>
        </w:rPr>
        <w:t>传输非参保人集采药品</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数据。</w:t>
      </w:r>
    </w:p>
    <w:p>
      <w:pPr>
        <w:pStyle w:val="9"/>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深圳药品采购平台应提供集采药品相关数据，并配合做好系统支持。</w:t>
      </w:r>
    </w:p>
    <w:p>
      <w:pPr>
        <w:pStyle w:val="9"/>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十九</w:t>
      </w:r>
      <w:r>
        <w:rPr>
          <w:rFonts w:ascii="Times New Roman" w:hAnsi="Times New Roman" w:eastAsia="仿宋_GB2312" w:cs="Times New Roman"/>
          <w:b/>
          <w:bCs/>
          <w:sz w:val="32"/>
          <w:szCs w:val="32"/>
        </w:rPr>
        <w:fldChar w:fldCharType="end"/>
      </w:r>
      <w:r>
        <w:rPr>
          <w:rFonts w:ascii="Times New Roman" w:hAnsi="Times New Roman" w:eastAsia="仿宋_GB2312" w:cs="Times New Roman"/>
          <w:b/>
          <w:bCs/>
          <w:sz w:val="32"/>
          <w:szCs w:val="32"/>
        </w:rPr>
        <w:t>条 【不予拨付情形】</w:t>
      </w:r>
      <w:r>
        <w:rPr>
          <w:rFonts w:ascii="Times New Roman" w:hAnsi="Times New Roman" w:eastAsia="仿宋_GB2312" w:cs="Times New Roman"/>
          <w:sz w:val="32"/>
          <w:szCs w:val="32"/>
        </w:rPr>
        <w:t>结余基数为负数的，不予拨付结余留用</w:t>
      </w:r>
      <w:r>
        <w:rPr>
          <w:rFonts w:hint="eastAsia" w:ascii="Times New Roman" w:hAnsi="Times New Roman" w:eastAsia="仿宋_GB2312" w:cs="Times New Roman"/>
          <w:sz w:val="32"/>
          <w:szCs w:val="32"/>
        </w:rPr>
        <w:t>资</w:t>
      </w:r>
      <w:r>
        <w:rPr>
          <w:rFonts w:ascii="Times New Roman" w:hAnsi="Times New Roman" w:eastAsia="仿宋_GB2312" w:cs="Times New Roman"/>
          <w:sz w:val="32"/>
          <w:szCs w:val="32"/>
        </w:rPr>
        <w:t>金。</w:t>
      </w:r>
    </w:p>
    <w:p>
      <w:pPr>
        <w:pStyle w:val="9"/>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二十</w:t>
      </w:r>
      <w:r>
        <w:rPr>
          <w:rFonts w:ascii="Times New Roman" w:hAnsi="Times New Roman" w:eastAsia="仿宋_GB2312" w:cs="Times New Roman"/>
          <w:b/>
          <w:bCs/>
          <w:sz w:val="32"/>
          <w:szCs w:val="32"/>
        </w:rPr>
        <w:fldChar w:fldCharType="end"/>
      </w:r>
      <w:r>
        <w:rPr>
          <w:rFonts w:ascii="Times New Roman" w:hAnsi="Times New Roman" w:eastAsia="仿宋_GB2312" w:cs="Times New Roman"/>
          <w:b/>
          <w:bCs/>
          <w:sz w:val="32"/>
          <w:szCs w:val="32"/>
        </w:rPr>
        <w:t>条 【结果公示】</w:t>
      </w:r>
      <w:r>
        <w:rPr>
          <w:rFonts w:ascii="Times New Roman" w:hAnsi="Times New Roman" w:eastAsia="仿宋_GB2312" w:cs="Times New Roman"/>
          <w:sz w:val="32"/>
          <w:szCs w:val="32"/>
        </w:rPr>
        <w:t>结余留用结算及医疗机构</w:t>
      </w:r>
      <w:r>
        <w:rPr>
          <w:rFonts w:hint="eastAsia" w:ascii="Times New Roman" w:hAnsi="Times New Roman" w:eastAsia="仿宋_GB2312" w:cs="Times New Roman"/>
          <w:sz w:val="32"/>
          <w:szCs w:val="32"/>
        </w:rPr>
        <w:t>考核评价</w:t>
      </w:r>
      <w:r>
        <w:rPr>
          <w:rFonts w:ascii="Times New Roman" w:hAnsi="Times New Roman" w:eastAsia="仿宋_GB2312" w:cs="Times New Roman"/>
          <w:sz w:val="32"/>
          <w:szCs w:val="32"/>
        </w:rPr>
        <w:t>结果</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通过适当渠道向医疗机构公开，公示期不少于5</w:t>
      </w:r>
      <w:r>
        <w:rPr>
          <w:rFonts w:hint="eastAsia" w:ascii="Times New Roman" w:hAnsi="Times New Roman" w:eastAsia="仿宋_GB2312" w:cs="Times New Roman"/>
          <w:sz w:val="32"/>
          <w:szCs w:val="32"/>
        </w:rPr>
        <w:t>个工作日</w:t>
      </w:r>
      <w:r>
        <w:rPr>
          <w:rFonts w:ascii="Times New Roman" w:hAnsi="Times New Roman" w:eastAsia="仿宋_GB2312" w:cs="Times New Roman"/>
          <w:sz w:val="32"/>
          <w:szCs w:val="32"/>
        </w:rPr>
        <w:t>。</w:t>
      </w:r>
    </w:p>
    <w:p>
      <w:pPr>
        <w:pStyle w:val="9"/>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二十一</w:t>
      </w:r>
      <w:r>
        <w:rPr>
          <w:rFonts w:ascii="Times New Roman" w:hAnsi="Times New Roman" w:eastAsia="仿宋_GB2312" w:cs="Times New Roman"/>
          <w:b/>
          <w:bCs/>
          <w:sz w:val="32"/>
          <w:szCs w:val="32"/>
        </w:rPr>
        <w:fldChar w:fldCharType="end"/>
      </w:r>
      <w:r>
        <w:rPr>
          <w:rFonts w:ascii="Times New Roman" w:hAnsi="Times New Roman" w:eastAsia="仿宋_GB2312" w:cs="Times New Roman"/>
          <w:b/>
          <w:bCs/>
          <w:sz w:val="32"/>
          <w:szCs w:val="32"/>
        </w:rPr>
        <w:t>条 【异议处理】</w:t>
      </w:r>
      <w:r>
        <w:rPr>
          <w:rFonts w:ascii="Times New Roman" w:hAnsi="Times New Roman" w:eastAsia="仿宋_GB2312" w:cs="Times New Roman"/>
          <w:sz w:val="32"/>
          <w:szCs w:val="32"/>
        </w:rPr>
        <w:t>医疗机构对公示结果有异议的，应在公示期</w:t>
      </w:r>
      <w:r>
        <w:rPr>
          <w:rFonts w:hint="eastAsia" w:ascii="Times New Roman" w:hAnsi="Times New Roman" w:eastAsia="仿宋_GB2312" w:cs="Times New Roman"/>
          <w:sz w:val="32"/>
          <w:szCs w:val="32"/>
        </w:rPr>
        <w:t>满前</w:t>
      </w:r>
      <w:r>
        <w:rPr>
          <w:rFonts w:ascii="Times New Roman" w:hAnsi="Times New Roman" w:eastAsia="仿宋_GB2312" w:cs="Times New Roman"/>
          <w:sz w:val="32"/>
          <w:szCs w:val="32"/>
        </w:rPr>
        <w:t>向</w:t>
      </w:r>
      <w:r>
        <w:rPr>
          <w:rFonts w:hint="eastAsia" w:ascii="Times New Roman" w:hAnsi="Times New Roman" w:eastAsia="仿宋_GB2312" w:cs="Times New Roman"/>
          <w:sz w:val="32"/>
          <w:szCs w:val="32"/>
        </w:rPr>
        <w:t>市医疗保障经办机构书面反馈</w:t>
      </w:r>
      <w:r>
        <w:rPr>
          <w:rFonts w:ascii="Times New Roman" w:hAnsi="Times New Roman" w:eastAsia="仿宋_GB2312" w:cs="Times New Roman"/>
          <w:sz w:val="32"/>
          <w:szCs w:val="32"/>
        </w:rPr>
        <w:t>，并提交有效证明材料。</w:t>
      </w:r>
      <w:r>
        <w:rPr>
          <w:rFonts w:hint="eastAsia" w:ascii="Times New Roman" w:hAnsi="Times New Roman" w:eastAsia="仿宋_GB2312" w:cs="Times New Roman"/>
          <w:sz w:val="32"/>
          <w:szCs w:val="32"/>
        </w:rPr>
        <w:t>市医疗保障经办机构</w:t>
      </w:r>
      <w:r>
        <w:rPr>
          <w:rFonts w:ascii="Times New Roman" w:hAnsi="Times New Roman" w:eastAsia="仿宋_GB2312" w:cs="Times New Roman"/>
          <w:sz w:val="32"/>
          <w:szCs w:val="32"/>
        </w:rPr>
        <w:t>应于</w:t>
      </w:r>
      <w:r>
        <w:rPr>
          <w:rFonts w:hint="eastAsia" w:ascii="Times New Roman" w:hAnsi="Times New Roman" w:eastAsia="仿宋_GB2312" w:cs="Times New Roman"/>
          <w:sz w:val="32"/>
          <w:szCs w:val="32"/>
        </w:rPr>
        <w:t>收到书面反馈</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个工作</w:t>
      </w:r>
      <w:r>
        <w:rPr>
          <w:rFonts w:ascii="Times New Roman" w:hAnsi="Times New Roman" w:eastAsia="仿宋_GB2312" w:cs="Times New Roman"/>
          <w:sz w:val="32"/>
          <w:szCs w:val="32"/>
        </w:rPr>
        <w:t>日内作出处理，</w:t>
      </w:r>
      <w:r>
        <w:rPr>
          <w:rFonts w:hint="eastAsia" w:ascii="Times New Roman" w:hAnsi="Times New Roman" w:eastAsia="仿宋_GB2312" w:cs="Times New Roman"/>
          <w:sz w:val="32"/>
          <w:szCs w:val="32"/>
        </w:rPr>
        <w:t>并将处理结果告知医疗机构</w:t>
      </w:r>
      <w:r>
        <w:rPr>
          <w:rFonts w:ascii="Times New Roman" w:hAnsi="Times New Roman" w:eastAsia="仿宋_GB2312" w:cs="Times New Roman"/>
          <w:sz w:val="32"/>
          <w:szCs w:val="32"/>
        </w:rPr>
        <w:t>。</w:t>
      </w:r>
    </w:p>
    <w:p>
      <w:pPr>
        <w:pStyle w:val="9"/>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二十二</w:t>
      </w:r>
      <w:r>
        <w:rPr>
          <w:rFonts w:ascii="Times New Roman" w:hAnsi="Times New Roman" w:eastAsia="仿宋_GB2312" w:cs="Times New Roman"/>
          <w:b/>
          <w:bCs/>
          <w:sz w:val="32"/>
          <w:szCs w:val="32"/>
        </w:rPr>
        <w:fldChar w:fldCharType="end"/>
      </w:r>
      <w:r>
        <w:rPr>
          <w:rFonts w:ascii="Times New Roman" w:hAnsi="Times New Roman" w:eastAsia="仿宋_GB2312" w:cs="Times New Roman"/>
          <w:b/>
          <w:bCs/>
          <w:sz w:val="32"/>
          <w:szCs w:val="32"/>
        </w:rPr>
        <w:t>条 【</w:t>
      </w:r>
      <w:r>
        <w:rPr>
          <w:rFonts w:hint="eastAsia" w:ascii="Times New Roman" w:hAnsi="Times New Roman" w:eastAsia="仿宋_GB2312" w:cs="Times New Roman"/>
          <w:b/>
          <w:bCs/>
          <w:sz w:val="32"/>
          <w:szCs w:val="32"/>
        </w:rPr>
        <w:t>资金</w:t>
      </w:r>
      <w:r>
        <w:rPr>
          <w:rFonts w:ascii="Times New Roman" w:hAnsi="Times New Roman" w:eastAsia="仿宋_GB2312" w:cs="Times New Roman"/>
          <w:b/>
          <w:bCs/>
          <w:sz w:val="32"/>
          <w:szCs w:val="32"/>
        </w:rPr>
        <w:t>拨付】</w:t>
      </w:r>
      <w:r>
        <w:rPr>
          <w:rFonts w:ascii="Times New Roman" w:hAnsi="Times New Roman" w:eastAsia="仿宋_GB2312" w:cs="Times New Roman"/>
          <w:sz w:val="32"/>
          <w:szCs w:val="32"/>
        </w:rPr>
        <w:t>结余留用结算及医疗机构考核结果经公示无异议后实施，结余留用</w:t>
      </w:r>
      <w:r>
        <w:rPr>
          <w:rFonts w:hint="eastAsia" w:ascii="Times New Roman" w:hAnsi="Times New Roman" w:eastAsia="仿宋_GB2312" w:cs="Times New Roman"/>
          <w:sz w:val="32"/>
          <w:szCs w:val="32"/>
        </w:rPr>
        <w:t>资金</w:t>
      </w:r>
      <w:r>
        <w:rPr>
          <w:rFonts w:ascii="Times New Roman" w:hAnsi="Times New Roman" w:eastAsia="仿宋_GB2312" w:cs="Times New Roman"/>
          <w:sz w:val="32"/>
          <w:szCs w:val="32"/>
        </w:rPr>
        <w:t>应于市医疗保障</w:t>
      </w:r>
      <w:r>
        <w:rPr>
          <w:rFonts w:hint="eastAsia" w:ascii="Times New Roman" w:hAnsi="Times New Roman" w:eastAsia="仿宋_GB2312" w:cs="Times New Roman"/>
          <w:sz w:val="32"/>
          <w:szCs w:val="32"/>
        </w:rPr>
        <w:t>行政</w:t>
      </w:r>
      <w:r>
        <w:rPr>
          <w:rFonts w:ascii="Times New Roman" w:hAnsi="Times New Roman" w:eastAsia="仿宋_GB2312" w:cs="Times New Roman"/>
          <w:sz w:val="32"/>
          <w:szCs w:val="32"/>
        </w:rPr>
        <w:t>部门</w:t>
      </w:r>
      <w:r>
        <w:rPr>
          <w:rFonts w:hint="eastAsia" w:ascii="Times New Roman" w:hAnsi="Times New Roman" w:eastAsia="仿宋_GB2312" w:cs="Times New Roman"/>
          <w:sz w:val="32"/>
          <w:szCs w:val="32"/>
        </w:rPr>
        <w:t>最终确认后10个工作日内完成拨付</w:t>
      </w:r>
      <w:r>
        <w:rPr>
          <w:rFonts w:ascii="Times New Roman" w:hAnsi="Times New Roman" w:eastAsia="仿宋_GB2312" w:cs="Times New Roman"/>
          <w:sz w:val="32"/>
          <w:szCs w:val="32"/>
        </w:rPr>
        <w:t>。</w:t>
      </w:r>
    </w:p>
    <w:p>
      <w:pPr>
        <w:pStyle w:val="9"/>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二十三</w:t>
      </w:r>
      <w:r>
        <w:rPr>
          <w:rFonts w:ascii="Times New Roman" w:hAnsi="Times New Roman" w:eastAsia="仿宋_GB2312" w:cs="Times New Roman"/>
          <w:b/>
          <w:bCs/>
          <w:sz w:val="32"/>
          <w:szCs w:val="32"/>
        </w:rPr>
        <w:fldChar w:fldCharType="end"/>
      </w:r>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rPr>
        <w:t>资金</w:t>
      </w:r>
      <w:r>
        <w:rPr>
          <w:rFonts w:ascii="Times New Roman" w:hAnsi="Times New Roman" w:eastAsia="仿宋_GB2312" w:cs="Times New Roman"/>
          <w:b/>
          <w:bCs/>
          <w:sz w:val="32"/>
          <w:szCs w:val="32"/>
        </w:rPr>
        <w:t>使用】</w:t>
      </w:r>
      <w:r>
        <w:rPr>
          <w:rFonts w:ascii="Times New Roman" w:hAnsi="Times New Roman" w:eastAsia="仿宋_GB2312" w:cs="Times New Roman"/>
          <w:sz w:val="32"/>
          <w:szCs w:val="32"/>
        </w:rPr>
        <w:t>医疗机构应完善内部考核办法，根据考核结果合理分配结余留用</w:t>
      </w:r>
      <w:r>
        <w:rPr>
          <w:rFonts w:hint="eastAsia" w:ascii="Times New Roman" w:hAnsi="Times New Roman" w:eastAsia="仿宋_GB2312" w:cs="Times New Roman"/>
          <w:sz w:val="32"/>
          <w:szCs w:val="32"/>
        </w:rPr>
        <w:t>资金</w:t>
      </w:r>
      <w:r>
        <w:rPr>
          <w:rFonts w:ascii="Times New Roman" w:hAnsi="Times New Roman" w:eastAsia="仿宋_GB2312" w:cs="Times New Roman"/>
          <w:sz w:val="32"/>
          <w:szCs w:val="32"/>
        </w:rPr>
        <w:t>，主要用于相关人员绩效奖励，促进合理用药和仿制药使用，优</w:t>
      </w:r>
      <w:r>
        <w:rPr>
          <w:rFonts w:hint="eastAsia" w:ascii="Times New Roman" w:hAnsi="Times New Roman" w:eastAsia="仿宋_GB2312" w:cs="Times New Roman"/>
          <w:sz w:val="32"/>
          <w:szCs w:val="32"/>
        </w:rPr>
        <w:t>先</w:t>
      </w:r>
      <w:r>
        <w:rPr>
          <w:rFonts w:ascii="Times New Roman" w:hAnsi="Times New Roman" w:eastAsia="仿宋_GB2312" w:cs="Times New Roman"/>
          <w:sz w:val="32"/>
          <w:szCs w:val="32"/>
        </w:rPr>
        <w:t>使用中选药品。相应考核及分配办法应于拨付前向市医疗保障</w:t>
      </w:r>
      <w:r>
        <w:rPr>
          <w:rFonts w:hint="eastAsia" w:ascii="Times New Roman" w:hAnsi="Times New Roman" w:eastAsia="仿宋_GB2312" w:cs="Times New Roman"/>
          <w:sz w:val="32"/>
          <w:szCs w:val="32"/>
        </w:rPr>
        <w:t>行政</w:t>
      </w:r>
      <w:r>
        <w:rPr>
          <w:rFonts w:ascii="Times New Roman" w:hAnsi="Times New Roman" w:eastAsia="仿宋_GB2312" w:cs="Times New Roman"/>
          <w:sz w:val="32"/>
          <w:szCs w:val="32"/>
        </w:rPr>
        <w:t>部门</w:t>
      </w:r>
      <w:r>
        <w:rPr>
          <w:rFonts w:hint="eastAsia" w:ascii="Times New Roman" w:hAnsi="Times New Roman" w:eastAsia="仿宋_GB2312" w:cs="Times New Roman"/>
          <w:sz w:val="32"/>
          <w:szCs w:val="32"/>
        </w:rPr>
        <w:t>、市卫生健康行政部门</w:t>
      </w:r>
      <w:r>
        <w:rPr>
          <w:rFonts w:ascii="Times New Roman" w:hAnsi="Times New Roman" w:eastAsia="仿宋_GB2312" w:cs="Times New Roman"/>
          <w:sz w:val="32"/>
          <w:szCs w:val="32"/>
        </w:rPr>
        <w:t>备案，并接受</w:t>
      </w:r>
      <w:r>
        <w:rPr>
          <w:rFonts w:hint="eastAsia" w:ascii="Times New Roman" w:hAnsi="Times New Roman" w:eastAsia="仿宋_GB2312" w:cs="Times New Roman"/>
          <w:sz w:val="32"/>
          <w:szCs w:val="32"/>
        </w:rPr>
        <w:t>指导和</w:t>
      </w:r>
      <w:r>
        <w:rPr>
          <w:rFonts w:ascii="Times New Roman" w:hAnsi="Times New Roman" w:eastAsia="仿宋_GB2312" w:cs="Times New Roman"/>
          <w:sz w:val="32"/>
          <w:szCs w:val="32"/>
        </w:rPr>
        <w:t>监督。</w:t>
      </w:r>
    </w:p>
    <w:p>
      <w:pPr>
        <w:pStyle w:val="9"/>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p>
    <w:p>
      <w:pPr>
        <w:pStyle w:val="9"/>
        <w:adjustRightInd w:val="0"/>
        <w:snapToGrid w:val="0"/>
        <w:spacing w:before="0" w:beforeAutospacing="0" w:after="0" w:afterAutospacing="0" w:line="560" w:lineRule="exact"/>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章 附则</w:t>
      </w:r>
    </w:p>
    <w:p>
      <w:pPr>
        <w:pStyle w:val="9"/>
        <w:adjustRightInd w:val="0"/>
        <w:snapToGrid w:val="0"/>
        <w:spacing w:before="0" w:beforeAutospacing="0" w:after="0" w:afterAutospacing="0" w:line="560" w:lineRule="exact"/>
        <w:ind w:firstLine="643" w:firstLineChars="200"/>
        <w:jc w:val="both"/>
        <w:rPr>
          <w:rFonts w:hint="eastAsia" w:ascii="Times New Roman" w:hAnsi="Times New Roman" w:eastAsia="仿宋_GB2312" w:cs="Times New Roman"/>
          <w:bCs/>
          <w:sz w:val="32"/>
          <w:szCs w:val="32"/>
        </w:rPr>
      </w:pPr>
      <w:r>
        <w:rPr>
          <w:rFonts w:hint="eastAsia"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二十四</w:t>
      </w:r>
      <w:r>
        <w:rPr>
          <w:rFonts w:ascii="Times New Roman" w:hAnsi="Times New Roman" w:eastAsia="仿宋_GB2312" w:cs="Times New Roman"/>
          <w:b/>
          <w:bCs/>
          <w:sz w:val="32"/>
          <w:szCs w:val="32"/>
        </w:rPr>
        <w:fldChar w:fldCharType="end"/>
      </w:r>
      <w:r>
        <w:rPr>
          <w:rFonts w:hint="eastAsia" w:ascii="Times New Roman" w:hAnsi="Times New Roman" w:eastAsia="仿宋_GB2312" w:cs="Times New Roman"/>
          <w:b/>
          <w:bCs/>
          <w:sz w:val="32"/>
          <w:szCs w:val="32"/>
        </w:rPr>
        <w:t>条 【医保支付衔接】</w:t>
      </w:r>
      <w:r>
        <w:rPr>
          <w:rFonts w:hint="eastAsia" w:ascii="Times New Roman" w:hAnsi="Times New Roman" w:eastAsia="仿宋_GB2312" w:cs="Times New Roman"/>
          <w:bCs/>
          <w:sz w:val="32"/>
          <w:szCs w:val="32"/>
        </w:rPr>
        <w:t>对于已享受结余留用政策的医疗机构，在确保患者自付部分完全享受集采降价效果的前提下，首年不下调相应协议偿付标准，以后按我市现行支付政策定期调整医保各类协议偿付标准。</w:t>
      </w:r>
    </w:p>
    <w:p>
      <w:pPr>
        <w:pStyle w:val="9"/>
        <w:adjustRightInd w:val="0"/>
        <w:snapToGrid w:val="0"/>
        <w:spacing w:before="0" w:beforeAutospacing="0" w:after="0" w:afterAutospacing="0" w:line="560" w:lineRule="exact"/>
        <w:ind w:firstLine="643" w:firstLineChars="200"/>
        <w:jc w:val="both"/>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二十五</w:t>
      </w:r>
      <w:r>
        <w:rPr>
          <w:rFonts w:ascii="Times New Roman" w:hAnsi="Times New Roman" w:eastAsia="仿宋_GB2312" w:cs="Times New Roman"/>
          <w:b/>
          <w:bCs/>
          <w:sz w:val="32"/>
          <w:szCs w:val="32"/>
        </w:rPr>
        <w:fldChar w:fldCharType="end"/>
      </w:r>
      <w:r>
        <w:rPr>
          <w:rFonts w:hint="eastAsia" w:ascii="Times New Roman" w:hAnsi="Times New Roman" w:eastAsia="仿宋_GB2312" w:cs="Times New Roman"/>
          <w:b/>
          <w:bCs/>
          <w:sz w:val="32"/>
          <w:szCs w:val="32"/>
        </w:rPr>
        <w:t>条 【</w:t>
      </w:r>
      <w:r>
        <w:rPr>
          <w:rFonts w:hint="eastAsia" w:ascii="Times New Roman" w:hAnsi="Times New Roman" w:eastAsia="仿宋_GB2312" w:cs="Times New Roman"/>
          <w:b/>
          <w:bCs/>
          <w:sz w:val="32"/>
          <w:szCs w:val="32"/>
          <w:lang w:val="en-US" w:eastAsia="zh-CN"/>
        </w:rPr>
        <w:t>医用耗材</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lang w:val="en-US" w:eastAsia="zh-CN"/>
        </w:rPr>
        <w:t>医用耗材集中带量采购涉及到结余留用的，参照适用本办法。具体方式由市医疗保障行政部门另行规定。</w:t>
      </w:r>
    </w:p>
    <w:p>
      <w:pPr>
        <w:pStyle w:val="9"/>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二十六</w:t>
      </w:r>
      <w:r>
        <w:rPr>
          <w:rFonts w:ascii="Times New Roman" w:hAnsi="Times New Roman" w:eastAsia="仿宋_GB2312" w:cs="Times New Roman"/>
          <w:b/>
          <w:bCs/>
          <w:sz w:val="32"/>
          <w:szCs w:val="32"/>
        </w:rPr>
        <w:fldChar w:fldCharType="end"/>
      </w:r>
      <w:r>
        <w:rPr>
          <w:rFonts w:ascii="Times New Roman" w:hAnsi="Times New Roman" w:eastAsia="仿宋_GB2312" w:cs="Times New Roman"/>
          <w:b/>
          <w:bCs/>
          <w:sz w:val="32"/>
          <w:szCs w:val="32"/>
        </w:rPr>
        <w:t>条【解释权】</w:t>
      </w:r>
      <w:r>
        <w:rPr>
          <w:rFonts w:ascii="Times New Roman" w:hAnsi="Times New Roman" w:eastAsia="仿宋_GB2312" w:cs="Times New Roman"/>
          <w:sz w:val="32"/>
          <w:szCs w:val="32"/>
        </w:rPr>
        <w:t>本办法由市医疗保障</w:t>
      </w:r>
      <w:r>
        <w:rPr>
          <w:rFonts w:hint="eastAsia" w:ascii="Times New Roman" w:hAnsi="Times New Roman" w:eastAsia="仿宋_GB2312" w:cs="Times New Roman"/>
          <w:sz w:val="32"/>
          <w:szCs w:val="32"/>
        </w:rPr>
        <w:t>行政</w:t>
      </w:r>
      <w:r>
        <w:rPr>
          <w:rFonts w:ascii="Times New Roman" w:hAnsi="Times New Roman" w:eastAsia="仿宋_GB2312" w:cs="Times New Roman"/>
          <w:sz w:val="32"/>
          <w:szCs w:val="32"/>
        </w:rPr>
        <w:t>部门负责解释，</w:t>
      </w:r>
      <w:r>
        <w:rPr>
          <w:rFonts w:hint="eastAsia" w:ascii="Times New Roman" w:hAnsi="Times New Roman" w:eastAsia="仿宋_GB2312" w:cs="Times New Roman"/>
          <w:sz w:val="32"/>
          <w:szCs w:val="32"/>
        </w:rPr>
        <w:t>市医疗保障行政部门可根据国家、省有关政策进行适当调整。</w:t>
      </w:r>
    </w:p>
    <w:p>
      <w:pPr>
        <w:pStyle w:val="9"/>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ascii="Times New Roman" w:hAnsi="Times New Roman" w:eastAsia="仿宋_GB2312" w:cs="Times New Roman"/>
          <w:b/>
          <w:bCs/>
          <w:sz w:val="32"/>
          <w:szCs w:val="32"/>
        </w:rPr>
        <w:fldChar w:fldCharType="begin"/>
      </w:r>
      <w:r>
        <w:rPr>
          <w:rFonts w:ascii="Times New Roman" w:hAnsi="Times New Roman" w:eastAsia="仿宋_GB2312" w:cs="Times New Roman"/>
          <w:b/>
          <w:bCs/>
          <w:sz w:val="32"/>
          <w:szCs w:val="32"/>
        </w:rPr>
        <w:instrText xml:space="preserve"> SEQ 表 \* CHINESENUM3 </w:instrText>
      </w:r>
      <w:r>
        <w:rPr>
          <w:rFonts w:ascii="Times New Roman" w:hAnsi="Times New Roman" w:eastAsia="仿宋_GB2312" w:cs="Times New Roman"/>
          <w:b/>
          <w:bCs/>
          <w:sz w:val="32"/>
          <w:szCs w:val="32"/>
        </w:rPr>
        <w:fldChar w:fldCharType="separate"/>
      </w:r>
      <w:r>
        <w:rPr>
          <w:rFonts w:ascii="Times New Roman" w:hAnsi="Times New Roman" w:eastAsia="仿宋_GB2312" w:cs="Times New Roman"/>
          <w:b/>
          <w:bCs/>
          <w:sz w:val="32"/>
          <w:szCs w:val="32"/>
        </w:rPr>
        <w:t>二十七</w:t>
      </w:r>
      <w:r>
        <w:rPr>
          <w:rFonts w:ascii="Times New Roman" w:hAnsi="Times New Roman" w:eastAsia="仿宋_GB2312" w:cs="Times New Roman"/>
          <w:b/>
          <w:bCs/>
          <w:sz w:val="32"/>
          <w:szCs w:val="32"/>
        </w:rPr>
        <w:fldChar w:fldCharType="end"/>
      </w:r>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rPr>
        <w:t>施行</w:t>
      </w:r>
      <w:r>
        <w:rPr>
          <w:rFonts w:ascii="Times New Roman" w:hAnsi="Times New Roman" w:eastAsia="仿宋_GB2312" w:cs="Times New Roman"/>
          <w:b/>
          <w:bCs/>
          <w:sz w:val="32"/>
          <w:szCs w:val="32"/>
        </w:rPr>
        <w:t>时间】</w:t>
      </w:r>
      <w:r>
        <w:rPr>
          <w:rFonts w:ascii="Times New Roman" w:hAnsi="Times New Roman" w:eastAsia="仿宋_GB2312" w:cs="Times New Roman"/>
          <w:sz w:val="32"/>
          <w:szCs w:val="32"/>
        </w:rPr>
        <w:t>本办法自2021年</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日起</w:t>
      </w:r>
      <w:r>
        <w:rPr>
          <w:rFonts w:hint="eastAsia" w:ascii="Times New Roman" w:hAnsi="Times New Roman" w:eastAsia="仿宋_GB2312" w:cs="Times New Roman"/>
          <w:sz w:val="32"/>
          <w:szCs w:val="32"/>
        </w:rPr>
        <w:t>施行，有效期3年</w:t>
      </w:r>
      <w:r>
        <w:rPr>
          <w:rFonts w:ascii="Times New Roman" w:hAnsi="Times New Roman" w:eastAsia="仿宋_GB2312" w:cs="Times New Roman"/>
          <w:sz w:val="32"/>
          <w:szCs w:val="32"/>
        </w:rPr>
        <w:t>。</w:t>
      </w:r>
    </w:p>
    <w:p>
      <w:pPr>
        <w:pStyle w:val="9"/>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p>
    <w:p>
      <w:pPr>
        <w:pStyle w:val="9"/>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p>
    <w:p>
      <w:pPr>
        <w:pStyle w:val="9"/>
        <w:widowControl w:val="0"/>
        <w:adjustRightInd w:val="0"/>
        <w:snapToGrid w:val="0"/>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r>
        <w:rPr>
          <w:rFonts w:hint="eastAsia" w:ascii="Times New Roman" w:hAnsi="Times New Roman" w:eastAsia="仿宋_GB2312" w:cs="Times New Roman"/>
          <w:sz w:val="32"/>
          <w:szCs w:val="32"/>
        </w:rPr>
        <w:t>结余留用资金</w:t>
      </w:r>
      <w:r>
        <w:rPr>
          <w:rFonts w:ascii="Times New Roman" w:hAnsi="Times New Roman" w:eastAsia="仿宋_GB2312" w:cs="Times New Roman"/>
          <w:sz w:val="32"/>
          <w:szCs w:val="32"/>
        </w:rPr>
        <w:t>计算公式</w:t>
      </w:r>
    </w:p>
    <w:p>
      <w:pPr>
        <w:pStyle w:val="9"/>
        <w:widowControl w:val="0"/>
        <w:adjustRightInd w:val="0"/>
        <w:snapToGrid w:val="0"/>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2.医疗机构考核指标</w:t>
      </w:r>
    </w:p>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pStyle w:val="4"/>
        <w:rPr>
          <w:rFonts w:ascii="Times New Roman" w:hAnsi="Times New Roman" w:cs="Times New Roman"/>
          <w:lang w:eastAsia="zh-CN"/>
        </w:rPr>
      </w:pPr>
    </w:p>
    <w:p>
      <w:pPr>
        <w:pStyle w:val="4"/>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结余留用</w:t>
      </w:r>
      <w:r>
        <w:rPr>
          <w:rFonts w:hint="eastAsia" w:ascii="Times New Roman" w:hAnsi="Times New Roman" w:eastAsia="方正小标宋_GBK" w:cs="Times New Roman"/>
          <w:sz w:val="44"/>
          <w:szCs w:val="44"/>
          <w:lang w:eastAsia="zh-CN"/>
        </w:rPr>
        <w:t>资金</w:t>
      </w:r>
      <w:r>
        <w:rPr>
          <w:rFonts w:ascii="Times New Roman" w:hAnsi="Times New Roman" w:eastAsia="方正小标宋_GBK" w:cs="Times New Roman"/>
          <w:sz w:val="44"/>
          <w:szCs w:val="44"/>
          <w:lang w:eastAsia="zh-CN"/>
        </w:rPr>
        <w:t>计算公式</w:t>
      </w:r>
    </w:p>
    <w:p>
      <w:pPr>
        <w:pStyle w:val="4"/>
        <w:jc w:val="center"/>
        <w:rPr>
          <w:rFonts w:ascii="Times New Roman" w:hAnsi="Times New Roman" w:eastAsia="楷体" w:cs="Times New Roman"/>
          <w:sz w:val="32"/>
          <w:lang w:eastAsia="zh-CN"/>
        </w:rPr>
      </w:pPr>
      <w:r>
        <w:rPr>
          <w:rFonts w:ascii="Times New Roman" w:hAnsi="Times New Roman" w:eastAsia="楷体" w:cs="Times New Roman"/>
          <w:sz w:val="32"/>
          <w:lang w:eastAsia="zh-CN"/>
        </w:rPr>
        <w:t>（各医疗机构</w:t>
      </w:r>
      <w:r>
        <w:rPr>
          <w:rFonts w:hint="eastAsia" w:ascii="Times New Roman" w:hAnsi="Times New Roman" w:eastAsia="楷体" w:cs="Times New Roman"/>
          <w:sz w:val="32"/>
          <w:lang w:eastAsia="zh-CN"/>
        </w:rPr>
        <w:t>、各批次</w:t>
      </w:r>
      <w:r>
        <w:rPr>
          <w:rFonts w:ascii="Times New Roman" w:hAnsi="Times New Roman" w:eastAsia="楷体" w:cs="Times New Roman"/>
          <w:sz w:val="32"/>
          <w:lang w:eastAsia="zh-CN"/>
        </w:rPr>
        <w:t>）</w:t>
      </w:r>
    </w:p>
    <w:p>
      <w:pPr>
        <w:pStyle w:val="4"/>
        <w:jc w:val="center"/>
        <w:rPr>
          <w:rFonts w:ascii="Times New Roman" w:hAnsi="Times New Roman" w:cs="Times New Roman"/>
          <w:lang w:eastAsia="zh-CN"/>
        </w:rPr>
      </w:pPr>
    </w:p>
    <w:p>
      <w:pPr>
        <w:pStyle w:val="4"/>
        <w:ind w:firstLine="643" w:firstLineChars="200"/>
        <w:rPr>
          <w:rFonts w:ascii="Times New Roman" w:hAnsi="Times New Roman" w:eastAsia="仿宋_GB2312" w:cs="Times New Roman"/>
          <w:b/>
          <w:sz w:val="32"/>
          <w:lang w:eastAsia="zh-CN"/>
        </w:rPr>
      </w:pPr>
      <w:r>
        <w:rPr>
          <w:rFonts w:ascii="Times New Roman" w:hAnsi="Times New Roman" w:eastAsia="仿宋_GB2312" w:cs="Times New Roman"/>
          <w:b/>
          <w:sz w:val="32"/>
          <w:lang w:eastAsia="zh-CN"/>
        </w:rPr>
        <w:t>结余基数=集采药品医保资金预算-集采药品医保支出金额</w:t>
      </w:r>
    </w:p>
    <w:p>
      <w:pPr>
        <w:pStyle w:val="4"/>
        <w:ind w:firstLine="640" w:firstLineChars="200"/>
        <w:rPr>
          <w:rFonts w:ascii="Times New Roman" w:hAnsi="Times New Roman" w:eastAsia="仿宋_GB2312" w:cs="Times New Roman"/>
          <w:sz w:val="32"/>
          <w:lang w:eastAsia="zh-CN"/>
        </w:rPr>
      </w:pPr>
      <w:r>
        <w:rPr>
          <w:rFonts w:ascii="Times New Roman" w:hAnsi="Times New Roman" w:eastAsia="仿宋_GB2312" w:cs="Times New Roman"/>
          <w:sz w:val="32"/>
          <w:lang w:eastAsia="zh-CN"/>
        </w:rPr>
        <w:t>其中：</w:t>
      </w:r>
    </w:p>
    <w:p>
      <w:pPr>
        <w:pStyle w:val="4"/>
        <w:ind w:firstLine="643" w:firstLineChars="200"/>
        <w:rPr>
          <w:rFonts w:ascii="Times New Roman" w:hAnsi="Times New Roman" w:eastAsia="仿宋_GB2312" w:cs="Times New Roman"/>
          <w:sz w:val="32"/>
          <w:lang w:eastAsia="zh-CN"/>
        </w:rPr>
      </w:pPr>
      <w:r>
        <w:rPr>
          <w:rFonts w:ascii="Times New Roman" w:hAnsi="Times New Roman" w:eastAsia="仿宋_GB2312" w:cs="Times New Roman"/>
          <w:b/>
          <w:sz w:val="32"/>
          <w:lang w:eastAsia="zh-CN"/>
        </w:rPr>
        <w:t>集采药品医保资金预算</w:t>
      </w:r>
      <w:r>
        <w:rPr>
          <w:rFonts w:ascii="Times New Roman" w:hAnsi="Times New Roman" w:eastAsia="仿宋_GB2312" w:cs="Times New Roman"/>
          <w:sz w:val="32"/>
          <w:lang w:eastAsia="zh-CN"/>
        </w:rPr>
        <w:t>=∑（约定采购量基数×</w:t>
      </w:r>
      <w:r>
        <w:rPr>
          <w:rFonts w:hint="eastAsia" w:ascii="宋体" w:hAnsi="宋体" w:cs="Times New Roman"/>
          <w:sz w:val="32"/>
          <w:vertAlign w:val="superscript"/>
          <w:lang w:eastAsia="zh-CN"/>
        </w:rPr>
        <w:t>★</w:t>
      </w:r>
      <w:r>
        <w:rPr>
          <w:rFonts w:ascii="Times New Roman" w:hAnsi="Times New Roman" w:eastAsia="仿宋_GB2312" w:cs="Times New Roman"/>
          <w:sz w:val="32"/>
          <w:lang w:eastAsia="zh-CN"/>
        </w:rPr>
        <w:t>集采前通用名药品加权平均价格） ×</w:t>
      </w:r>
      <w:r>
        <w:rPr>
          <w:rFonts w:hint="eastAsia" w:ascii="宋体" w:hAnsi="宋体" w:cs="Times New Roman"/>
          <w:sz w:val="32"/>
          <w:vertAlign w:val="superscript"/>
          <w:lang w:eastAsia="zh-CN"/>
        </w:rPr>
        <w:t>★</w:t>
      </w:r>
      <w:r>
        <w:rPr>
          <w:rFonts w:ascii="Times New Roman" w:hAnsi="Times New Roman" w:eastAsia="仿宋_GB2312" w:cs="Times New Roman"/>
          <w:sz w:val="32"/>
          <w:lang w:eastAsia="zh-CN"/>
        </w:rPr>
        <w:t>医保基金实际支付比例×</w:t>
      </w:r>
      <w:r>
        <w:rPr>
          <w:rFonts w:hint="eastAsia" w:ascii="宋体" w:hAnsi="宋体" w:cs="Times New Roman"/>
          <w:sz w:val="32"/>
          <w:vertAlign w:val="superscript"/>
          <w:lang w:eastAsia="zh-CN"/>
        </w:rPr>
        <w:t>★</w:t>
      </w:r>
      <w:r>
        <w:rPr>
          <w:rFonts w:ascii="Times New Roman" w:hAnsi="Times New Roman" w:eastAsia="仿宋_GB2312" w:cs="Times New Roman"/>
          <w:sz w:val="32"/>
          <w:lang w:eastAsia="zh-CN"/>
        </w:rPr>
        <w:t>集采通用名药品参保患者使用金额占比</w:t>
      </w:r>
    </w:p>
    <w:p>
      <w:pPr>
        <w:pStyle w:val="4"/>
        <w:ind w:firstLine="643" w:firstLineChars="200"/>
        <w:rPr>
          <w:rFonts w:ascii="Times New Roman" w:hAnsi="Times New Roman" w:eastAsia="仿宋_GB2312" w:cs="Times New Roman"/>
          <w:sz w:val="32"/>
          <w:lang w:eastAsia="zh-CN"/>
        </w:rPr>
      </w:pPr>
      <w:r>
        <w:rPr>
          <w:rFonts w:ascii="Times New Roman" w:hAnsi="Times New Roman" w:eastAsia="仿宋_GB2312" w:cs="Times New Roman"/>
          <w:b/>
          <w:sz w:val="32"/>
          <w:lang w:eastAsia="zh-CN"/>
        </w:rPr>
        <w:t>集采药品医保支出金额</w:t>
      </w:r>
      <w:r>
        <w:rPr>
          <w:rFonts w:ascii="Times New Roman" w:hAnsi="Times New Roman" w:eastAsia="仿宋_GB2312" w:cs="Times New Roman"/>
          <w:sz w:val="32"/>
          <w:lang w:eastAsia="zh-CN"/>
        </w:rPr>
        <w:t>=∑（中选产品约定采购量×中选价格+非中选产品使用金额）×</w:t>
      </w:r>
      <w:r>
        <w:rPr>
          <w:rFonts w:hint="eastAsia" w:ascii="宋体" w:hAnsi="宋体" w:cs="Times New Roman"/>
          <w:sz w:val="32"/>
          <w:vertAlign w:val="superscript"/>
          <w:lang w:eastAsia="zh-CN"/>
        </w:rPr>
        <w:t>★</w:t>
      </w:r>
      <w:r>
        <w:rPr>
          <w:rFonts w:ascii="Times New Roman" w:hAnsi="Times New Roman" w:eastAsia="仿宋_GB2312" w:cs="Times New Roman"/>
          <w:sz w:val="32"/>
          <w:lang w:eastAsia="zh-CN"/>
        </w:rPr>
        <w:t>医保基金实际支付比例×</w:t>
      </w:r>
      <w:r>
        <w:rPr>
          <w:rFonts w:hint="eastAsia" w:ascii="宋体" w:hAnsi="宋体" w:cs="Times New Roman"/>
          <w:sz w:val="32"/>
          <w:vertAlign w:val="superscript"/>
          <w:lang w:eastAsia="zh-CN"/>
        </w:rPr>
        <w:t>★</w:t>
      </w:r>
      <w:r>
        <w:rPr>
          <w:rFonts w:ascii="Times New Roman" w:hAnsi="Times New Roman" w:eastAsia="仿宋_GB2312" w:cs="Times New Roman"/>
          <w:sz w:val="32"/>
          <w:lang w:eastAsia="zh-CN"/>
        </w:rPr>
        <w:t>集采通用名药品参保患者使用金额占比</w:t>
      </w:r>
    </w:p>
    <w:p>
      <w:pPr>
        <w:pStyle w:val="4"/>
        <w:ind w:firstLine="640" w:firstLineChars="200"/>
        <w:rPr>
          <w:rFonts w:ascii="Times New Roman" w:hAnsi="Times New Roman" w:eastAsia="仿宋_GB2312" w:cs="Times New Roman"/>
          <w:sz w:val="32"/>
          <w:lang w:eastAsia="zh-CN"/>
        </w:rPr>
      </w:pPr>
    </w:p>
    <w:p>
      <w:pPr>
        <w:pStyle w:val="4"/>
        <w:ind w:firstLine="643" w:firstLineChars="200"/>
        <w:rPr>
          <w:rFonts w:ascii="Times New Roman" w:hAnsi="Times New Roman" w:eastAsia="仿宋_GB2312" w:cs="Times New Roman"/>
          <w:b/>
          <w:sz w:val="32"/>
          <w:lang w:eastAsia="zh-CN"/>
        </w:rPr>
      </w:pPr>
      <w:r>
        <w:rPr>
          <w:rFonts w:ascii="Times New Roman" w:hAnsi="Times New Roman" w:eastAsia="仿宋_GB2312" w:cs="Times New Roman"/>
          <w:b/>
          <w:sz w:val="32"/>
          <w:lang w:eastAsia="zh-CN"/>
        </w:rPr>
        <w:t>结余留用</w:t>
      </w:r>
      <w:r>
        <w:rPr>
          <w:rFonts w:hint="eastAsia" w:ascii="Times New Roman" w:hAnsi="Times New Roman" w:eastAsia="仿宋_GB2312" w:cs="Times New Roman"/>
          <w:b/>
          <w:sz w:val="32"/>
          <w:lang w:eastAsia="zh-CN"/>
        </w:rPr>
        <w:t>资金</w:t>
      </w:r>
      <w:r>
        <w:rPr>
          <w:rFonts w:ascii="Times New Roman" w:hAnsi="Times New Roman" w:eastAsia="仿宋_GB2312" w:cs="Times New Roman"/>
          <w:b/>
          <w:sz w:val="32"/>
          <w:lang w:eastAsia="zh-CN"/>
        </w:rPr>
        <w:t>=结余基数×结余留用比例×</w:t>
      </w:r>
      <w:r>
        <w:rPr>
          <w:rFonts w:hint="eastAsia" w:ascii="宋体" w:hAnsi="宋体" w:cs="Times New Roman"/>
          <w:sz w:val="32"/>
          <w:vertAlign w:val="superscript"/>
          <w:lang w:eastAsia="zh-CN"/>
        </w:rPr>
        <w:t>★</w:t>
      </w:r>
      <w:r>
        <w:rPr>
          <w:rFonts w:ascii="Times New Roman" w:hAnsi="Times New Roman" w:eastAsia="仿宋_GB2312" w:cs="Times New Roman"/>
          <w:b/>
          <w:sz w:val="32"/>
          <w:lang w:eastAsia="zh-CN"/>
        </w:rPr>
        <w:t>统筹基金支付费用占比</w:t>
      </w:r>
    </w:p>
    <w:p>
      <w:pPr>
        <w:pStyle w:val="4"/>
        <w:rPr>
          <w:rFonts w:ascii="Times New Roman" w:hAnsi="Times New Roman" w:eastAsia="仿宋_GB2312" w:cs="Times New Roman"/>
          <w:b/>
          <w:sz w:val="32"/>
          <w:lang w:eastAsia="zh-CN"/>
        </w:rPr>
      </w:pPr>
    </w:p>
    <w:p>
      <w:pPr>
        <w:pStyle w:val="4"/>
        <w:ind w:firstLine="560" w:firstLineChars="20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注：</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 约定采购量基数、中选产品约定采购量：以国家</w:t>
      </w:r>
      <w:r>
        <w:rPr>
          <w:rFonts w:hint="eastAsia" w:ascii="Times New Roman" w:hAnsi="Times New Roman" w:eastAsia="仿宋_GB2312" w:cs="Times New Roman"/>
          <w:sz w:val="28"/>
          <w:szCs w:val="28"/>
        </w:rPr>
        <w:t>、省、</w:t>
      </w:r>
      <w:r>
        <w:rPr>
          <w:rFonts w:ascii="Times New Roman" w:hAnsi="Times New Roman" w:eastAsia="仿宋_GB2312" w:cs="Times New Roman"/>
          <w:sz w:val="28"/>
          <w:szCs w:val="28"/>
        </w:rPr>
        <w:t>市公布或下发的数据为准。按本办法</w:t>
      </w:r>
      <w:r>
        <w:rPr>
          <w:rFonts w:hint="eastAsia" w:ascii="Times New Roman" w:hAnsi="Times New Roman" w:eastAsia="仿宋_GB2312" w:cs="Times New Roman"/>
          <w:sz w:val="28"/>
          <w:szCs w:val="28"/>
        </w:rPr>
        <w:t>第</w:t>
      </w:r>
      <w:r>
        <w:rPr>
          <w:rFonts w:hint="eastAsia" w:ascii="Times New Roman" w:hAnsi="Times New Roman" w:eastAsia="仿宋_GB2312" w:cs="Times New Roman"/>
          <w:sz w:val="28"/>
          <w:szCs w:val="28"/>
          <w:lang w:eastAsia="zh-CN"/>
        </w:rPr>
        <w:fldChar w:fldCharType="begin"/>
      </w:r>
      <w:r>
        <w:rPr>
          <w:rFonts w:hint="eastAsia" w:ascii="Times New Roman" w:hAnsi="Times New Roman" w:eastAsia="仿宋_GB2312" w:cs="Times New Roman"/>
          <w:sz w:val="28"/>
          <w:szCs w:val="28"/>
          <w:lang w:eastAsia="zh-CN"/>
        </w:rPr>
        <w:instrText xml:space="preserve"> REF _Ref22260 \h </w:instrText>
      </w:r>
      <w:r>
        <w:rPr>
          <w:rFonts w:hint="eastAsia" w:ascii="Times New Roman" w:hAnsi="Times New Roman" w:eastAsia="仿宋_GB2312" w:cs="Times New Roman"/>
          <w:sz w:val="28"/>
          <w:szCs w:val="28"/>
          <w:lang w:eastAsia="zh-CN"/>
        </w:rPr>
        <w:fldChar w:fldCharType="separate"/>
      </w:r>
      <w:r>
        <w:rPr>
          <w:rFonts w:ascii="Times New Roman" w:hAnsi="Times New Roman" w:eastAsia="仿宋_GB2312" w:cs="Times New Roman"/>
          <w:sz w:val="28"/>
          <w:szCs w:val="28"/>
        </w:rPr>
        <w:t>十</w:t>
      </w:r>
      <w:r>
        <w:rPr>
          <w:rFonts w:hint="eastAsia" w:ascii="Times New Roman" w:hAnsi="Times New Roman" w:eastAsia="仿宋_GB2312" w:cs="Times New Roman"/>
          <w:sz w:val="28"/>
          <w:szCs w:val="28"/>
          <w:lang w:eastAsia="zh-CN"/>
        </w:rPr>
        <w:fldChar w:fldCharType="end"/>
      </w:r>
      <w:r>
        <w:rPr>
          <w:rFonts w:hint="eastAsia" w:ascii="Times New Roman" w:hAnsi="Times New Roman" w:eastAsia="仿宋_GB2312" w:cs="Times New Roman"/>
          <w:sz w:val="28"/>
          <w:szCs w:val="28"/>
        </w:rPr>
        <w:t>条</w:t>
      </w:r>
      <w:r>
        <w:rPr>
          <w:rFonts w:ascii="Times New Roman" w:hAnsi="Times New Roman" w:eastAsia="仿宋_GB2312" w:cs="Times New Roman"/>
          <w:sz w:val="28"/>
          <w:szCs w:val="28"/>
        </w:rPr>
        <w:t>进行调整的，以调整后的数据计算。</w:t>
      </w:r>
    </w:p>
    <w:p>
      <w:pPr>
        <w:pStyle w:val="4"/>
        <w:ind w:firstLine="560" w:firstLineChars="20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2.集采前通用名药品加权平均价格：为集采落地的上一自然年度通用名药品交易总额与相应采购总量的商值</w:t>
      </w:r>
      <w:r>
        <w:rPr>
          <w:rFonts w:hint="eastAsia" w:ascii="Times New Roman" w:hAnsi="Times New Roman" w:eastAsia="仿宋_GB2312" w:cs="Times New Roman"/>
          <w:sz w:val="28"/>
          <w:szCs w:val="28"/>
          <w:lang w:eastAsia="zh-CN"/>
        </w:rPr>
        <w:t>（其中同通用名药品是指与国家、省、市公布的采购目录同通用名、同剂型的所有品种）</w:t>
      </w:r>
      <w:r>
        <w:rPr>
          <w:rFonts w:ascii="Times New Roman" w:hAnsi="Times New Roman" w:eastAsia="仿宋_GB2312" w:cs="Times New Roman"/>
          <w:sz w:val="28"/>
          <w:szCs w:val="28"/>
          <w:lang w:eastAsia="zh-CN"/>
        </w:rPr>
        <w:t>；</w:t>
      </w:r>
    </w:p>
    <w:p>
      <w:pPr>
        <w:pStyle w:val="4"/>
        <w:ind w:firstLine="560" w:firstLineChars="20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3.医保基金实际支付比例：以</w:t>
      </w:r>
      <w:r>
        <w:rPr>
          <w:rFonts w:hint="eastAsia" w:ascii="Times New Roman" w:hAnsi="Times New Roman" w:eastAsia="仿宋_GB2312" w:cs="Times New Roman"/>
          <w:sz w:val="28"/>
          <w:szCs w:val="28"/>
          <w:lang w:eastAsia="zh-CN"/>
        </w:rPr>
        <w:t>年度</w:t>
      </w:r>
      <w:r>
        <w:rPr>
          <w:rFonts w:ascii="Times New Roman" w:hAnsi="Times New Roman" w:eastAsia="仿宋_GB2312" w:cs="Times New Roman"/>
          <w:sz w:val="28"/>
          <w:szCs w:val="28"/>
          <w:lang w:eastAsia="zh-CN"/>
        </w:rPr>
        <w:t>医保基金实际支付的基金总额与参保人医保政策范围内医疗费用支出总额的比例确定；</w:t>
      </w:r>
    </w:p>
    <w:p>
      <w:pPr>
        <w:pStyle w:val="4"/>
        <w:ind w:firstLine="560" w:firstLineChars="20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4.集采通用名药品参保患者使用金额占比：以年度定点医疗机构参保患者集采通用名药品支出总费用与定点医疗机构</w:t>
      </w:r>
      <w:r>
        <w:rPr>
          <w:rFonts w:hint="eastAsia" w:ascii="Times New Roman" w:hAnsi="Times New Roman" w:eastAsia="仿宋_GB2312" w:cs="Times New Roman"/>
          <w:sz w:val="28"/>
          <w:szCs w:val="28"/>
          <w:lang w:eastAsia="zh-CN"/>
        </w:rPr>
        <w:t>所有患者</w:t>
      </w:r>
      <w:r>
        <w:rPr>
          <w:rFonts w:ascii="Times New Roman" w:hAnsi="Times New Roman" w:eastAsia="仿宋_GB2312" w:cs="Times New Roman"/>
          <w:sz w:val="28"/>
          <w:szCs w:val="28"/>
          <w:lang w:eastAsia="zh-CN"/>
        </w:rPr>
        <w:t>集采通用名药品支</w:t>
      </w:r>
      <w:r>
        <w:rPr>
          <w:rFonts w:hint="eastAsia" w:ascii="Times New Roman" w:hAnsi="Times New Roman" w:eastAsia="仿宋_GB2312" w:cs="Times New Roman"/>
          <w:sz w:val="28"/>
          <w:szCs w:val="28"/>
          <w:lang w:eastAsia="zh-CN"/>
        </w:rPr>
        <w:t>出</w:t>
      </w:r>
      <w:r>
        <w:rPr>
          <w:rFonts w:ascii="Times New Roman" w:hAnsi="Times New Roman" w:eastAsia="仿宋_GB2312" w:cs="Times New Roman"/>
          <w:sz w:val="28"/>
          <w:szCs w:val="28"/>
          <w:lang w:eastAsia="zh-CN"/>
        </w:rPr>
        <w:t>总费用的比例确定；</w:t>
      </w:r>
    </w:p>
    <w:p>
      <w:pPr>
        <w:pStyle w:val="4"/>
        <w:ind w:firstLine="560" w:firstLineChars="20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5.中选价格：</w:t>
      </w:r>
      <w:r>
        <w:rPr>
          <w:rFonts w:hint="eastAsia" w:ascii="Times New Roman" w:hAnsi="Times New Roman" w:eastAsia="仿宋_GB2312" w:cs="Times New Roman"/>
          <w:sz w:val="28"/>
          <w:szCs w:val="28"/>
          <w:lang w:eastAsia="zh-CN"/>
        </w:rPr>
        <w:t>药品集采</w:t>
      </w:r>
      <w:r>
        <w:rPr>
          <w:rFonts w:ascii="Times New Roman" w:hAnsi="Times New Roman" w:eastAsia="仿宋_GB2312" w:cs="Times New Roman"/>
          <w:sz w:val="28"/>
          <w:szCs w:val="28"/>
          <w:lang w:eastAsia="zh-CN"/>
        </w:rPr>
        <w:t>中选药品价格；</w:t>
      </w:r>
    </w:p>
    <w:p>
      <w:pPr>
        <w:pStyle w:val="4"/>
        <w:ind w:firstLine="560" w:firstLineChars="20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6.非中选产品使用金额：同一时期内，与中选产品同通用名的非中选产品的</w:t>
      </w:r>
      <w:r>
        <w:rPr>
          <w:rFonts w:hint="eastAsia" w:ascii="Times New Roman" w:hAnsi="Times New Roman" w:eastAsia="仿宋_GB2312" w:cs="Times New Roman"/>
          <w:sz w:val="28"/>
          <w:szCs w:val="28"/>
          <w:lang w:eastAsia="zh-CN"/>
        </w:rPr>
        <w:t>使用金额，可用采购金额计算（采购价格低于中选价格且已通过一致性评价的非中选药品除外）</w:t>
      </w:r>
      <w:r>
        <w:rPr>
          <w:rFonts w:ascii="Times New Roman" w:hAnsi="Times New Roman" w:eastAsia="仿宋_GB2312" w:cs="Times New Roman"/>
          <w:sz w:val="28"/>
          <w:szCs w:val="28"/>
          <w:lang w:eastAsia="zh-CN"/>
        </w:rPr>
        <w:t>；</w:t>
      </w:r>
    </w:p>
    <w:p>
      <w:pPr>
        <w:pStyle w:val="4"/>
        <w:ind w:firstLine="560" w:firstLineChars="20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7.统筹基金支付费用占比：以年度统筹基金总支出与年度</w:t>
      </w:r>
      <w:r>
        <w:rPr>
          <w:rFonts w:hint="eastAsia" w:ascii="Times New Roman" w:hAnsi="Times New Roman" w:eastAsia="仿宋_GB2312" w:cs="Times New Roman"/>
          <w:sz w:val="28"/>
          <w:szCs w:val="28"/>
          <w:lang w:eastAsia="zh-CN"/>
        </w:rPr>
        <w:t>医保</w:t>
      </w:r>
      <w:r>
        <w:rPr>
          <w:rFonts w:ascii="Times New Roman" w:hAnsi="Times New Roman" w:eastAsia="仿宋_GB2312" w:cs="Times New Roman"/>
          <w:sz w:val="28"/>
          <w:szCs w:val="28"/>
          <w:lang w:eastAsia="zh-CN"/>
        </w:rPr>
        <w:t>基金总支出的比值确定</w:t>
      </w:r>
      <w:r>
        <w:rPr>
          <w:rFonts w:hint="eastAsia" w:ascii="Times New Roman" w:hAnsi="Times New Roman" w:eastAsia="仿宋_GB2312" w:cs="Times New Roman"/>
          <w:sz w:val="28"/>
          <w:szCs w:val="28"/>
          <w:lang w:eastAsia="zh-CN"/>
        </w:rPr>
        <w:t>；</w:t>
      </w:r>
    </w:p>
    <w:p>
      <w:pPr>
        <w:pStyle w:val="4"/>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8.公式中标记</w:t>
      </w:r>
      <w:r>
        <w:rPr>
          <w:rFonts w:hint="default" w:ascii="Times New Roman" w:hAnsi="Times New Roman" w:eastAsia="仿宋_GB2312" w:cs="Times New Roman"/>
          <w:sz w:val="22"/>
          <w:szCs w:val="22"/>
          <w:vertAlign w:val="baseline"/>
          <w:lang w:eastAsia="zh-CN"/>
        </w:rPr>
        <w:t>★</w:t>
      </w:r>
      <w:r>
        <w:rPr>
          <w:rFonts w:hint="eastAsia" w:ascii="Times New Roman" w:hAnsi="Times New Roman" w:eastAsia="仿宋_GB2312" w:cs="Times New Roman"/>
          <w:sz w:val="28"/>
          <w:szCs w:val="28"/>
          <w:lang w:eastAsia="zh-CN"/>
        </w:rPr>
        <w:t>的，为本办法</w:t>
      </w:r>
      <w:r>
        <w:rPr>
          <w:rFonts w:ascii="Times New Roman" w:hAnsi="Times New Roman" w:eastAsia="仿宋_GB2312" w:cs="Times New Roman"/>
          <w:sz w:val="28"/>
          <w:szCs w:val="28"/>
          <w:lang w:eastAsia="zh-CN"/>
        </w:rPr>
        <w:fldChar w:fldCharType="begin"/>
      </w:r>
      <w:r>
        <w:rPr>
          <w:rFonts w:ascii="Times New Roman" w:hAnsi="Times New Roman" w:eastAsia="仿宋_GB2312" w:cs="Times New Roman"/>
          <w:sz w:val="28"/>
          <w:szCs w:val="28"/>
          <w:lang w:eastAsia="zh-CN"/>
        </w:rPr>
        <w:instrText xml:space="preserve"> </w:instrText>
      </w:r>
      <w:r>
        <w:rPr>
          <w:rFonts w:hint="eastAsia" w:ascii="Times New Roman" w:hAnsi="Times New Roman" w:eastAsia="仿宋_GB2312" w:cs="Times New Roman"/>
          <w:sz w:val="28"/>
          <w:szCs w:val="28"/>
          <w:lang w:eastAsia="zh-CN"/>
        </w:rPr>
        <w:instrText xml:space="preserve">REF _Ref60065054 \h</w:instrText>
      </w:r>
      <w:r>
        <w:rPr>
          <w:rFonts w:ascii="Times New Roman" w:hAnsi="Times New Roman" w:eastAsia="仿宋_GB2312" w:cs="Times New Roman"/>
          <w:sz w:val="28"/>
          <w:szCs w:val="28"/>
          <w:lang w:eastAsia="zh-CN"/>
        </w:rPr>
        <w:instrText xml:space="preserve">  \* MERGEFORMAT </w:instrText>
      </w:r>
      <w:r>
        <w:rPr>
          <w:rFonts w:ascii="Times New Roman" w:hAnsi="Times New Roman" w:eastAsia="仿宋_GB2312" w:cs="Times New Roman"/>
          <w:sz w:val="28"/>
          <w:szCs w:val="28"/>
          <w:lang w:eastAsia="zh-CN"/>
        </w:rPr>
        <w:fldChar w:fldCharType="separate"/>
      </w:r>
      <w:r>
        <w:rPr>
          <w:rFonts w:ascii="Times New Roman" w:hAnsi="Times New Roman" w:eastAsia="仿宋_GB2312" w:cs="Times New Roman"/>
          <w:sz w:val="28"/>
          <w:szCs w:val="28"/>
          <w:lang w:eastAsia="zh-CN"/>
        </w:rPr>
        <w:t>第十七</w:t>
      </w:r>
      <w:r>
        <w:rPr>
          <w:rFonts w:ascii="Times New Roman" w:hAnsi="Times New Roman" w:eastAsia="仿宋_GB2312" w:cs="Times New Roman"/>
          <w:sz w:val="28"/>
          <w:szCs w:val="28"/>
          <w:lang w:eastAsia="zh-CN"/>
        </w:rPr>
        <w:fldChar w:fldCharType="end"/>
      </w:r>
      <w:r>
        <w:rPr>
          <w:rFonts w:hint="eastAsia" w:ascii="Times New Roman" w:hAnsi="Times New Roman" w:eastAsia="仿宋_GB2312" w:cs="Times New Roman"/>
          <w:sz w:val="28"/>
          <w:szCs w:val="28"/>
          <w:lang w:eastAsia="zh-CN"/>
        </w:rPr>
        <w:t>条所指以自然年度为计算范围的计算参数，按该条规定进行计算。</w:t>
      </w:r>
    </w:p>
    <w:p>
      <w:pPr>
        <w:pStyle w:val="4"/>
        <w:rPr>
          <w:rFonts w:ascii="Times New Roman" w:hAnsi="Times New Roman" w:eastAsia="仿宋_GB2312" w:cs="Times New Roman"/>
          <w:sz w:val="28"/>
          <w:szCs w:val="28"/>
          <w:lang w:eastAsia="zh-CN"/>
        </w:rPr>
        <w:sectPr>
          <w:footerReference r:id="rId6" w:type="first"/>
          <w:footerReference r:id="rId4" w:type="default"/>
          <w:footerReference r:id="rId5" w:type="even"/>
          <w:pgSz w:w="11906" w:h="16838"/>
          <w:pgMar w:top="2098" w:right="1474" w:bottom="1984" w:left="1531" w:header="851" w:footer="1417" w:gutter="0"/>
          <w:cols w:space="0" w:num="1"/>
          <w:titlePg/>
          <w:docGrid w:type="lines" w:linePitch="312" w:charSpace="0"/>
        </w:sectPr>
      </w:pPr>
    </w:p>
    <w:p>
      <w:pPr>
        <w:pStyle w:val="4"/>
        <w:rPr>
          <w:rFonts w:ascii="Times New Roman" w:hAnsi="Times New Roman" w:eastAsia="黑体" w:cs="Times New Roman"/>
          <w:sz w:val="32"/>
        </w:rPr>
      </w:pPr>
      <w:r>
        <w:rPr>
          <w:rFonts w:ascii="Times New Roman" w:hAnsi="Times New Roman" w:eastAsia="黑体" w:cs="Times New Roman"/>
          <w:sz w:val="32"/>
        </w:rPr>
        <w:t>附件2</w:t>
      </w:r>
    </w:p>
    <w:p>
      <w:pPr>
        <w:pStyle w:val="4"/>
        <w:jc w:val="center"/>
        <w:rPr>
          <w:rFonts w:ascii="Times New Roman" w:hAnsi="Times New Roman" w:eastAsia="方正小标宋_GBK" w:cs="Times New Roman"/>
          <w:sz w:val="32"/>
        </w:rPr>
      </w:pPr>
      <w:r>
        <w:rPr>
          <w:rFonts w:ascii="Times New Roman" w:hAnsi="Times New Roman" w:eastAsia="方正小标宋_GBK" w:cs="Times New Roman"/>
          <w:sz w:val="32"/>
        </w:rPr>
        <w:t>医疗机构考核指标</w:t>
      </w:r>
    </w:p>
    <w:tbl>
      <w:tblPr>
        <w:tblStyle w:val="11"/>
        <w:tblW w:w="13183" w:type="dxa"/>
        <w:jc w:val="center"/>
        <w:tblInd w:w="0" w:type="dxa"/>
        <w:tblLayout w:type="fixed"/>
        <w:tblCellMar>
          <w:top w:w="0" w:type="dxa"/>
          <w:left w:w="108" w:type="dxa"/>
          <w:bottom w:w="0" w:type="dxa"/>
          <w:right w:w="108" w:type="dxa"/>
        </w:tblCellMar>
      </w:tblPr>
      <w:tblGrid>
        <w:gridCol w:w="1403"/>
        <w:gridCol w:w="2561"/>
        <w:gridCol w:w="3544"/>
        <w:gridCol w:w="3407"/>
        <w:gridCol w:w="1134"/>
        <w:gridCol w:w="1134"/>
      </w:tblGrid>
      <w:tr>
        <w:tblPrEx>
          <w:tblLayout w:type="fixed"/>
          <w:tblCellMar>
            <w:top w:w="0" w:type="dxa"/>
            <w:left w:w="108" w:type="dxa"/>
            <w:bottom w:w="0" w:type="dxa"/>
            <w:right w:w="108" w:type="dxa"/>
          </w:tblCellMar>
        </w:tblPrEx>
        <w:trPr>
          <w:trHeight w:val="274" w:hRule="atLeast"/>
          <w:jc w:val="center"/>
        </w:trPr>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
                <w:bCs/>
                <w:sz w:val="22"/>
                <w:szCs w:val="22"/>
              </w:rPr>
            </w:pPr>
            <w:bookmarkStart w:id="5" w:name="RANGE!A3:F11"/>
            <w:r>
              <w:rPr>
                <w:rFonts w:ascii="Times New Roman" w:hAnsi="Times New Roman" w:eastAsia="仿宋_GB2312" w:cs="Times New Roman"/>
                <w:b/>
                <w:bCs/>
                <w:sz w:val="22"/>
                <w:szCs w:val="22"/>
              </w:rPr>
              <w:t>考核内容</w:t>
            </w:r>
            <w:bookmarkEnd w:id="5"/>
          </w:p>
        </w:tc>
        <w:tc>
          <w:tcPr>
            <w:tcW w:w="256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b/>
                <w:bCs/>
                <w:sz w:val="22"/>
                <w:szCs w:val="22"/>
              </w:rPr>
              <w:t>考核指标</w:t>
            </w:r>
            <w:r>
              <w:rPr>
                <w:rStyle w:val="16"/>
                <w:rFonts w:ascii="Times New Roman" w:hAnsi="Times New Roman" w:eastAsia="仿宋_GB2312" w:cs="Times New Roman"/>
                <w:b/>
                <w:bCs/>
                <w:sz w:val="22"/>
                <w:szCs w:val="22"/>
              </w:rPr>
              <w:footnoteReference w:id="0"/>
            </w:r>
          </w:p>
        </w:tc>
        <w:tc>
          <w:tcPr>
            <w:tcW w:w="354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b/>
                <w:bCs/>
                <w:sz w:val="22"/>
                <w:szCs w:val="22"/>
              </w:rPr>
              <w:t>具体释义</w:t>
            </w:r>
          </w:p>
        </w:tc>
        <w:tc>
          <w:tcPr>
            <w:tcW w:w="340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b/>
                <w:bCs/>
                <w:sz w:val="22"/>
                <w:szCs w:val="22"/>
              </w:rPr>
              <w:t>赋分方式</w:t>
            </w:r>
            <w:r>
              <w:rPr>
                <w:rStyle w:val="16"/>
                <w:rFonts w:ascii="Times New Roman" w:hAnsi="Times New Roman" w:eastAsia="仿宋_GB2312" w:cs="Times New Roman"/>
                <w:b/>
                <w:bCs/>
                <w:sz w:val="22"/>
                <w:szCs w:val="22"/>
              </w:rPr>
              <w:footnoteReference w:id="1"/>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b/>
                <w:bCs/>
                <w:sz w:val="22"/>
                <w:szCs w:val="22"/>
              </w:rPr>
              <w:t>分值</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b/>
                <w:bCs/>
                <w:sz w:val="22"/>
                <w:szCs w:val="22"/>
              </w:rPr>
              <w:t>权重</w:t>
            </w:r>
          </w:p>
        </w:tc>
      </w:tr>
      <w:tr>
        <w:tblPrEx>
          <w:tblLayout w:type="fixed"/>
          <w:tblCellMar>
            <w:top w:w="0" w:type="dxa"/>
            <w:left w:w="108" w:type="dxa"/>
            <w:bottom w:w="0" w:type="dxa"/>
            <w:right w:w="108" w:type="dxa"/>
          </w:tblCellMar>
        </w:tblPrEx>
        <w:trPr>
          <w:trHeight w:val="827" w:hRule="atLeast"/>
          <w:jc w:val="center"/>
        </w:trPr>
        <w:tc>
          <w:tcPr>
            <w:tcW w:w="140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（一）执行药品集采</w:t>
            </w:r>
            <w:r>
              <w:rPr>
                <w:rFonts w:ascii="Times New Roman" w:hAnsi="Times New Roman" w:eastAsia="仿宋_GB2312" w:cs="Times New Roman"/>
                <w:sz w:val="22"/>
                <w:szCs w:val="22"/>
              </w:rPr>
              <w:br w:type="textWrapping"/>
            </w:r>
            <w:r>
              <w:rPr>
                <w:rFonts w:ascii="Times New Roman" w:hAnsi="Times New Roman" w:eastAsia="仿宋_GB2312" w:cs="Times New Roman"/>
                <w:sz w:val="22"/>
                <w:szCs w:val="22"/>
              </w:rPr>
              <w:t>规定</w:t>
            </w:r>
          </w:p>
        </w:tc>
        <w:tc>
          <w:tcPr>
            <w:tcW w:w="2561" w:type="dxa"/>
            <w:tcBorders>
              <w:top w:val="nil"/>
              <w:left w:val="nil"/>
              <w:bottom w:val="single" w:color="auto" w:sz="4" w:space="0"/>
              <w:right w:val="single" w:color="auto" w:sz="4" w:space="0"/>
            </w:tcBorders>
            <w:shd w:val="clear" w:color="auto" w:fill="auto"/>
            <w:vAlign w:val="center"/>
          </w:tcPr>
          <w:p>
            <w:pPr>
              <w:spacing w:line="216" w:lineRule="auto"/>
              <w:rPr>
                <w:rFonts w:ascii="Times New Roman" w:hAnsi="Times New Roman" w:eastAsia="仿宋_GB2312" w:cs="Times New Roman"/>
                <w:sz w:val="22"/>
                <w:szCs w:val="22"/>
              </w:rPr>
            </w:pPr>
            <w:r>
              <w:rPr>
                <w:rFonts w:ascii="Times New Roman" w:hAnsi="Times New Roman" w:eastAsia="仿宋_GB2312" w:cs="Times New Roman"/>
                <w:sz w:val="22"/>
                <w:szCs w:val="22"/>
              </w:rPr>
              <w:t>按时完成</w:t>
            </w:r>
            <w:r>
              <w:rPr>
                <w:rFonts w:hint="eastAsia" w:ascii="Times New Roman" w:hAnsi="Times New Roman" w:eastAsia="仿宋_GB2312" w:cs="Times New Roman"/>
                <w:sz w:val="22"/>
                <w:szCs w:val="22"/>
              </w:rPr>
              <w:t>药品集采</w:t>
            </w:r>
            <w:r>
              <w:rPr>
                <w:rFonts w:ascii="Times New Roman" w:hAnsi="Times New Roman" w:eastAsia="仿宋_GB2312" w:cs="Times New Roman"/>
                <w:sz w:val="22"/>
                <w:szCs w:val="22"/>
              </w:rPr>
              <w:t>中选产品约定采购量情况</w:t>
            </w:r>
          </w:p>
        </w:tc>
        <w:tc>
          <w:tcPr>
            <w:tcW w:w="3544"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sz w:val="22"/>
                <w:szCs w:val="22"/>
              </w:rPr>
            </w:pPr>
            <w:r>
              <w:rPr>
                <w:rFonts w:hint="eastAsia" w:ascii="Times New Roman" w:hAnsi="Times New Roman" w:eastAsia="仿宋_GB2312" w:cs="Times New Roman"/>
                <w:sz w:val="22"/>
                <w:szCs w:val="22"/>
              </w:rPr>
              <w:t>见本办法第三章</w:t>
            </w:r>
          </w:p>
        </w:tc>
        <w:tc>
          <w:tcPr>
            <w:tcW w:w="340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sz w:val="22"/>
                <w:szCs w:val="22"/>
              </w:rPr>
            </w:pPr>
            <w:r>
              <w:rPr>
                <w:rFonts w:ascii="Times New Roman" w:hAnsi="Times New Roman" w:eastAsia="仿宋_GB2312" w:cs="Times New Roman"/>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w:t>
            </w:r>
          </w:p>
        </w:tc>
      </w:tr>
      <w:tr>
        <w:tblPrEx>
          <w:tblLayout w:type="fixed"/>
          <w:tblCellMar>
            <w:top w:w="0" w:type="dxa"/>
            <w:left w:w="108" w:type="dxa"/>
            <w:bottom w:w="0" w:type="dxa"/>
            <w:right w:w="108" w:type="dxa"/>
          </w:tblCellMar>
        </w:tblPrEx>
        <w:trPr>
          <w:trHeight w:val="599" w:hRule="atLeast"/>
          <w:jc w:val="center"/>
        </w:trPr>
        <w:tc>
          <w:tcPr>
            <w:tcW w:w="1403"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 w:val="22"/>
                <w:szCs w:val="22"/>
              </w:rPr>
            </w:pPr>
          </w:p>
        </w:tc>
        <w:tc>
          <w:tcPr>
            <w:tcW w:w="2561"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sz w:val="22"/>
                <w:szCs w:val="22"/>
              </w:rPr>
            </w:pPr>
            <w:r>
              <w:rPr>
                <w:rFonts w:ascii="Times New Roman" w:hAnsi="Times New Roman" w:eastAsia="仿宋_GB2312" w:cs="Times New Roman"/>
                <w:sz w:val="22"/>
                <w:szCs w:val="22"/>
              </w:rPr>
              <w:t>医疗机构30天回款率</w:t>
            </w:r>
          </w:p>
        </w:tc>
        <w:tc>
          <w:tcPr>
            <w:tcW w:w="3544"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sz w:val="22"/>
                <w:szCs w:val="22"/>
              </w:rPr>
            </w:pPr>
            <w:r>
              <w:rPr>
                <w:rFonts w:ascii="Times New Roman" w:hAnsi="Times New Roman" w:eastAsia="仿宋_GB2312" w:cs="Times New Roman"/>
                <w:sz w:val="22"/>
                <w:szCs w:val="22"/>
              </w:rPr>
              <w:t>30天回款金额/采购金额</w:t>
            </w:r>
          </w:p>
        </w:tc>
        <w:tc>
          <w:tcPr>
            <w:tcW w:w="340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sz w:val="22"/>
                <w:szCs w:val="22"/>
              </w:rPr>
            </w:pPr>
            <w:r>
              <w:rPr>
                <w:rFonts w:ascii="Times New Roman" w:hAnsi="Times New Roman" w:eastAsia="仿宋_GB2312" w:cs="Times New Roman"/>
                <w:sz w:val="22"/>
                <w:szCs w:val="22"/>
              </w:rPr>
              <w:t>按计算百分比结果赋分，如95%即为95分</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100</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30</w:t>
            </w:r>
          </w:p>
        </w:tc>
      </w:tr>
      <w:tr>
        <w:tblPrEx>
          <w:tblLayout w:type="fixed"/>
          <w:tblCellMar>
            <w:top w:w="0" w:type="dxa"/>
            <w:left w:w="108" w:type="dxa"/>
            <w:bottom w:w="0" w:type="dxa"/>
            <w:right w:w="108" w:type="dxa"/>
          </w:tblCellMar>
        </w:tblPrEx>
        <w:trPr>
          <w:trHeight w:val="665" w:hRule="atLeast"/>
          <w:jc w:val="center"/>
        </w:trPr>
        <w:tc>
          <w:tcPr>
            <w:tcW w:w="140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（二）合理控制药品</w:t>
            </w:r>
            <w:r>
              <w:rPr>
                <w:rFonts w:ascii="Times New Roman" w:hAnsi="Times New Roman" w:eastAsia="仿宋_GB2312" w:cs="Times New Roman"/>
                <w:sz w:val="22"/>
                <w:szCs w:val="22"/>
              </w:rPr>
              <w:br w:type="textWrapping"/>
            </w:r>
            <w:r>
              <w:rPr>
                <w:rFonts w:ascii="Times New Roman" w:hAnsi="Times New Roman" w:eastAsia="仿宋_GB2312" w:cs="Times New Roman"/>
                <w:sz w:val="22"/>
                <w:szCs w:val="22"/>
              </w:rPr>
              <w:t>费用</w:t>
            </w:r>
          </w:p>
        </w:tc>
        <w:tc>
          <w:tcPr>
            <w:tcW w:w="2561"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sz w:val="22"/>
                <w:szCs w:val="22"/>
              </w:rPr>
            </w:pPr>
            <w:r>
              <w:rPr>
                <w:rFonts w:hint="default" w:ascii="Times New Roman" w:hAnsi="Times New Roman" w:eastAsia="仿宋_GB2312" w:cs="Times New Roman"/>
                <w:sz w:val="22"/>
                <w:szCs w:val="22"/>
                <w:vertAlign w:val="superscript"/>
              </w:rPr>
              <w:t>★</w:t>
            </w:r>
            <w:r>
              <w:rPr>
                <w:rFonts w:ascii="Times New Roman" w:hAnsi="Times New Roman" w:eastAsia="仿宋_GB2312" w:cs="Times New Roman"/>
                <w:sz w:val="22"/>
                <w:szCs w:val="22"/>
              </w:rPr>
              <w:t>医疗机构</w:t>
            </w:r>
            <w:r>
              <w:rPr>
                <w:rFonts w:ascii="Times New Roman" w:hAnsi="Times New Roman" w:eastAsia="仿宋_GB2312" w:cs="Times New Roman"/>
                <w:bCs/>
                <w:sz w:val="22"/>
                <w:szCs w:val="22"/>
              </w:rPr>
              <w:t>人</w:t>
            </w:r>
            <w:r>
              <w:rPr>
                <w:rFonts w:hint="eastAsia" w:ascii="Times New Roman" w:hAnsi="Times New Roman" w:eastAsia="仿宋_GB2312" w:cs="Times New Roman"/>
                <w:bCs/>
                <w:sz w:val="22"/>
                <w:szCs w:val="22"/>
              </w:rPr>
              <w:t>次</w:t>
            </w:r>
            <w:r>
              <w:rPr>
                <w:rFonts w:ascii="Times New Roman" w:hAnsi="Times New Roman" w:eastAsia="仿宋_GB2312" w:cs="Times New Roman"/>
                <w:bCs/>
                <w:sz w:val="22"/>
                <w:szCs w:val="22"/>
              </w:rPr>
              <w:t>均</w:t>
            </w:r>
            <w:r>
              <w:rPr>
                <w:rFonts w:ascii="Times New Roman" w:hAnsi="Times New Roman" w:eastAsia="仿宋_GB2312" w:cs="Times New Roman"/>
                <w:sz w:val="22"/>
                <w:szCs w:val="22"/>
              </w:rPr>
              <w:t>药品费用增长率</w:t>
            </w:r>
          </w:p>
        </w:tc>
        <w:tc>
          <w:tcPr>
            <w:tcW w:w="3544"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sz w:val="22"/>
                <w:szCs w:val="22"/>
              </w:rPr>
            </w:pPr>
            <w:r>
              <w:rPr>
                <w:rFonts w:hint="eastAsia" w:ascii="Times New Roman" w:hAnsi="Times New Roman" w:eastAsia="仿宋_GB2312" w:cs="Times New Roman"/>
                <w:sz w:val="22"/>
                <w:szCs w:val="22"/>
              </w:rPr>
              <w:t>当年度</w:t>
            </w:r>
            <w:r>
              <w:rPr>
                <w:rFonts w:ascii="Times New Roman" w:hAnsi="Times New Roman" w:eastAsia="仿宋_GB2312" w:cs="Times New Roman"/>
                <w:bCs/>
                <w:sz w:val="22"/>
                <w:szCs w:val="22"/>
              </w:rPr>
              <w:t>人</w:t>
            </w:r>
            <w:r>
              <w:rPr>
                <w:rFonts w:hint="eastAsia" w:ascii="Times New Roman" w:hAnsi="Times New Roman" w:eastAsia="仿宋_GB2312" w:cs="Times New Roman"/>
                <w:bCs/>
                <w:sz w:val="22"/>
                <w:szCs w:val="22"/>
              </w:rPr>
              <w:t>次</w:t>
            </w:r>
            <w:r>
              <w:rPr>
                <w:rFonts w:ascii="Times New Roman" w:hAnsi="Times New Roman" w:eastAsia="仿宋_GB2312" w:cs="Times New Roman"/>
                <w:bCs/>
                <w:sz w:val="22"/>
                <w:szCs w:val="22"/>
              </w:rPr>
              <w:t>均</w:t>
            </w:r>
            <w:r>
              <w:rPr>
                <w:rFonts w:ascii="Times New Roman" w:hAnsi="Times New Roman" w:eastAsia="仿宋_GB2312" w:cs="Times New Roman"/>
                <w:sz w:val="22"/>
                <w:szCs w:val="22"/>
              </w:rPr>
              <w:t>药品支出额/</w:t>
            </w:r>
            <w:r>
              <w:rPr>
                <w:rFonts w:hint="eastAsia" w:ascii="Times New Roman" w:hAnsi="Times New Roman" w:eastAsia="仿宋_GB2312" w:cs="Times New Roman"/>
                <w:sz w:val="22"/>
                <w:szCs w:val="22"/>
              </w:rPr>
              <w:t>上年度</w:t>
            </w:r>
            <w:r>
              <w:rPr>
                <w:rFonts w:ascii="Times New Roman" w:hAnsi="Times New Roman" w:eastAsia="仿宋_GB2312" w:cs="Times New Roman"/>
                <w:bCs/>
                <w:sz w:val="22"/>
                <w:szCs w:val="22"/>
              </w:rPr>
              <w:t>人</w:t>
            </w:r>
            <w:r>
              <w:rPr>
                <w:rFonts w:hint="eastAsia" w:ascii="Times New Roman" w:hAnsi="Times New Roman" w:eastAsia="仿宋_GB2312" w:cs="Times New Roman"/>
                <w:bCs/>
                <w:sz w:val="22"/>
                <w:szCs w:val="22"/>
              </w:rPr>
              <w:t>次</w:t>
            </w:r>
            <w:r>
              <w:rPr>
                <w:rFonts w:ascii="Times New Roman" w:hAnsi="Times New Roman" w:eastAsia="仿宋_GB2312" w:cs="Times New Roman"/>
                <w:bCs/>
                <w:sz w:val="22"/>
                <w:szCs w:val="22"/>
              </w:rPr>
              <w:t>均</w:t>
            </w:r>
            <w:r>
              <w:rPr>
                <w:rFonts w:ascii="Times New Roman" w:hAnsi="Times New Roman" w:eastAsia="仿宋_GB2312" w:cs="Times New Roman"/>
                <w:sz w:val="22"/>
                <w:szCs w:val="22"/>
              </w:rPr>
              <w:t>药品支出额-1（门诊/住院）</w:t>
            </w:r>
          </w:p>
        </w:tc>
        <w:tc>
          <w:tcPr>
            <w:tcW w:w="340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sz w:val="22"/>
                <w:szCs w:val="22"/>
              </w:rPr>
            </w:pPr>
            <w:r>
              <w:rPr>
                <w:rFonts w:hint="eastAsia" w:ascii="Times New Roman" w:hAnsi="Times New Roman" w:eastAsia="仿宋_GB2312" w:cs="Times New Roman"/>
                <w:sz w:val="22"/>
                <w:szCs w:val="22"/>
              </w:rPr>
              <w:t>≤</w:t>
            </w:r>
            <w:r>
              <w:rPr>
                <w:rFonts w:ascii="Times New Roman" w:hAnsi="Times New Roman" w:eastAsia="仿宋_GB2312" w:cs="Times New Roman"/>
                <w:sz w:val="22"/>
                <w:szCs w:val="22"/>
              </w:rPr>
              <w:t>0%的，得100分；</w:t>
            </w:r>
            <w:r>
              <w:rPr>
                <w:rFonts w:ascii="Times New Roman" w:hAnsi="Times New Roman" w:eastAsia="仿宋_GB2312" w:cs="Times New Roman"/>
                <w:sz w:val="22"/>
                <w:szCs w:val="22"/>
              </w:rPr>
              <w:br w:type="textWrapping"/>
            </w:r>
            <w:r>
              <w:rPr>
                <w:rFonts w:hint="eastAsia" w:ascii="Times New Roman" w:hAnsi="Times New Roman" w:eastAsia="仿宋_GB2312" w:cs="Times New Roman"/>
                <w:sz w:val="22"/>
                <w:szCs w:val="22"/>
              </w:rPr>
              <w:t>＞</w:t>
            </w:r>
            <w:r>
              <w:rPr>
                <w:rFonts w:ascii="Times New Roman" w:hAnsi="Times New Roman" w:eastAsia="仿宋_GB2312" w:cs="Times New Roman"/>
                <w:sz w:val="22"/>
                <w:szCs w:val="22"/>
              </w:rPr>
              <w:t>0%，每增加1%扣5分</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100</w:t>
            </w:r>
          </w:p>
        </w:tc>
        <w:tc>
          <w:tcPr>
            <w:tcW w:w="1134" w:type="dxa"/>
            <w:tcBorders>
              <w:top w:val="nil"/>
              <w:left w:val="nil"/>
              <w:bottom w:val="single" w:color="auto" w:sz="4" w:space="0"/>
              <w:right w:val="single" w:color="auto" w:sz="4" w:space="0"/>
            </w:tcBorders>
            <w:shd w:val="clear" w:color="auto" w:fill="auto"/>
            <w:vAlign w:val="center"/>
          </w:tcPr>
          <w:p>
            <w:pPr>
              <w:ind w:left="-10" w:leftChars="-28" w:right="-204" w:rightChars="-85" w:hanging="57" w:hangingChars="26"/>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10/10</w:t>
            </w:r>
            <w:r>
              <w:rPr>
                <w:rFonts w:ascii="Times New Roman" w:hAnsi="Times New Roman" w:eastAsia="仿宋_GB2312" w:cs="Times New Roman"/>
                <w:sz w:val="22"/>
                <w:szCs w:val="22"/>
              </w:rPr>
              <w:br w:type="textWrapping"/>
            </w:r>
            <w:r>
              <w:rPr>
                <w:rFonts w:ascii="Times New Roman" w:hAnsi="Times New Roman" w:eastAsia="仿宋_GB2312" w:cs="Times New Roman"/>
                <w:sz w:val="12"/>
                <w:szCs w:val="12"/>
              </w:rPr>
              <w:t>（门诊/住院）</w:t>
            </w:r>
          </w:p>
        </w:tc>
      </w:tr>
      <w:tr>
        <w:tblPrEx>
          <w:tblLayout w:type="fixed"/>
          <w:tblCellMar>
            <w:top w:w="0" w:type="dxa"/>
            <w:left w:w="108" w:type="dxa"/>
            <w:bottom w:w="0" w:type="dxa"/>
            <w:right w:w="108" w:type="dxa"/>
          </w:tblCellMar>
        </w:tblPrEx>
        <w:trPr>
          <w:trHeight w:val="649" w:hRule="atLeast"/>
          <w:jc w:val="center"/>
        </w:trPr>
        <w:tc>
          <w:tcPr>
            <w:tcW w:w="1403"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 w:val="22"/>
                <w:szCs w:val="22"/>
              </w:rPr>
            </w:pPr>
          </w:p>
        </w:tc>
        <w:tc>
          <w:tcPr>
            <w:tcW w:w="2561"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sz w:val="22"/>
                <w:szCs w:val="22"/>
              </w:rPr>
            </w:pPr>
            <w:r>
              <w:rPr>
                <w:rFonts w:ascii="Times New Roman" w:hAnsi="Times New Roman" w:eastAsia="仿宋_GB2312" w:cs="Times New Roman"/>
                <w:sz w:val="22"/>
                <w:szCs w:val="22"/>
              </w:rPr>
              <w:t>非中选产品采购</w:t>
            </w:r>
            <w:r>
              <w:rPr>
                <w:rFonts w:hint="eastAsia" w:ascii="Times New Roman" w:hAnsi="Times New Roman" w:eastAsia="仿宋_GB2312" w:cs="Times New Roman"/>
                <w:sz w:val="22"/>
                <w:szCs w:val="22"/>
              </w:rPr>
              <w:t>量</w:t>
            </w:r>
            <w:r>
              <w:rPr>
                <w:rFonts w:ascii="Times New Roman" w:hAnsi="Times New Roman" w:eastAsia="仿宋_GB2312" w:cs="Times New Roman"/>
                <w:sz w:val="22"/>
                <w:szCs w:val="22"/>
              </w:rPr>
              <w:t>占比</w:t>
            </w:r>
          </w:p>
        </w:tc>
        <w:tc>
          <w:tcPr>
            <w:tcW w:w="3544"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sz w:val="22"/>
                <w:szCs w:val="22"/>
              </w:rPr>
            </w:pPr>
            <w:r>
              <w:rPr>
                <w:rFonts w:ascii="Times New Roman" w:hAnsi="Times New Roman" w:eastAsia="仿宋_GB2312" w:cs="Times New Roman"/>
                <w:sz w:val="22"/>
                <w:szCs w:val="22"/>
              </w:rPr>
              <w:t>非中选产品采购</w:t>
            </w:r>
            <w:r>
              <w:rPr>
                <w:rFonts w:hint="eastAsia" w:ascii="Times New Roman" w:hAnsi="Times New Roman" w:eastAsia="仿宋_GB2312" w:cs="Times New Roman"/>
                <w:sz w:val="22"/>
                <w:szCs w:val="22"/>
              </w:rPr>
              <w:t>量</w:t>
            </w:r>
            <w:r>
              <w:rPr>
                <w:rFonts w:ascii="Times New Roman" w:hAnsi="Times New Roman" w:eastAsia="仿宋_GB2312" w:cs="Times New Roman"/>
                <w:sz w:val="22"/>
                <w:szCs w:val="22"/>
              </w:rPr>
              <w:t>/该通用名药品总采购</w:t>
            </w:r>
            <w:r>
              <w:rPr>
                <w:rFonts w:hint="eastAsia" w:ascii="Times New Roman" w:hAnsi="Times New Roman" w:eastAsia="仿宋_GB2312" w:cs="Times New Roman"/>
                <w:sz w:val="22"/>
                <w:szCs w:val="22"/>
              </w:rPr>
              <w:t>量</w:t>
            </w:r>
          </w:p>
        </w:tc>
        <w:tc>
          <w:tcPr>
            <w:tcW w:w="340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sz w:val="22"/>
                <w:szCs w:val="22"/>
              </w:rPr>
            </w:pPr>
            <w:r>
              <w:rPr>
                <w:rFonts w:hint="eastAsia" w:ascii="Times New Roman" w:hAnsi="Times New Roman" w:eastAsia="仿宋_GB2312" w:cs="Times New Roman"/>
                <w:sz w:val="22"/>
                <w:szCs w:val="22"/>
              </w:rPr>
              <w:t>每存在一个药品该值≥</w:t>
            </w:r>
            <w:r>
              <w:rPr>
                <w:rFonts w:hint="eastAsia" w:ascii="Times New Roman" w:hAnsi="Times New Roman" w:eastAsia="仿宋_GB2312" w:cs="Times New Roman"/>
                <w:sz w:val="22"/>
                <w:szCs w:val="22"/>
                <w:lang w:val="en-US" w:eastAsia="zh-CN"/>
              </w:rPr>
              <w:t>50</w:t>
            </w:r>
            <w:r>
              <w:rPr>
                <w:rFonts w:hint="eastAsia" w:ascii="Times New Roman" w:hAnsi="Times New Roman" w:eastAsia="仿宋_GB2312" w:cs="Times New Roman"/>
                <w:sz w:val="22"/>
                <w:szCs w:val="22"/>
              </w:rPr>
              <w:t>%的，扣</w:t>
            </w:r>
            <w:r>
              <w:rPr>
                <w:rFonts w:ascii="Times New Roman" w:hAnsi="Times New Roman" w:eastAsia="仿宋_GB2312" w:cs="Times New Roman"/>
                <w:sz w:val="22"/>
                <w:szCs w:val="22"/>
              </w:rPr>
              <w:t>10</w:t>
            </w:r>
            <w:r>
              <w:rPr>
                <w:rFonts w:hint="eastAsia" w:ascii="Times New Roman" w:hAnsi="Times New Roman" w:eastAsia="仿宋_GB2312" w:cs="Times New Roman"/>
                <w:sz w:val="22"/>
                <w:szCs w:val="22"/>
              </w:rPr>
              <w:t>分；≥</w:t>
            </w:r>
            <w:r>
              <w:rPr>
                <w:rFonts w:hint="eastAsia" w:ascii="Times New Roman" w:hAnsi="Times New Roman" w:eastAsia="仿宋_GB2312" w:cs="Times New Roman"/>
                <w:sz w:val="22"/>
                <w:szCs w:val="22"/>
                <w:lang w:val="en-US" w:eastAsia="zh-CN"/>
              </w:rPr>
              <w:t>75</w:t>
            </w:r>
            <w:bookmarkStart w:id="6" w:name="_GoBack"/>
            <w:bookmarkEnd w:id="6"/>
            <w:r>
              <w:rPr>
                <w:rFonts w:hint="eastAsia" w:ascii="Times New Roman" w:hAnsi="Times New Roman" w:eastAsia="仿宋_GB2312" w:cs="Times New Roman"/>
                <w:sz w:val="22"/>
                <w:szCs w:val="22"/>
              </w:rPr>
              <w:t>%的，扣</w:t>
            </w:r>
            <w:r>
              <w:rPr>
                <w:rFonts w:ascii="Times New Roman" w:hAnsi="Times New Roman" w:eastAsia="仿宋_GB2312" w:cs="Times New Roman"/>
                <w:sz w:val="22"/>
                <w:szCs w:val="22"/>
              </w:rPr>
              <w:t>20</w:t>
            </w:r>
            <w:r>
              <w:rPr>
                <w:rFonts w:hint="eastAsia" w:ascii="Times New Roman" w:hAnsi="Times New Roman" w:eastAsia="仿宋_GB2312" w:cs="Times New Roman"/>
                <w:sz w:val="22"/>
                <w:szCs w:val="22"/>
              </w:rPr>
              <w:t>分</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100</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20</w:t>
            </w:r>
          </w:p>
        </w:tc>
      </w:tr>
      <w:tr>
        <w:tblPrEx>
          <w:tblLayout w:type="fixed"/>
          <w:tblCellMar>
            <w:top w:w="0" w:type="dxa"/>
            <w:left w:w="108" w:type="dxa"/>
            <w:bottom w:w="0" w:type="dxa"/>
            <w:right w:w="108" w:type="dxa"/>
          </w:tblCellMar>
        </w:tblPrEx>
        <w:trPr>
          <w:trHeight w:val="788" w:hRule="atLeast"/>
          <w:jc w:val="center"/>
        </w:trPr>
        <w:tc>
          <w:tcPr>
            <w:tcW w:w="140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（三）落实集采、价格等改革政策</w:t>
            </w:r>
          </w:p>
        </w:tc>
        <w:tc>
          <w:tcPr>
            <w:tcW w:w="2561"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sz w:val="22"/>
                <w:szCs w:val="22"/>
              </w:rPr>
            </w:pPr>
            <w:r>
              <w:rPr>
                <w:rFonts w:hint="default" w:ascii="Times New Roman" w:hAnsi="Times New Roman" w:eastAsia="仿宋_GB2312" w:cs="Times New Roman"/>
                <w:sz w:val="22"/>
                <w:szCs w:val="22"/>
                <w:vertAlign w:val="superscript"/>
              </w:rPr>
              <w:t>★</w:t>
            </w:r>
            <w:r>
              <w:rPr>
                <w:rFonts w:ascii="Times New Roman" w:hAnsi="Times New Roman" w:eastAsia="仿宋_GB2312" w:cs="Times New Roman"/>
                <w:sz w:val="22"/>
                <w:szCs w:val="22"/>
              </w:rPr>
              <w:t>线下采购占比</w:t>
            </w:r>
          </w:p>
        </w:tc>
        <w:tc>
          <w:tcPr>
            <w:tcW w:w="3544"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sz w:val="22"/>
                <w:szCs w:val="22"/>
              </w:rPr>
            </w:pPr>
            <w:r>
              <w:rPr>
                <w:rFonts w:ascii="Times New Roman" w:hAnsi="Times New Roman" w:eastAsia="仿宋_GB2312" w:cs="Times New Roman"/>
                <w:sz w:val="22"/>
                <w:szCs w:val="22"/>
              </w:rPr>
              <w:t>（定点医疗机构实际药品采购总额-平台采购额）/定点医疗机构实际药品采购总额</w:t>
            </w:r>
          </w:p>
        </w:tc>
        <w:tc>
          <w:tcPr>
            <w:tcW w:w="340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sz w:val="22"/>
                <w:szCs w:val="22"/>
              </w:rPr>
            </w:pPr>
            <w:r>
              <w:rPr>
                <w:rFonts w:ascii="Times New Roman" w:hAnsi="Times New Roman" w:eastAsia="仿宋_GB2312" w:cs="Times New Roman"/>
                <w:sz w:val="22"/>
                <w:szCs w:val="22"/>
              </w:rPr>
              <w:t>＜5%的，得100分；</w:t>
            </w:r>
            <w:r>
              <w:rPr>
                <w:rFonts w:ascii="Times New Roman" w:hAnsi="Times New Roman" w:eastAsia="仿宋_GB2312" w:cs="Times New Roman"/>
                <w:sz w:val="22"/>
                <w:szCs w:val="22"/>
              </w:rPr>
              <w:br w:type="textWrapping"/>
            </w:r>
            <w:r>
              <w:rPr>
                <w:rFonts w:hint="eastAsia" w:ascii="Times New Roman" w:hAnsi="Times New Roman" w:eastAsia="仿宋_GB2312" w:cs="Times New Roman"/>
                <w:sz w:val="22"/>
                <w:szCs w:val="22"/>
              </w:rPr>
              <w:t>≥</w:t>
            </w:r>
            <w:r>
              <w:rPr>
                <w:rFonts w:ascii="Times New Roman" w:hAnsi="Times New Roman" w:eastAsia="仿宋_GB2312" w:cs="Times New Roman"/>
                <w:sz w:val="22"/>
                <w:szCs w:val="22"/>
              </w:rPr>
              <w:t>5%的，每增加1%扣10分</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100</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10</w:t>
            </w:r>
          </w:p>
        </w:tc>
      </w:tr>
      <w:tr>
        <w:tblPrEx>
          <w:tblLayout w:type="fixed"/>
          <w:tblCellMar>
            <w:top w:w="0" w:type="dxa"/>
            <w:left w:w="108" w:type="dxa"/>
            <w:bottom w:w="0" w:type="dxa"/>
            <w:right w:w="108" w:type="dxa"/>
          </w:tblCellMar>
        </w:tblPrEx>
        <w:trPr>
          <w:trHeight w:val="513" w:hRule="atLeast"/>
          <w:jc w:val="center"/>
        </w:trPr>
        <w:tc>
          <w:tcPr>
            <w:tcW w:w="1403"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 w:val="22"/>
                <w:szCs w:val="22"/>
              </w:rPr>
            </w:pPr>
          </w:p>
        </w:tc>
        <w:tc>
          <w:tcPr>
            <w:tcW w:w="2561"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sz w:val="22"/>
                <w:szCs w:val="22"/>
              </w:rPr>
            </w:pPr>
            <w:r>
              <w:rPr>
                <w:rFonts w:hint="default" w:ascii="Times New Roman" w:hAnsi="Times New Roman" w:eastAsia="仿宋_GB2312" w:cs="Times New Roman"/>
                <w:sz w:val="22"/>
                <w:szCs w:val="22"/>
                <w:vertAlign w:val="superscript"/>
              </w:rPr>
              <w:t>★</w:t>
            </w:r>
            <w:r>
              <w:rPr>
                <w:rFonts w:ascii="Times New Roman" w:hAnsi="Times New Roman" w:eastAsia="仿宋_GB2312" w:cs="Times New Roman"/>
                <w:sz w:val="22"/>
                <w:szCs w:val="22"/>
              </w:rPr>
              <w:t>执行集采政策的违规次数</w:t>
            </w:r>
          </w:p>
        </w:tc>
        <w:tc>
          <w:tcPr>
            <w:tcW w:w="3544"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sz w:val="22"/>
                <w:szCs w:val="22"/>
              </w:rPr>
            </w:pPr>
            <w:r>
              <w:rPr>
                <w:rFonts w:ascii="Times New Roman" w:hAnsi="Times New Roman" w:eastAsia="仿宋_GB2312" w:cs="Times New Roman"/>
                <w:sz w:val="22"/>
                <w:szCs w:val="22"/>
              </w:rPr>
              <w:t>如实报量</w:t>
            </w:r>
            <w:r>
              <w:rPr>
                <w:rFonts w:hint="eastAsia" w:ascii="Times New Roman" w:hAnsi="Times New Roman" w:eastAsia="仿宋_GB2312" w:cs="Times New Roman"/>
                <w:sz w:val="22"/>
                <w:szCs w:val="22"/>
              </w:rPr>
              <w:t>，按时签约</w:t>
            </w:r>
            <w:r>
              <w:rPr>
                <w:rFonts w:ascii="Times New Roman" w:hAnsi="Times New Roman" w:eastAsia="仿宋_GB2312" w:cs="Times New Roman"/>
                <w:sz w:val="22"/>
                <w:szCs w:val="22"/>
              </w:rPr>
              <w:t>，主动</w:t>
            </w:r>
            <w:r>
              <w:rPr>
                <w:rFonts w:hint="eastAsia" w:ascii="Times New Roman" w:hAnsi="Times New Roman" w:eastAsia="仿宋_GB2312" w:cs="Times New Roman"/>
                <w:sz w:val="22"/>
                <w:szCs w:val="22"/>
              </w:rPr>
              <w:t>积极</w:t>
            </w:r>
            <w:r>
              <w:rPr>
                <w:rFonts w:ascii="Times New Roman" w:hAnsi="Times New Roman" w:eastAsia="仿宋_GB2312" w:cs="Times New Roman"/>
                <w:sz w:val="22"/>
                <w:szCs w:val="22"/>
              </w:rPr>
              <w:t>配合集采工作</w:t>
            </w:r>
          </w:p>
        </w:tc>
        <w:tc>
          <w:tcPr>
            <w:tcW w:w="3407" w:type="dxa"/>
            <w:vMerge w:val="restart"/>
            <w:tcBorders>
              <w:top w:val="nil"/>
              <w:left w:val="single" w:color="auto" w:sz="4" w:space="0"/>
              <w:bottom w:val="single" w:color="000000" w:sz="4" w:space="0"/>
              <w:right w:val="single" w:color="auto" w:sz="4" w:space="0"/>
            </w:tcBorders>
            <w:shd w:val="clear" w:color="auto" w:fill="auto"/>
            <w:vAlign w:val="center"/>
          </w:tcPr>
          <w:p>
            <w:pPr>
              <w:rPr>
                <w:rFonts w:ascii="Times New Roman" w:hAnsi="Times New Roman" w:eastAsia="仿宋_GB2312" w:cs="Times New Roman"/>
                <w:sz w:val="22"/>
                <w:szCs w:val="22"/>
              </w:rPr>
            </w:pPr>
            <w:r>
              <w:rPr>
                <w:rFonts w:hint="eastAsia" w:ascii="Times New Roman" w:hAnsi="Times New Roman" w:eastAsia="仿宋_GB2312" w:cs="Times New Roman"/>
                <w:sz w:val="22"/>
                <w:szCs w:val="22"/>
              </w:rPr>
              <w:t>①未主动积极配合集采工作的，由市医疗保障行政部门确认，每次扣10分；</w:t>
            </w:r>
          </w:p>
          <w:p>
            <w:pPr>
              <w:rPr>
                <w:rFonts w:ascii="Times New Roman" w:hAnsi="Times New Roman" w:eastAsia="仿宋_GB2312" w:cs="Times New Roman"/>
                <w:sz w:val="22"/>
                <w:szCs w:val="22"/>
              </w:rPr>
            </w:pPr>
            <w:r>
              <w:rPr>
                <w:rFonts w:hint="eastAsia" w:ascii="Times New Roman" w:hAnsi="Times New Roman" w:eastAsia="仿宋_GB2312" w:cs="Times New Roman"/>
                <w:sz w:val="22"/>
                <w:szCs w:val="22"/>
              </w:rPr>
              <w:t>②各相关主管部门</w:t>
            </w:r>
            <w:r>
              <w:rPr>
                <w:rFonts w:ascii="Times New Roman" w:hAnsi="Times New Roman" w:eastAsia="仿宋_GB2312" w:cs="Times New Roman"/>
                <w:sz w:val="22"/>
                <w:szCs w:val="22"/>
              </w:rPr>
              <w:t>例行检查、专项检查以及信访投诉举报等渠道确认</w:t>
            </w:r>
            <w:r>
              <w:rPr>
                <w:rFonts w:hint="eastAsia" w:ascii="Times New Roman" w:hAnsi="Times New Roman" w:eastAsia="仿宋_GB2312" w:cs="Times New Roman"/>
                <w:sz w:val="22"/>
                <w:szCs w:val="22"/>
              </w:rPr>
              <w:t>违规</w:t>
            </w:r>
            <w:r>
              <w:rPr>
                <w:rFonts w:ascii="Times New Roman" w:hAnsi="Times New Roman" w:eastAsia="仿宋_GB2312" w:cs="Times New Roman"/>
                <w:sz w:val="22"/>
                <w:szCs w:val="22"/>
              </w:rPr>
              <w:t>的，每次扣20分</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100</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20</w:t>
            </w:r>
          </w:p>
        </w:tc>
      </w:tr>
      <w:tr>
        <w:tblPrEx>
          <w:tblLayout w:type="fixed"/>
          <w:tblCellMar>
            <w:top w:w="0" w:type="dxa"/>
            <w:left w:w="108" w:type="dxa"/>
            <w:bottom w:w="0" w:type="dxa"/>
            <w:right w:w="108" w:type="dxa"/>
          </w:tblCellMar>
        </w:tblPrEx>
        <w:trPr>
          <w:trHeight w:val="864" w:hRule="atLeast"/>
          <w:jc w:val="center"/>
        </w:trPr>
        <w:tc>
          <w:tcPr>
            <w:tcW w:w="1403"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 w:val="22"/>
                <w:szCs w:val="22"/>
              </w:rPr>
            </w:pPr>
          </w:p>
        </w:tc>
        <w:tc>
          <w:tcPr>
            <w:tcW w:w="2561"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sz w:val="22"/>
                <w:szCs w:val="22"/>
              </w:rPr>
            </w:pPr>
            <w:r>
              <w:rPr>
                <w:rFonts w:hint="default" w:ascii="Times New Roman" w:hAnsi="Times New Roman" w:eastAsia="仿宋_GB2312" w:cs="Times New Roman"/>
                <w:sz w:val="22"/>
                <w:szCs w:val="22"/>
                <w:vertAlign w:val="superscript"/>
              </w:rPr>
              <w:t>★</w:t>
            </w:r>
            <w:r>
              <w:rPr>
                <w:rFonts w:ascii="Times New Roman" w:hAnsi="Times New Roman" w:eastAsia="仿宋_GB2312" w:cs="Times New Roman"/>
                <w:sz w:val="22"/>
                <w:szCs w:val="22"/>
              </w:rPr>
              <w:t>价格违规次数</w:t>
            </w:r>
          </w:p>
        </w:tc>
        <w:tc>
          <w:tcPr>
            <w:tcW w:w="3544"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sz w:val="22"/>
                <w:szCs w:val="22"/>
              </w:rPr>
            </w:pPr>
            <w:r>
              <w:rPr>
                <w:rFonts w:ascii="Times New Roman" w:hAnsi="Times New Roman" w:eastAsia="仿宋_GB2312" w:cs="Times New Roman"/>
                <w:sz w:val="22"/>
                <w:szCs w:val="22"/>
              </w:rPr>
              <w:t>执行医保部门政策，按实际服务数量收费，公开透明</w:t>
            </w:r>
          </w:p>
        </w:tc>
        <w:tc>
          <w:tcPr>
            <w:tcW w:w="3407"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仿宋_GB2312" w:cs="Times New Roman"/>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仿宋_GB2312" w:cs="Times New Roman"/>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仿宋_GB2312" w:cs="Times New Roman"/>
                <w:sz w:val="22"/>
                <w:szCs w:val="22"/>
              </w:rPr>
            </w:pPr>
          </w:p>
        </w:tc>
      </w:tr>
      <w:tr>
        <w:tblPrEx>
          <w:tblLayout w:type="fixed"/>
          <w:tblCellMar>
            <w:top w:w="0" w:type="dxa"/>
            <w:left w:w="108" w:type="dxa"/>
            <w:bottom w:w="0" w:type="dxa"/>
            <w:right w:w="108" w:type="dxa"/>
          </w:tblCellMar>
        </w:tblPrEx>
        <w:trPr>
          <w:trHeight w:val="576" w:hRule="atLeast"/>
          <w:jc w:val="center"/>
        </w:trPr>
        <w:tc>
          <w:tcPr>
            <w:tcW w:w="1403"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 w:val="22"/>
                <w:szCs w:val="22"/>
              </w:rPr>
            </w:pPr>
          </w:p>
        </w:tc>
        <w:tc>
          <w:tcPr>
            <w:tcW w:w="2561"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sz w:val="22"/>
                <w:szCs w:val="22"/>
              </w:rPr>
            </w:pPr>
            <w:r>
              <w:rPr>
                <w:rFonts w:hint="default" w:ascii="Times New Roman" w:hAnsi="Times New Roman" w:eastAsia="仿宋_GB2312" w:cs="Times New Roman"/>
                <w:sz w:val="22"/>
                <w:szCs w:val="22"/>
                <w:vertAlign w:val="superscript"/>
              </w:rPr>
              <w:t>★</w:t>
            </w:r>
            <w:r>
              <w:rPr>
                <w:rFonts w:ascii="Times New Roman" w:hAnsi="Times New Roman" w:eastAsia="仿宋_GB2312" w:cs="Times New Roman"/>
                <w:sz w:val="22"/>
                <w:szCs w:val="22"/>
              </w:rPr>
              <w:t>集采中选药品的规范流转</w:t>
            </w:r>
          </w:p>
        </w:tc>
        <w:tc>
          <w:tcPr>
            <w:tcW w:w="3544"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sz w:val="22"/>
                <w:szCs w:val="22"/>
              </w:rPr>
            </w:pPr>
            <w:r>
              <w:rPr>
                <w:rFonts w:ascii="Times New Roman" w:hAnsi="Times New Roman" w:eastAsia="仿宋_GB2312" w:cs="Times New Roman"/>
                <w:sz w:val="22"/>
                <w:szCs w:val="22"/>
              </w:rPr>
              <w:t>医疗机构不得转卖集采中选药品</w:t>
            </w:r>
          </w:p>
        </w:tc>
        <w:tc>
          <w:tcPr>
            <w:tcW w:w="3407"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仿宋_GB2312" w:cs="Times New Roman"/>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仿宋_GB2312" w:cs="Times New Roman"/>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仿宋_GB2312" w:cs="Times New Roman"/>
                <w:sz w:val="22"/>
                <w:szCs w:val="22"/>
              </w:rPr>
            </w:pPr>
          </w:p>
        </w:tc>
      </w:tr>
    </w:tbl>
    <w:p>
      <w:pPr>
        <w:pStyle w:val="4"/>
        <w:rPr>
          <w:rFonts w:ascii="Times New Roman" w:hAnsi="Times New Roman" w:eastAsia="仿宋_GB2312" w:cs="Times New Roman"/>
          <w:sz w:val="32"/>
          <w:lang w:eastAsia="zh-CN"/>
        </w:rPr>
      </w:pPr>
    </w:p>
    <w:sectPr>
      <w:pgSz w:w="16838" w:h="11906" w:orient="landscape"/>
      <w:pgMar w:top="1800" w:right="1440" w:bottom="180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360" w:leftChars="150" w:right="360" w:rightChars="150"/>
                            <w:rPr>
                              <w:rStyle w:val="14"/>
                              <w:rFonts w:ascii="宋体" w:hAnsi="宋体"/>
                              <w:sz w:val="28"/>
                              <w:szCs w:val="28"/>
                            </w:rPr>
                          </w:pPr>
                          <w:r>
                            <w:rPr>
                              <w:rStyle w:val="14"/>
                              <w:rFonts w:hint="eastAsia" w:ascii="宋体" w:hAnsi="宋体"/>
                              <w:sz w:val="28"/>
                              <w:szCs w:val="28"/>
                            </w:rPr>
                            <w:t>—</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13</w:t>
                          </w:r>
                          <w:r>
                            <w:rPr>
                              <w:rFonts w:ascii="宋体" w:hAnsi="宋体"/>
                              <w:sz w:val="28"/>
                              <w:szCs w:val="28"/>
                            </w:rPr>
                            <w:fldChar w:fldCharType="end"/>
                          </w:r>
                          <w:r>
                            <w:rPr>
                              <w:rStyle w:val="14"/>
                              <w:rFonts w:hint="eastAsia" w:ascii="宋体" w:hAnsi="宋体"/>
                              <w:sz w:val="28"/>
                              <w:szCs w:val="28"/>
                            </w:rPr>
                            <w:t>—</w:t>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7"/>
                      <w:ind w:left="360" w:leftChars="150" w:right="360" w:rightChars="150"/>
                      <w:rPr>
                        <w:rStyle w:val="14"/>
                        <w:rFonts w:ascii="宋体" w:hAnsi="宋体"/>
                        <w:sz w:val="28"/>
                        <w:szCs w:val="28"/>
                      </w:rPr>
                    </w:pPr>
                    <w:r>
                      <w:rPr>
                        <w:rStyle w:val="14"/>
                        <w:rFonts w:hint="eastAsia" w:ascii="宋体" w:hAnsi="宋体"/>
                        <w:sz w:val="28"/>
                        <w:szCs w:val="28"/>
                      </w:rPr>
                      <w:t>—</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13</w:t>
                    </w:r>
                    <w:r>
                      <w:rPr>
                        <w:rFonts w:ascii="宋体" w:hAnsi="宋体"/>
                        <w:sz w:val="28"/>
                        <w:szCs w:val="28"/>
                      </w:rPr>
                      <w:fldChar w:fldCharType="end"/>
                    </w:r>
                    <w:r>
                      <w:rPr>
                        <w:rStyle w:val="14"/>
                        <w:rFonts w:hint="eastAsia" w:ascii="宋体" w:hAnsi="宋体"/>
                        <w:sz w:val="28"/>
                        <w:szCs w:val="28"/>
                      </w:rPr>
                      <w:t>—</w:t>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fldChar w:fldCharType="begin"/>
    </w:r>
    <w:r>
      <w:rPr>
        <w:rStyle w:val="14"/>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60" w:leftChars="150" w:right="360" w:rightChars="150"/>
      <w:jc w:val="right"/>
      <w:rPr>
        <w:rStyle w:val="14"/>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119380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360" w:leftChars="150" w:right="360" w:rightChars="150"/>
                            <w:jc w:val="right"/>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9.4pt;height:144pt;width:144pt;mso-position-horizontal:outside;mso-position-horizontal-relative:margin;mso-wrap-style:none;z-index:251660288;mso-width-relative:page;mso-height-relative:page;" filled="f" stroked="f" coordsize="21600,21600" o:gfxdata="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XQ17tMAAAAHAQAADwAAAAAAAAABACAAAAAi&#10;AAAAZHJzL2Rvd25yZXYueG1sUEsBAhQAFAAAAAgAh07iQNn6MNYPAgAABwQAAA4AAAAAAAAAAQAg&#10;AAAAIgEAAGRycy9lMm9Eb2MueG1sUEsFBgAAAAAGAAYAWQEAAKMFAAAAAA==&#10;">
              <v:fill on="f" focussize="0,0"/>
              <v:stroke on="f" weight="0.5pt"/>
              <v:imagedata o:title=""/>
              <o:lock v:ext="edit" aspectratio="f"/>
              <v:textbox inset="0mm,0mm,0mm,0mm" style="mso-fit-shape-to-text:t;">
                <w:txbxContent>
                  <w:p>
                    <w:pPr>
                      <w:pStyle w:val="7"/>
                      <w:ind w:left="360" w:leftChars="150" w:right="360" w:rightChars="150"/>
                      <w:jc w:val="right"/>
                    </w:pPr>
                  </w:p>
                </w:txbxContent>
              </v:textbox>
            </v:shape>
          </w:pict>
        </mc:Fallback>
      </mc:AlternateContent>
    </w:r>
  </w:p>
  <w:p>
    <w:pPr>
      <w:pStyle w:val="7"/>
      <w:tabs>
        <w:tab w:val="left" w:pos="8051"/>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pPr>
      <w:r>
        <w:rPr>
          <w:rStyle w:val="16"/>
        </w:rPr>
        <w:footnoteRef/>
      </w:r>
      <w:r>
        <w:t xml:space="preserve"> </w:t>
      </w:r>
      <w:r>
        <w:rPr>
          <w:rFonts w:hint="eastAsia"/>
        </w:rPr>
        <w:t>标记</w:t>
      </w:r>
      <w:r>
        <w:rPr>
          <w:rFonts w:hint="default" w:ascii="Times New Roman" w:hAnsi="Times New Roman"/>
          <w:sz w:val="18"/>
          <w:vertAlign w:val="baseline"/>
        </w:rPr>
        <w:t>★</w:t>
      </w:r>
      <w:r>
        <w:t>的</w:t>
      </w:r>
      <w:r>
        <w:rPr>
          <w:rFonts w:hint="eastAsia"/>
        </w:rPr>
        <w:t>，</w:t>
      </w:r>
      <w:r>
        <w:t>为本办法</w:t>
      </w:r>
      <w:r>
        <w:fldChar w:fldCharType="begin"/>
      </w:r>
      <w:r>
        <w:instrText xml:space="preserve"> REF _Ref60065054 \h  \* MERGEFORMAT </w:instrText>
      </w:r>
      <w:r>
        <w:fldChar w:fldCharType="separate"/>
      </w:r>
      <w:r>
        <w:rPr>
          <w:rFonts w:hint="eastAsia" w:eastAsia="宋体"/>
          <w:b w:val="0"/>
          <w:bCs w:val="0"/>
          <w:sz w:val="18"/>
          <w:szCs w:val="18"/>
        </w:rPr>
        <w:t>第十七</w:t>
      </w:r>
      <w:r>
        <w:fldChar w:fldCharType="end"/>
      </w:r>
      <w:r>
        <w:t>条所指以自然年度</w:t>
      </w:r>
      <w:r>
        <w:rPr>
          <w:rFonts w:hint="eastAsia"/>
        </w:rPr>
        <w:t>为计算范围</w:t>
      </w:r>
      <w:r>
        <w:t>的</w:t>
      </w:r>
      <w:r>
        <w:rPr>
          <w:rFonts w:hint="eastAsia"/>
        </w:rPr>
        <w:t>考核指标</w:t>
      </w:r>
      <w:r>
        <w:t>，按该条规定进行</w:t>
      </w:r>
      <w:r>
        <w:rPr>
          <w:rFonts w:hint="eastAsia"/>
        </w:rPr>
        <w:t>考核；</w:t>
      </w:r>
    </w:p>
  </w:footnote>
  <w:footnote w:id="1">
    <w:p>
      <w:pPr>
        <w:pStyle w:val="8"/>
      </w:pPr>
      <w:r>
        <w:rPr>
          <w:rStyle w:val="16"/>
        </w:rPr>
        <w:footnoteRef/>
      </w:r>
      <w:r>
        <w:t xml:space="preserve"> </w:t>
      </w:r>
      <w:r>
        <w:rPr>
          <w:rFonts w:hint="eastAsia"/>
        </w:rPr>
        <w:t>均按比例折算，并保留两位小数；该项分值扣完为止。</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val="1"/>
  <w:displayBackgroundShape w:val="1"/>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992"/>
    <w:rsid w:val="000037D2"/>
    <w:rsid w:val="0000793C"/>
    <w:rsid w:val="00010191"/>
    <w:rsid w:val="00010946"/>
    <w:rsid w:val="00011C9C"/>
    <w:rsid w:val="00014F58"/>
    <w:rsid w:val="00051D52"/>
    <w:rsid w:val="00055FAA"/>
    <w:rsid w:val="000620A8"/>
    <w:rsid w:val="00065013"/>
    <w:rsid w:val="00071B9E"/>
    <w:rsid w:val="000753D6"/>
    <w:rsid w:val="00085E27"/>
    <w:rsid w:val="00093954"/>
    <w:rsid w:val="000A00C2"/>
    <w:rsid w:val="000A10C4"/>
    <w:rsid w:val="000A6F68"/>
    <w:rsid w:val="000A7685"/>
    <w:rsid w:val="000B4484"/>
    <w:rsid w:val="000B7AA0"/>
    <w:rsid w:val="000C3EB8"/>
    <w:rsid w:val="000E341C"/>
    <w:rsid w:val="000E73DD"/>
    <w:rsid w:val="000F073A"/>
    <w:rsid w:val="000F3FDF"/>
    <w:rsid w:val="00100583"/>
    <w:rsid w:val="00110BFB"/>
    <w:rsid w:val="00120412"/>
    <w:rsid w:val="00121485"/>
    <w:rsid w:val="00121C65"/>
    <w:rsid w:val="00133732"/>
    <w:rsid w:val="00146F71"/>
    <w:rsid w:val="00162830"/>
    <w:rsid w:val="00172759"/>
    <w:rsid w:val="00181329"/>
    <w:rsid w:val="00196277"/>
    <w:rsid w:val="001C2ED3"/>
    <w:rsid w:val="001C61DC"/>
    <w:rsid w:val="001D660F"/>
    <w:rsid w:val="001E2C27"/>
    <w:rsid w:val="001E3708"/>
    <w:rsid w:val="001E4A77"/>
    <w:rsid w:val="001E7A73"/>
    <w:rsid w:val="001F009E"/>
    <w:rsid w:val="002009F0"/>
    <w:rsid w:val="0021288B"/>
    <w:rsid w:val="00212EC1"/>
    <w:rsid w:val="00216E96"/>
    <w:rsid w:val="002223F8"/>
    <w:rsid w:val="0022435C"/>
    <w:rsid w:val="00225BFA"/>
    <w:rsid w:val="002327FA"/>
    <w:rsid w:val="00232A5C"/>
    <w:rsid w:val="00260B32"/>
    <w:rsid w:val="002619F0"/>
    <w:rsid w:val="00274578"/>
    <w:rsid w:val="0029187E"/>
    <w:rsid w:val="002A1766"/>
    <w:rsid w:val="002A2BE8"/>
    <w:rsid w:val="002A6F54"/>
    <w:rsid w:val="002B5B14"/>
    <w:rsid w:val="002C6CF6"/>
    <w:rsid w:val="002E700B"/>
    <w:rsid w:val="002F5374"/>
    <w:rsid w:val="002F5533"/>
    <w:rsid w:val="003012F3"/>
    <w:rsid w:val="00302EF7"/>
    <w:rsid w:val="003146C7"/>
    <w:rsid w:val="00314F9F"/>
    <w:rsid w:val="003150D3"/>
    <w:rsid w:val="00325963"/>
    <w:rsid w:val="00325BB9"/>
    <w:rsid w:val="003276D8"/>
    <w:rsid w:val="00332B0C"/>
    <w:rsid w:val="00333765"/>
    <w:rsid w:val="00335E7F"/>
    <w:rsid w:val="00337941"/>
    <w:rsid w:val="003418DE"/>
    <w:rsid w:val="0035787C"/>
    <w:rsid w:val="00360171"/>
    <w:rsid w:val="00376C6D"/>
    <w:rsid w:val="003827CC"/>
    <w:rsid w:val="00395ABF"/>
    <w:rsid w:val="003B6535"/>
    <w:rsid w:val="003B773C"/>
    <w:rsid w:val="003C2FA6"/>
    <w:rsid w:val="003D7C99"/>
    <w:rsid w:val="003F2367"/>
    <w:rsid w:val="0040033B"/>
    <w:rsid w:val="004056A3"/>
    <w:rsid w:val="00411836"/>
    <w:rsid w:val="004201D0"/>
    <w:rsid w:val="004233C4"/>
    <w:rsid w:val="00423BB2"/>
    <w:rsid w:val="004255C5"/>
    <w:rsid w:val="00431CE8"/>
    <w:rsid w:val="00446098"/>
    <w:rsid w:val="00450C47"/>
    <w:rsid w:val="00455C97"/>
    <w:rsid w:val="00460885"/>
    <w:rsid w:val="004615F9"/>
    <w:rsid w:val="00475FFA"/>
    <w:rsid w:val="004817E5"/>
    <w:rsid w:val="00483125"/>
    <w:rsid w:val="00484181"/>
    <w:rsid w:val="00492201"/>
    <w:rsid w:val="004A0D0D"/>
    <w:rsid w:val="004A3AB3"/>
    <w:rsid w:val="004B06DE"/>
    <w:rsid w:val="004B0D85"/>
    <w:rsid w:val="004B0DF2"/>
    <w:rsid w:val="004B4052"/>
    <w:rsid w:val="004B7118"/>
    <w:rsid w:val="004B7656"/>
    <w:rsid w:val="004C56A9"/>
    <w:rsid w:val="004D4C6B"/>
    <w:rsid w:val="004E68CD"/>
    <w:rsid w:val="004E6DFD"/>
    <w:rsid w:val="004F1180"/>
    <w:rsid w:val="00500F17"/>
    <w:rsid w:val="00504743"/>
    <w:rsid w:val="00505F2A"/>
    <w:rsid w:val="005229CC"/>
    <w:rsid w:val="00526867"/>
    <w:rsid w:val="0053191F"/>
    <w:rsid w:val="005348E9"/>
    <w:rsid w:val="00546199"/>
    <w:rsid w:val="00551700"/>
    <w:rsid w:val="005535F8"/>
    <w:rsid w:val="00555D4C"/>
    <w:rsid w:val="0057656F"/>
    <w:rsid w:val="00591C2A"/>
    <w:rsid w:val="005A7BA9"/>
    <w:rsid w:val="005C403D"/>
    <w:rsid w:val="005D06C3"/>
    <w:rsid w:val="005D4133"/>
    <w:rsid w:val="00603830"/>
    <w:rsid w:val="00634D45"/>
    <w:rsid w:val="00661CB9"/>
    <w:rsid w:val="006719F8"/>
    <w:rsid w:val="0067218C"/>
    <w:rsid w:val="0067359B"/>
    <w:rsid w:val="00676442"/>
    <w:rsid w:val="006823F0"/>
    <w:rsid w:val="00683AB0"/>
    <w:rsid w:val="00684C3D"/>
    <w:rsid w:val="00695426"/>
    <w:rsid w:val="00696C15"/>
    <w:rsid w:val="00700E5E"/>
    <w:rsid w:val="007029BD"/>
    <w:rsid w:val="00706C1F"/>
    <w:rsid w:val="00712345"/>
    <w:rsid w:val="00717340"/>
    <w:rsid w:val="007412A4"/>
    <w:rsid w:val="0074194F"/>
    <w:rsid w:val="007453BA"/>
    <w:rsid w:val="00775056"/>
    <w:rsid w:val="00775CB4"/>
    <w:rsid w:val="00783EDB"/>
    <w:rsid w:val="00795A6F"/>
    <w:rsid w:val="007A6183"/>
    <w:rsid w:val="007B0CC5"/>
    <w:rsid w:val="007B5168"/>
    <w:rsid w:val="007B5979"/>
    <w:rsid w:val="007D0C6A"/>
    <w:rsid w:val="007D495D"/>
    <w:rsid w:val="00800D9B"/>
    <w:rsid w:val="00807E23"/>
    <w:rsid w:val="008120F0"/>
    <w:rsid w:val="00812DAE"/>
    <w:rsid w:val="0081538E"/>
    <w:rsid w:val="0083565D"/>
    <w:rsid w:val="00836823"/>
    <w:rsid w:val="008377C5"/>
    <w:rsid w:val="00857731"/>
    <w:rsid w:val="00857ED3"/>
    <w:rsid w:val="008706C8"/>
    <w:rsid w:val="0087706A"/>
    <w:rsid w:val="00877A35"/>
    <w:rsid w:val="008929EB"/>
    <w:rsid w:val="008A17B7"/>
    <w:rsid w:val="008A2A06"/>
    <w:rsid w:val="008B0F4A"/>
    <w:rsid w:val="008B1729"/>
    <w:rsid w:val="008B1F3D"/>
    <w:rsid w:val="008B3283"/>
    <w:rsid w:val="008C1115"/>
    <w:rsid w:val="008D76B0"/>
    <w:rsid w:val="008E2F43"/>
    <w:rsid w:val="008E2FDE"/>
    <w:rsid w:val="008F0D0F"/>
    <w:rsid w:val="008F53DB"/>
    <w:rsid w:val="0091548E"/>
    <w:rsid w:val="00924B0D"/>
    <w:rsid w:val="0094160F"/>
    <w:rsid w:val="009621B1"/>
    <w:rsid w:val="00974498"/>
    <w:rsid w:val="00976708"/>
    <w:rsid w:val="00981A83"/>
    <w:rsid w:val="00987EE0"/>
    <w:rsid w:val="00994ACC"/>
    <w:rsid w:val="00994DD1"/>
    <w:rsid w:val="00995733"/>
    <w:rsid w:val="009A1F66"/>
    <w:rsid w:val="009B0A06"/>
    <w:rsid w:val="009B1B84"/>
    <w:rsid w:val="009B69F7"/>
    <w:rsid w:val="009D0891"/>
    <w:rsid w:val="009D0F83"/>
    <w:rsid w:val="009D3CCD"/>
    <w:rsid w:val="009D4DF6"/>
    <w:rsid w:val="009D7686"/>
    <w:rsid w:val="009E13A8"/>
    <w:rsid w:val="009E62DF"/>
    <w:rsid w:val="009E7491"/>
    <w:rsid w:val="009E7741"/>
    <w:rsid w:val="00A01C8A"/>
    <w:rsid w:val="00A0716E"/>
    <w:rsid w:val="00A13858"/>
    <w:rsid w:val="00A20247"/>
    <w:rsid w:val="00A20F00"/>
    <w:rsid w:val="00A305C1"/>
    <w:rsid w:val="00A3359F"/>
    <w:rsid w:val="00A376AB"/>
    <w:rsid w:val="00A40937"/>
    <w:rsid w:val="00A4454F"/>
    <w:rsid w:val="00A7269E"/>
    <w:rsid w:val="00A96C1B"/>
    <w:rsid w:val="00A97C13"/>
    <w:rsid w:val="00AA1AB0"/>
    <w:rsid w:val="00AB6AD1"/>
    <w:rsid w:val="00AC30E3"/>
    <w:rsid w:val="00AC741F"/>
    <w:rsid w:val="00AD298E"/>
    <w:rsid w:val="00AD31E7"/>
    <w:rsid w:val="00AE122B"/>
    <w:rsid w:val="00AF61F9"/>
    <w:rsid w:val="00B07E30"/>
    <w:rsid w:val="00B16AB7"/>
    <w:rsid w:val="00B31F61"/>
    <w:rsid w:val="00B62C37"/>
    <w:rsid w:val="00B81E73"/>
    <w:rsid w:val="00B87288"/>
    <w:rsid w:val="00B9563C"/>
    <w:rsid w:val="00B97432"/>
    <w:rsid w:val="00BB1C76"/>
    <w:rsid w:val="00BB4C05"/>
    <w:rsid w:val="00BD5A82"/>
    <w:rsid w:val="00BE0173"/>
    <w:rsid w:val="00BF1D87"/>
    <w:rsid w:val="00C15429"/>
    <w:rsid w:val="00C15618"/>
    <w:rsid w:val="00C1720E"/>
    <w:rsid w:val="00C20B3F"/>
    <w:rsid w:val="00C277B2"/>
    <w:rsid w:val="00C27B3D"/>
    <w:rsid w:val="00C52742"/>
    <w:rsid w:val="00C53CA3"/>
    <w:rsid w:val="00C7369A"/>
    <w:rsid w:val="00C91F6A"/>
    <w:rsid w:val="00C958FD"/>
    <w:rsid w:val="00CA1862"/>
    <w:rsid w:val="00CA78F7"/>
    <w:rsid w:val="00CC0BE2"/>
    <w:rsid w:val="00CC2C49"/>
    <w:rsid w:val="00CC3D65"/>
    <w:rsid w:val="00CC7D67"/>
    <w:rsid w:val="00CE17B6"/>
    <w:rsid w:val="00CF2090"/>
    <w:rsid w:val="00CF7C8E"/>
    <w:rsid w:val="00D008C8"/>
    <w:rsid w:val="00D05997"/>
    <w:rsid w:val="00D103FC"/>
    <w:rsid w:val="00D22632"/>
    <w:rsid w:val="00D22D44"/>
    <w:rsid w:val="00D4381F"/>
    <w:rsid w:val="00D51256"/>
    <w:rsid w:val="00D577AE"/>
    <w:rsid w:val="00D60945"/>
    <w:rsid w:val="00D7078D"/>
    <w:rsid w:val="00DA569D"/>
    <w:rsid w:val="00DB17E0"/>
    <w:rsid w:val="00DD39AE"/>
    <w:rsid w:val="00DE3B6F"/>
    <w:rsid w:val="00E1485E"/>
    <w:rsid w:val="00E14D90"/>
    <w:rsid w:val="00E278D9"/>
    <w:rsid w:val="00E457A2"/>
    <w:rsid w:val="00E51992"/>
    <w:rsid w:val="00E5780A"/>
    <w:rsid w:val="00E709D2"/>
    <w:rsid w:val="00E75437"/>
    <w:rsid w:val="00E77508"/>
    <w:rsid w:val="00E77FA8"/>
    <w:rsid w:val="00E81669"/>
    <w:rsid w:val="00E932E4"/>
    <w:rsid w:val="00EA114A"/>
    <w:rsid w:val="00EA31CF"/>
    <w:rsid w:val="00EC345E"/>
    <w:rsid w:val="00ED3DE3"/>
    <w:rsid w:val="00EE4FBC"/>
    <w:rsid w:val="00EF2808"/>
    <w:rsid w:val="00F065A8"/>
    <w:rsid w:val="00F224C0"/>
    <w:rsid w:val="00F25C5C"/>
    <w:rsid w:val="00F400C5"/>
    <w:rsid w:val="00F43033"/>
    <w:rsid w:val="00F50A48"/>
    <w:rsid w:val="00F57A6F"/>
    <w:rsid w:val="00F607D5"/>
    <w:rsid w:val="00F63ADE"/>
    <w:rsid w:val="00F726F0"/>
    <w:rsid w:val="00F74586"/>
    <w:rsid w:val="00F91A9E"/>
    <w:rsid w:val="00F96D9E"/>
    <w:rsid w:val="00FA0CB3"/>
    <w:rsid w:val="00FA5421"/>
    <w:rsid w:val="00FB2C9F"/>
    <w:rsid w:val="00FB6DCF"/>
    <w:rsid w:val="00FC517A"/>
    <w:rsid w:val="00FC620A"/>
    <w:rsid w:val="00FD1AF0"/>
    <w:rsid w:val="00FD32D0"/>
    <w:rsid w:val="00FD65D8"/>
    <w:rsid w:val="00FD6D54"/>
    <w:rsid w:val="00FE7A6A"/>
    <w:rsid w:val="00FF56AC"/>
    <w:rsid w:val="02CB11E2"/>
    <w:rsid w:val="03580639"/>
    <w:rsid w:val="05152799"/>
    <w:rsid w:val="05CA065C"/>
    <w:rsid w:val="068170DA"/>
    <w:rsid w:val="0682494D"/>
    <w:rsid w:val="08EB3BC1"/>
    <w:rsid w:val="090C19C5"/>
    <w:rsid w:val="096C710F"/>
    <w:rsid w:val="0AC12735"/>
    <w:rsid w:val="0C45482F"/>
    <w:rsid w:val="0D155953"/>
    <w:rsid w:val="0EC15EA1"/>
    <w:rsid w:val="0F21590F"/>
    <w:rsid w:val="0F4D6327"/>
    <w:rsid w:val="10A17239"/>
    <w:rsid w:val="11FD278A"/>
    <w:rsid w:val="12FF1A5D"/>
    <w:rsid w:val="148567E1"/>
    <w:rsid w:val="14981BF3"/>
    <w:rsid w:val="179B0E21"/>
    <w:rsid w:val="17F5533A"/>
    <w:rsid w:val="184B654B"/>
    <w:rsid w:val="1A3B588C"/>
    <w:rsid w:val="1B806481"/>
    <w:rsid w:val="1C151D00"/>
    <w:rsid w:val="1C560324"/>
    <w:rsid w:val="1F552410"/>
    <w:rsid w:val="1F762998"/>
    <w:rsid w:val="1FB8276A"/>
    <w:rsid w:val="1FE06FC5"/>
    <w:rsid w:val="217375A7"/>
    <w:rsid w:val="2288092C"/>
    <w:rsid w:val="261E30F5"/>
    <w:rsid w:val="269F21B3"/>
    <w:rsid w:val="26E248E1"/>
    <w:rsid w:val="27E72C57"/>
    <w:rsid w:val="28A55663"/>
    <w:rsid w:val="2BDF4BAB"/>
    <w:rsid w:val="2BEE231D"/>
    <w:rsid w:val="2C5D7823"/>
    <w:rsid w:val="317A5873"/>
    <w:rsid w:val="3239354B"/>
    <w:rsid w:val="32933011"/>
    <w:rsid w:val="35DB2BB1"/>
    <w:rsid w:val="36010000"/>
    <w:rsid w:val="365F31D0"/>
    <w:rsid w:val="3AF30A31"/>
    <w:rsid w:val="3BEA7548"/>
    <w:rsid w:val="3C047A5F"/>
    <w:rsid w:val="3C623241"/>
    <w:rsid w:val="3CD908B2"/>
    <w:rsid w:val="3CE77C84"/>
    <w:rsid w:val="3E090419"/>
    <w:rsid w:val="40FA3339"/>
    <w:rsid w:val="412C5E73"/>
    <w:rsid w:val="41D90C62"/>
    <w:rsid w:val="42CA0C99"/>
    <w:rsid w:val="435A64C8"/>
    <w:rsid w:val="466869AE"/>
    <w:rsid w:val="46C97A46"/>
    <w:rsid w:val="47454441"/>
    <w:rsid w:val="48934ED8"/>
    <w:rsid w:val="48BB40CE"/>
    <w:rsid w:val="498C2CD1"/>
    <w:rsid w:val="4A475353"/>
    <w:rsid w:val="4AA557FB"/>
    <w:rsid w:val="4B1C7C14"/>
    <w:rsid w:val="4BC9623B"/>
    <w:rsid w:val="4CC46003"/>
    <w:rsid w:val="4D3978B4"/>
    <w:rsid w:val="4DD06A98"/>
    <w:rsid w:val="4F660120"/>
    <w:rsid w:val="507E219D"/>
    <w:rsid w:val="5182670D"/>
    <w:rsid w:val="51AB1A27"/>
    <w:rsid w:val="530D7EAB"/>
    <w:rsid w:val="53F32486"/>
    <w:rsid w:val="5468666B"/>
    <w:rsid w:val="546F4E09"/>
    <w:rsid w:val="54EC73D3"/>
    <w:rsid w:val="56086157"/>
    <w:rsid w:val="57415A7B"/>
    <w:rsid w:val="57C509BB"/>
    <w:rsid w:val="58443C2C"/>
    <w:rsid w:val="5979568C"/>
    <w:rsid w:val="59FD69C2"/>
    <w:rsid w:val="5A1705D7"/>
    <w:rsid w:val="5B420D97"/>
    <w:rsid w:val="5BB03E9E"/>
    <w:rsid w:val="5BD614A4"/>
    <w:rsid w:val="5CDC4289"/>
    <w:rsid w:val="5D4B0107"/>
    <w:rsid w:val="5D725B3A"/>
    <w:rsid w:val="5F551861"/>
    <w:rsid w:val="60372741"/>
    <w:rsid w:val="62B43446"/>
    <w:rsid w:val="63630847"/>
    <w:rsid w:val="64DF6F80"/>
    <w:rsid w:val="66B45200"/>
    <w:rsid w:val="673D09DD"/>
    <w:rsid w:val="674620E5"/>
    <w:rsid w:val="686E65C8"/>
    <w:rsid w:val="6AA20FD8"/>
    <w:rsid w:val="6BA027C4"/>
    <w:rsid w:val="6C3B0DC6"/>
    <w:rsid w:val="6DC42B97"/>
    <w:rsid w:val="6E08741A"/>
    <w:rsid w:val="6E140C70"/>
    <w:rsid w:val="6E5A4CD5"/>
    <w:rsid w:val="6F95239F"/>
    <w:rsid w:val="738A0A99"/>
    <w:rsid w:val="745870AD"/>
    <w:rsid w:val="74FA5FFC"/>
    <w:rsid w:val="750C730E"/>
    <w:rsid w:val="75EF6AE7"/>
    <w:rsid w:val="77310923"/>
    <w:rsid w:val="78053C94"/>
    <w:rsid w:val="78AB7F5A"/>
    <w:rsid w:val="79096426"/>
    <w:rsid w:val="795F74F8"/>
    <w:rsid w:val="7B4171C0"/>
    <w:rsid w:val="7CF53A57"/>
    <w:rsid w:val="7EEA12E7"/>
    <w:rsid w:val="7F4629DB"/>
    <w:rsid w:val="7F477A7F"/>
    <w:rsid w:val="7FC315A4"/>
    <w:rsid w:val="7FCB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iPriority="99"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annotation text"/>
    <w:basedOn w:val="1"/>
    <w:link w:val="25"/>
    <w:semiHidden/>
    <w:unhideWhenUsed/>
    <w:qFormat/>
    <w:uiPriority w:val="99"/>
  </w:style>
  <w:style w:type="paragraph" w:styleId="4">
    <w:name w:val="Body Text"/>
    <w:link w:val="20"/>
    <w:qFormat/>
    <w:uiPriority w:val="0"/>
    <w:pPr>
      <w:widowControl w:val="0"/>
      <w:autoSpaceDE w:val="0"/>
      <w:autoSpaceDN w:val="0"/>
    </w:pPr>
    <w:rPr>
      <w:rFonts w:ascii="仿宋_GB2312" w:hAnsi="仿宋_GB2312" w:eastAsia="宋体" w:cs="仿宋_GB2312"/>
      <w:sz w:val="22"/>
      <w:szCs w:val="32"/>
      <w:lang w:val="en-US" w:eastAsia="en-US" w:bidi="ar-SA"/>
    </w:rPr>
  </w:style>
  <w:style w:type="paragraph" w:styleId="5">
    <w:name w:val="Date"/>
    <w:basedOn w:val="1"/>
    <w:next w:val="1"/>
    <w:link w:val="23"/>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21"/>
    <w:unhideWhenUsed/>
    <w:qFormat/>
    <w:uiPriority w:val="0"/>
    <w:pPr>
      <w:widowControl w:val="0"/>
      <w:tabs>
        <w:tab w:val="center" w:pos="4153"/>
        <w:tab w:val="right" w:pos="8306"/>
      </w:tabs>
      <w:snapToGrid w:val="0"/>
    </w:pPr>
    <w:rPr>
      <w:rFonts w:ascii="Times New Roman" w:hAnsi="Times New Roman" w:cs="Times New Roman"/>
      <w:kern w:val="2"/>
      <w:sz w:val="18"/>
      <w:szCs w:val="20"/>
    </w:rPr>
  </w:style>
  <w:style w:type="paragraph" w:styleId="8">
    <w:name w:val="footnote text"/>
    <w:basedOn w:val="1"/>
    <w:link w:val="22"/>
    <w:semiHidden/>
    <w:unhideWhenUsed/>
    <w:qFormat/>
    <w:uiPriority w:val="99"/>
    <w:pPr>
      <w:widowControl w:val="0"/>
      <w:snapToGrid w:val="0"/>
    </w:pPr>
    <w:rPr>
      <w:rFonts w:ascii="Times New Roman" w:hAnsi="Times New Roman" w:cs="Times New Roman"/>
      <w:kern w:val="2"/>
      <w:sz w:val="18"/>
      <w:szCs w:val="18"/>
    </w:rPr>
  </w:style>
  <w:style w:type="paragraph" w:styleId="9">
    <w:name w:val="Normal (Web)"/>
    <w:basedOn w:val="1"/>
    <w:unhideWhenUsed/>
    <w:qFormat/>
    <w:uiPriority w:val="99"/>
    <w:pPr>
      <w:spacing w:before="100" w:beforeAutospacing="1" w:after="100" w:afterAutospacing="1"/>
    </w:pPr>
  </w:style>
  <w:style w:type="paragraph" w:styleId="10">
    <w:name w:val="annotation subject"/>
    <w:basedOn w:val="3"/>
    <w:next w:val="3"/>
    <w:link w:val="26"/>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qFormat/>
    <w:uiPriority w:val="0"/>
  </w:style>
  <w:style w:type="character" w:styleId="15">
    <w:name w:val="annotation reference"/>
    <w:basedOn w:val="13"/>
    <w:semiHidden/>
    <w:unhideWhenUsed/>
    <w:qFormat/>
    <w:uiPriority w:val="99"/>
    <w:rPr>
      <w:sz w:val="21"/>
      <w:szCs w:val="21"/>
    </w:rPr>
  </w:style>
  <w:style w:type="character" w:styleId="16">
    <w:name w:val="footnote reference"/>
    <w:basedOn w:val="13"/>
    <w:semiHidden/>
    <w:unhideWhenUsed/>
    <w:qFormat/>
    <w:uiPriority w:val="99"/>
    <w:rPr>
      <w:vertAlign w:val="superscript"/>
    </w:rPr>
  </w:style>
  <w:style w:type="paragraph" w:customStyle="1" w:styleId="17">
    <w:name w:val="msonormal"/>
    <w:basedOn w:val="1"/>
    <w:qFormat/>
    <w:uiPriority w:val="0"/>
    <w:pPr>
      <w:spacing w:before="100" w:beforeAutospacing="1" w:after="100" w:afterAutospacing="1"/>
    </w:pPr>
  </w:style>
  <w:style w:type="paragraph" w:styleId="18">
    <w:name w:val="List Paragraph"/>
    <w:basedOn w:val="1"/>
    <w:qFormat/>
    <w:uiPriority w:val="34"/>
    <w:pPr>
      <w:widowControl w:val="0"/>
      <w:spacing w:line="560" w:lineRule="exact"/>
      <w:ind w:firstLine="420" w:firstLineChars="200"/>
      <w:jc w:val="both"/>
    </w:pPr>
    <w:rPr>
      <w:rFonts w:ascii="仿宋_GB2312" w:eastAsia="仿宋_GB2312" w:hAnsiTheme="minorHAnsi" w:cstheme="minorBidi"/>
      <w:kern w:val="2"/>
      <w:sz w:val="32"/>
      <w:szCs w:val="32"/>
    </w:rPr>
  </w:style>
  <w:style w:type="character" w:customStyle="1" w:styleId="19">
    <w:name w:val="批注框文本 字符"/>
    <w:basedOn w:val="13"/>
    <w:link w:val="6"/>
    <w:semiHidden/>
    <w:qFormat/>
    <w:uiPriority w:val="99"/>
    <w:rPr>
      <w:rFonts w:ascii="宋体" w:hAnsi="宋体" w:eastAsia="宋体" w:cs="宋体"/>
      <w:sz w:val="18"/>
      <w:szCs w:val="18"/>
    </w:rPr>
  </w:style>
  <w:style w:type="character" w:customStyle="1" w:styleId="20">
    <w:name w:val="正文文本 字符"/>
    <w:basedOn w:val="13"/>
    <w:link w:val="4"/>
    <w:qFormat/>
    <w:uiPriority w:val="0"/>
    <w:rPr>
      <w:rFonts w:ascii="仿宋_GB2312" w:hAnsi="仿宋_GB2312" w:eastAsia="宋体" w:cs="仿宋_GB2312"/>
      <w:sz w:val="22"/>
      <w:szCs w:val="32"/>
      <w:lang w:eastAsia="en-US"/>
    </w:rPr>
  </w:style>
  <w:style w:type="character" w:customStyle="1" w:styleId="21">
    <w:name w:val="页脚 字符"/>
    <w:basedOn w:val="13"/>
    <w:link w:val="7"/>
    <w:qFormat/>
    <w:uiPriority w:val="0"/>
    <w:rPr>
      <w:rFonts w:eastAsia="宋体"/>
      <w:kern w:val="2"/>
      <w:sz w:val="18"/>
    </w:rPr>
  </w:style>
  <w:style w:type="character" w:customStyle="1" w:styleId="22">
    <w:name w:val="脚注文本 字符"/>
    <w:basedOn w:val="13"/>
    <w:link w:val="8"/>
    <w:semiHidden/>
    <w:qFormat/>
    <w:uiPriority w:val="99"/>
    <w:rPr>
      <w:rFonts w:eastAsia="宋体"/>
      <w:kern w:val="2"/>
      <w:sz w:val="18"/>
      <w:szCs w:val="18"/>
    </w:rPr>
  </w:style>
  <w:style w:type="character" w:customStyle="1" w:styleId="23">
    <w:name w:val="日期 字符"/>
    <w:basedOn w:val="13"/>
    <w:link w:val="5"/>
    <w:semiHidden/>
    <w:qFormat/>
    <w:uiPriority w:val="99"/>
    <w:rPr>
      <w:rFonts w:ascii="宋体" w:hAnsi="宋体" w:eastAsia="宋体" w:cs="宋体"/>
      <w:sz w:val="24"/>
      <w:szCs w:val="24"/>
    </w:rPr>
  </w:style>
  <w:style w:type="character" w:styleId="24">
    <w:name w:val="Placeholder Text"/>
    <w:basedOn w:val="13"/>
    <w:semiHidden/>
    <w:qFormat/>
    <w:uiPriority w:val="99"/>
    <w:rPr>
      <w:color w:val="808080"/>
    </w:rPr>
  </w:style>
  <w:style w:type="character" w:customStyle="1" w:styleId="25">
    <w:name w:val="批注文字 字符"/>
    <w:basedOn w:val="13"/>
    <w:link w:val="3"/>
    <w:semiHidden/>
    <w:qFormat/>
    <w:uiPriority w:val="99"/>
    <w:rPr>
      <w:rFonts w:ascii="宋体" w:hAnsi="宋体" w:eastAsia="宋体" w:cs="宋体"/>
      <w:sz w:val="24"/>
      <w:szCs w:val="24"/>
    </w:rPr>
  </w:style>
  <w:style w:type="character" w:customStyle="1" w:styleId="26">
    <w:name w:val="批注主题 字符"/>
    <w:basedOn w:val="25"/>
    <w:link w:val="10"/>
    <w:semiHidden/>
    <w:qFormat/>
    <w:uiPriority w:val="99"/>
    <w:rPr>
      <w:rFonts w:ascii="宋体" w:hAnsi="宋体" w:eastAsia="宋体" w:cs="宋体"/>
      <w:b/>
      <w:bCs/>
      <w:sz w:val="24"/>
      <w:szCs w:val="24"/>
    </w:rPr>
  </w:style>
  <w:style w:type="paragraph" w:customStyle="1" w:styleId="27">
    <w:name w:val="修订1"/>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7C5210-C9F5-4D25-B1E2-83263957C45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897</Words>
  <Characters>5117</Characters>
  <Lines>42</Lines>
  <Paragraphs>12</Paragraphs>
  <TotalTime>1</TotalTime>
  <ScaleCrop>false</ScaleCrop>
  <LinksUpToDate>false</LinksUpToDate>
  <CharactersWithSpaces>6002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2020-11-18T14:47:00Z</dcterms:created>
  <dc:creator>Hassan Chan</dc:creator>
  <cp:lastModifiedBy>陈海涵</cp:lastModifiedBy>
  <cp:lastPrinted>2020-12-29T04:49:00Z</cp:lastPrinted>
  <dcterms:modified xsi:type="dcterms:W3CDTF">2020-12-29T07:15:20Z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