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2" w:name="_GoBack"/>
      <w:bookmarkEnd w:id="2"/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24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bidi="ar"/>
        </w:rPr>
        <w:t>关于宝安、光明区电动二轮车通行管理方案社会公开征求意见反馈情况的说明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规范我市电动二轮车管理、解决电动二轮车管理难题，结合我市电动二轮车备案试点工作实际，深圳交警起草《深圳市公安局交通警察局关于调整宝安、光明区电动二轮车通行管理的通告（征求意见稿）》，并于2020年6月12日至6月22日公示，向社会公开征求意见。截止2020年6月22日，我局通过电话、传真、电子邮件、门户网站等方式共收到反馈意见573条，其中包括调查问卷430份。现将征求意见反馈情况说明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1、约六成市民</w:t>
      </w:r>
      <w:bookmarkStart w:id="0" w:name="_Hlk43764653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对科学、合理设置电动二轮车禁行道路</w:t>
      </w:r>
      <w:bookmarkEnd w:id="0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持赞同态度。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据调查，约58%的市民支持在满足市民出行需求前提下，科学合理设置禁行道路；40%的市民认为应该全部道路允许电动二轮车通行；仅2%的市民认为电动二轮车应当在全部道路禁止通行。</w:t>
      </w:r>
    </w:p>
    <w:p>
      <w:pPr>
        <w:widowControl/>
        <w:spacing w:before="156" w:beforeLines="50" w:line="360" w:lineRule="auto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drawing>
          <wp:inline distT="0" distB="0" distL="0" distR="0">
            <wp:extent cx="5274310" cy="2125345"/>
            <wp:effectExtent l="0" t="0" r="2540" b="825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widowControl/>
        <w:spacing w:before="156" w:beforeLines="50" w:line="360" w:lineRule="auto"/>
        <w:jc w:val="center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图1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</w:rPr>
        <w:t>市民对电动二轮车通行管理政策态度分布图</w:t>
      </w:r>
    </w:p>
    <w:p>
      <w:pPr>
        <w:widowControl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2、基于对机动车流量大、车速快、非机动车道设施不完善等风险因素的考虑，市民对部分路段提出希望纳入电动二轮车禁止通行道路的建议。</w:t>
      </w:r>
    </w:p>
    <w:p>
      <w:pPr>
        <w:widowControl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（1）高、快速路/隧道、桥梁路段/机场周边道路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部分市民认为高、快速路由于车流量过大、封闭管理等因素，不适宜电动二轮车行驶；隧道、桥梁路段由于没有非机动车道，骑行电动二轮车过于危险；出于城市形象考虑，机场周边道路应当禁行电动二轮车。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以上建议均已采纳，详见附件1。</w:t>
      </w:r>
    </w:p>
    <w:p>
      <w:pPr>
        <w:widowControl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（2）机动车流量大、车速快的路段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分市民提出宝安大道（不含辅道）、107国道（不含辅道）、松白路、静宁路、公常路、公园路、前进一路、创业一路、公明北环、宝石路、前进二路由于机动车流量大、车速快，希望上述道路禁止通行电动二轮车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其中，107国道（不含辅道）、前进一路、宝石路（不含辅道）已列入宝安区电动二轮车禁行道路（详见附件1）。宝安大道、松白路、静宁路、公常路、公园路、创业一路、公明北环、宝石路辅道、前进二路现有非机动车道设施完善，可供电动二轮车骑行，暂不考虑列为禁行道路。</w:t>
      </w:r>
    </w:p>
    <w:p>
      <w:pPr>
        <w:widowControl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（3）非机动车道设施不完善的路段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包括振明路、民生大道。上述道路经调查，设置有人非共板型非机动车道，具备电动二轮车通行条件，暂不考虑列为禁行道路。</w:t>
      </w:r>
    </w:p>
    <w:p>
      <w:pPr>
        <w:widowControl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（4）非机动车违法行为频发的路段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民提出新湖路附近商业综合体林立，人流量大，外卖电动二轮车逆行、闯红灯违法行为频发，建议列为禁行道路。考虑到新湖路非机动车道设施完善，为保障民生基本需求，暂不考虑列为禁行道路。下一步我局将加大对电动二轮车违法行为的打击力度，营造安全、有序的出行环境。</w:t>
      </w:r>
    </w:p>
    <w:p>
      <w:pPr>
        <w:widowControl/>
        <w:spacing w:before="156" w:beforeLines="50" w:line="360" w:lineRule="auto"/>
        <w:jc w:val="center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表1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</w:rPr>
        <w:t>建议新增列入电动二轮车禁止通行范围的道路类型</w:t>
      </w:r>
    </w:p>
    <w:tbl>
      <w:tblPr>
        <w:tblStyle w:val="7"/>
        <w:tblW w:w="75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643"/>
        <w:gridCol w:w="1287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6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道路类型</w:t>
            </w:r>
          </w:p>
        </w:tc>
        <w:tc>
          <w:tcPr>
            <w:tcW w:w="1287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提及频次</w:t>
            </w:r>
          </w:p>
        </w:tc>
        <w:tc>
          <w:tcPr>
            <w:tcW w:w="2824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原因说明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6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高、快速路</w:t>
            </w:r>
          </w:p>
        </w:tc>
        <w:tc>
          <w:tcPr>
            <w:tcW w:w="1287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2824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车流量过大、封闭管理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6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隧道、桥梁路段</w:t>
            </w:r>
          </w:p>
        </w:tc>
        <w:tc>
          <w:tcPr>
            <w:tcW w:w="1287" w:type="dxa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824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没有非机动车道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6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机场周边道路</w:t>
            </w:r>
          </w:p>
        </w:tc>
        <w:tc>
          <w:tcPr>
            <w:tcW w:w="1287" w:type="dxa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24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代表城市形象</w:t>
            </w:r>
          </w:p>
        </w:tc>
      </w:tr>
    </w:tbl>
    <w:p>
      <w:pPr>
        <w:widowControl/>
        <w:spacing w:before="156" w:beforeLines="50" w:line="360" w:lineRule="auto"/>
        <w:jc w:val="center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表</w:t>
      </w:r>
      <w:r>
        <w:rPr>
          <w:rFonts w:ascii="仿宋" w:hAnsi="仿宋" w:eastAsia="仿宋" w:cs="宋体"/>
          <w:kern w:val="0"/>
          <w:sz w:val="28"/>
          <w:szCs w:val="28"/>
        </w:rPr>
        <w:t xml:space="preserve">2 </w:t>
      </w:r>
      <w:r>
        <w:rPr>
          <w:rFonts w:hint="eastAsia" w:ascii="仿宋" w:hAnsi="仿宋" w:eastAsia="仿宋" w:cs="宋体"/>
          <w:kern w:val="0"/>
          <w:sz w:val="28"/>
          <w:szCs w:val="28"/>
        </w:rPr>
        <w:t>建议新增列入电动二轮车禁止通行范围的具体道路</w:t>
      </w:r>
    </w:p>
    <w:tbl>
      <w:tblPr>
        <w:tblStyle w:val="7"/>
        <w:tblW w:w="75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643"/>
        <w:gridCol w:w="1287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6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路名</w:t>
            </w:r>
          </w:p>
        </w:tc>
        <w:tc>
          <w:tcPr>
            <w:tcW w:w="1287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提及频次</w:t>
            </w:r>
          </w:p>
        </w:tc>
        <w:tc>
          <w:tcPr>
            <w:tcW w:w="2824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原因说明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6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宝安大道（不含辅道）</w:t>
            </w:r>
          </w:p>
        </w:tc>
        <w:tc>
          <w:tcPr>
            <w:tcW w:w="1287" w:type="dxa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824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机动车流量大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6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107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国道（不含辅道）</w:t>
            </w:r>
          </w:p>
        </w:tc>
        <w:tc>
          <w:tcPr>
            <w:tcW w:w="1287" w:type="dxa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824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机动车车速快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6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松白路</w:t>
            </w:r>
          </w:p>
        </w:tc>
        <w:tc>
          <w:tcPr>
            <w:tcW w:w="1287" w:type="dxa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824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机动车流量大、车速快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6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振明路</w:t>
            </w:r>
          </w:p>
        </w:tc>
        <w:tc>
          <w:tcPr>
            <w:tcW w:w="1287" w:type="dxa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24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非机动车道设施不完善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6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民生大道</w:t>
            </w:r>
          </w:p>
        </w:tc>
        <w:tc>
          <w:tcPr>
            <w:tcW w:w="1287" w:type="dxa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24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非机动车道设施不完善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6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静宁路</w:t>
            </w:r>
          </w:p>
        </w:tc>
        <w:tc>
          <w:tcPr>
            <w:tcW w:w="1287" w:type="dxa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24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机动车流量大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6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公常路</w:t>
            </w:r>
          </w:p>
        </w:tc>
        <w:tc>
          <w:tcPr>
            <w:tcW w:w="1287" w:type="dxa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24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机动车流量大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6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公园路</w:t>
            </w:r>
          </w:p>
        </w:tc>
        <w:tc>
          <w:tcPr>
            <w:tcW w:w="1287" w:type="dxa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24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机动车流量大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6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前进一路</w:t>
            </w:r>
          </w:p>
        </w:tc>
        <w:tc>
          <w:tcPr>
            <w:tcW w:w="1287" w:type="dxa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24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高峰期机动车流量大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创业一路</w:t>
            </w:r>
          </w:p>
        </w:tc>
        <w:tc>
          <w:tcPr>
            <w:tcW w:w="1287" w:type="dxa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24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机动车流量大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公明北环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24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 xml:space="preserve">机动车流量大、车速快， </w:t>
            </w: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大货车占比高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6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宝石路</w:t>
            </w:r>
          </w:p>
        </w:tc>
        <w:tc>
          <w:tcPr>
            <w:tcW w:w="1287" w:type="dxa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24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机动车流量大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6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前进二路</w:t>
            </w:r>
          </w:p>
        </w:tc>
        <w:tc>
          <w:tcPr>
            <w:tcW w:w="1287" w:type="dxa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24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机动车流量大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新湖路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24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商圈附近人流量大，外卖车辆逆行、闯红灯多</w:t>
            </w:r>
          </w:p>
        </w:tc>
      </w:tr>
    </w:tbl>
    <w:p>
      <w:pPr>
        <w:widowControl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</w:p>
    <w:p>
      <w:pPr>
        <w:widowControl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3、基于对通勤、方便出行等需求的考虑，市民对部分路段提出希望允许电动二轮车通行的建议。</w:t>
      </w:r>
    </w:p>
    <w:p>
      <w:pPr>
        <w:widowControl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（1）通行需求明显的路段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出于满足通勤需求的考虑，部分市民建议南环路、锦程路、松福大道、芙蓉路、留仙二路、西乡大道、福洲大道洲石段应当允许电动二轮车通行。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其中，西乡大道未列入宝安区电动二轮车禁行道路（详见附件1）。南环路、锦程路、松福大道、芙蓉路、留仙二路、福洲大道洲石段由于现有非机动车道设施不完善，不具备电动二轮车通行条件，列为禁行道路。下一步市政府将积极协调相关部门，持续加大非机动车道建设力度，完善非机动车道网络建设。</w:t>
      </w:r>
    </w:p>
    <w:p>
      <w:pPr>
        <w:widowControl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（2）难以绕行的路段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分市民提出洲石玉支线、松岗大道、宝安大道、前进一路、107国道、洲石路、凤凰立交、根玉路、石岩外环路、宝石东路、宝石南路、石岩大道、创业一路、创业二路、新桥立交、东方大道-107国道上跨、机场南路由于绕行距离过长或无绕行道路，不应列为电动二轮车禁行道路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其中，宝安大道、洲石路、根玉路、宝石东路、宝石南路、石岩大道、创业一路、创业二路未列入宝安、光明区电动二轮车禁行道路（详见附件1）。根据松岗大道、前进一路、107国道、凤凰立交、新桥立交、东方大道-107国道上跨绕行方案（详见附件3 第5章），绕行距离均可控制在1公里以内，处于可接受范围内。石岩外环路可乘坐公交线路m257路、高峰专线145路、b986路。洲石玉支线暂无绕行路线，下一步市政府将积极协调相关部门，增设公交服务供给，以满足市民出行需求。机场南路属于快速路，根据法律规定，禁止行驶电动二轮车。</w:t>
      </w:r>
    </w:p>
    <w:p>
      <w:pPr>
        <w:widowControl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（3）具备条件增设非机动车道的路段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部分市民提出松白路、黄埔路、宝石路、沙井立交、南环立交、东长路、重庆路、光明大道可以通过完善辅道设施、利用现有路宽或结合绿道设施增设独立非机动车道，允许电动二轮车行驶。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其中，松白路、重庆路、光明大道未列入宝安、光明区电动二轮车禁行道路（详见附件1）。黄埔路现有非机动车道设施不完善，不具备电动二轮车通行条件。宝石路辅道可供电动二轮车通行，出于安全因素考虑将主道列为电动二轮车禁行道路。东长路除隧道段均可行驶电动二轮车，考虑到隧道道路条件，不建议市民在隧道内骑行电动自行车。沙井立交、南环立交均为立交路段，不具备电动二轮车通行条件，建议市民绕行沙井立交人行天桥和南环立交人行天桥。</w:t>
      </w:r>
    </w:p>
    <w:p>
      <w:pPr>
        <w:widowControl/>
        <w:spacing w:before="156" w:beforeLines="50" w:line="360" w:lineRule="auto"/>
        <w:jc w:val="center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表</w:t>
      </w:r>
      <w:r>
        <w:rPr>
          <w:rFonts w:ascii="仿宋" w:hAnsi="仿宋" w:eastAsia="仿宋" w:cs="宋体"/>
          <w:kern w:val="0"/>
          <w:sz w:val="28"/>
          <w:szCs w:val="28"/>
        </w:rPr>
        <w:t xml:space="preserve">3 </w:t>
      </w:r>
      <w:r>
        <w:rPr>
          <w:rFonts w:hint="eastAsia" w:ascii="仿宋" w:hAnsi="仿宋" w:eastAsia="仿宋" w:cs="宋体"/>
          <w:kern w:val="0"/>
          <w:sz w:val="28"/>
          <w:szCs w:val="28"/>
        </w:rPr>
        <w:t>建议不应列入电动二轮车禁止通行范围的道路</w:t>
      </w:r>
    </w:p>
    <w:tbl>
      <w:tblPr>
        <w:tblStyle w:val="7"/>
        <w:tblW w:w="81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43"/>
        <w:gridCol w:w="1182"/>
        <w:gridCol w:w="4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70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路名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提及频次</w:t>
            </w:r>
          </w:p>
        </w:tc>
        <w:tc>
          <w:tcPr>
            <w:tcW w:w="4378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原因说明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南环路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4378" w:type="dxa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满足通勤需求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洲石玉支线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</w:t>
            </w: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378" w:type="dxa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料坑至玉律唯一通行路径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松岗大道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</w:t>
            </w: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378" w:type="dxa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绕行距离过长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宝安大道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378" w:type="dxa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绕行距离过长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锦程路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378" w:type="dxa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满足通勤需求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松福大道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378" w:type="dxa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满足通勤需求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松白路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378" w:type="dxa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可结合已有绿道设置非机动车道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前进一路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378" w:type="dxa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绕行距离过长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芙蓉路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378" w:type="dxa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满足通勤需求，现有非机动车道设施完善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</w:t>
            </w: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黄埔路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378" w:type="dxa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可利用现有路宽，增加独立非机动车道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107国道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378" w:type="dxa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绕行距离过长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留仙二路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378" w:type="dxa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满足通勤需求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宝石路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378" w:type="dxa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可结合已有绿道设置非机动车道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洲石路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378" w:type="dxa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绕行距离过长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沙井立交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378" w:type="dxa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可利用现有路宽，增加独立非机动车道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南环立交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378" w:type="dxa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可利用现有路宽，增加独立非机动车道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bookmarkStart w:id="1" w:name="_Hlk43836317"/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凤凰立交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378" w:type="dxa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绕行距离过长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根玉路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378" w:type="dxa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绕行距离过长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东长路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378" w:type="dxa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可结合已有绿道设置非机动车道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石岩外环路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378" w:type="dxa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绕行距离过长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宝石东路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78" w:type="dxa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绕行距离过长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宝石南路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78" w:type="dxa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绕行距离过长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石岩大道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78" w:type="dxa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绕行距离过长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创业一路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78" w:type="dxa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绕行距离过长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创业二路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78" w:type="dxa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绕行距离过长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重庆路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78" w:type="dxa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完善辅道后，应当允许通行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新侨立交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napToGrid w:val="0"/>
              <w:ind w:firstLine="480" w:firstLineChars="20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78" w:type="dxa"/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绕行距离过长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7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东方大道</w:t>
            </w: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-107国道上跨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napToGrid w:val="0"/>
              <w:ind w:firstLine="480" w:firstLineChars="20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78" w:type="dxa"/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绕行距离过长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光明大道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78" w:type="dxa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完善辅道后，应当允许通行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机场南路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78" w:type="dxa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绕行距离过长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西乡大道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78" w:type="dxa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满足通勤需求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7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福洲大道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洲石段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napToGrid w:val="0"/>
              <w:ind w:firstLine="480" w:firstLineChars="20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78" w:type="dxa"/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满足通勤需求</w:t>
            </w:r>
          </w:p>
        </w:tc>
      </w:tr>
    </w:tbl>
    <w:p>
      <w:pPr>
        <w:widowControl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</w:p>
    <w:p>
      <w:pPr>
        <w:widowControl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4、其他相关建议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针对电动二轮车管理，市民从完善设施、加强执法、源头治理等方面提出以下建议：（按照提及频次由高到低排序）</w:t>
      </w:r>
    </w:p>
    <w:p>
      <w:pPr>
        <w:widowControl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（1）尽快完善非机动车道设施。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加强非机动车道网络建设，修缮既有破损、不完整的非机动车道，增设非机动车专用道和天桥无障碍设施，以方便电动二轮车出行。</w:t>
      </w:r>
    </w:p>
    <w:p>
      <w:pPr>
        <w:widowControl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（2）强化电动自行车执法管理。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一方面加大对非法营运电动二轮车的查处力度，建立违法行为举报平台和举报热线。另一方面出台人性化执法措施，降低对电动二轮车在机动车道行驶、不带头盔的处罚金额，应以教育为主、罚款为辅。</w:t>
      </w:r>
    </w:p>
    <w:p>
      <w:pPr>
        <w:widowControl/>
        <w:spacing w:line="56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（3）加大超标电动二轮车源头治理。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建议从生产、销售环节加强超标电动二轮车源头治理，引导商户守法经营，严查超标电动二轮车。</w:t>
      </w:r>
    </w:p>
    <w:p>
      <w:pPr>
        <w:widowControl/>
        <w:spacing w:line="56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（4）开展安全出行宣传活动。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在厂区、社区、学校等地开展电动二轮车安全出行宣传活动，普及电动二轮车出行规则和通行管理规定。</w:t>
      </w:r>
    </w:p>
    <w:p>
      <w:pPr>
        <w:widowControl/>
        <w:spacing w:line="56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（5）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结合公共交通覆盖情况设置限行道路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结合当前我市公共交通覆盖情况，合理设置限行道路，通过疏堵结合规范电动自行车通行秩序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（6）设置明显、清晰的禁行标志。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在禁行路段、路口设置禁行标志牌，同时与地图导航软件合作，在导航软件上标注禁行路段范围和时间。</w:t>
      </w:r>
    </w:p>
    <w:p>
      <w:pPr>
        <w:widowControl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5、结论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（1）市民对电动二轮车通行管理政策普遍持赞同态度。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（2）由于现有非机动车道设施完善、通行条件良好，对部分市民反馈建议列为禁行道路的路段暂不考虑。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3）对部分市民反馈建议允许电动二轮车行驶的路段，经实地核查，确实存在非机动车道设施不连续、缺失以及短期内不具备条件改扩建非机动车道等问题，暂不考虑取消禁行管理政策，未来将根据非机动车道建设情况动态调整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（4）调整后的电动二轮车禁行道路详见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具体通告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20"/>
    <w:rsid w:val="0002750E"/>
    <w:rsid w:val="00046088"/>
    <w:rsid w:val="00052B36"/>
    <w:rsid w:val="00077720"/>
    <w:rsid w:val="000924BD"/>
    <w:rsid w:val="000D4DE7"/>
    <w:rsid w:val="00134853"/>
    <w:rsid w:val="00144FD1"/>
    <w:rsid w:val="00185C3D"/>
    <w:rsid w:val="00191EFF"/>
    <w:rsid w:val="001E2042"/>
    <w:rsid w:val="002554B8"/>
    <w:rsid w:val="00265E6A"/>
    <w:rsid w:val="003068BC"/>
    <w:rsid w:val="003101B8"/>
    <w:rsid w:val="00310CF1"/>
    <w:rsid w:val="0034736F"/>
    <w:rsid w:val="003602FB"/>
    <w:rsid w:val="003817B3"/>
    <w:rsid w:val="003F20D4"/>
    <w:rsid w:val="0041029D"/>
    <w:rsid w:val="004133A5"/>
    <w:rsid w:val="0044746A"/>
    <w:rsid w:val="00462E81"/>
    <w:rsid w:val="004B07FA"/>
    <w:rsid w:val="004C29FA"/>
    <w:rsid w:val="00517A6E"/>
    <w:rsid w:val="00526605"/>
    <w:rsid w:val="00555369"/>
    <w:rsid w:val="006E0476"/>
    <w:rsid w:val="006F6A91"/>
    <w:rsid w:val="007003BC"/>
    <w:rsid w:val="00754B66"/>
    <w:rsid w:val="00764860"/>
    <w:rsid w:val="00776AA9"/>
    <w:rsid w:val="007C4819"/>
    <w:rsid w:val="007E5D39"/>
    <w:rsid w:val="00814799"/>
    <w:rsid w:val="0081705D"/>
    <w:rsid w:val="008274C2"/>
    <w:rsid w:val="008A4250"/>
    <w:rsid w:val="008B395F"/>
    <w:rsid w:val="008C175E"/>
    <w:rsid w:val="008C5BF7"/>
    <w:rsid w:val="008F0AB9"/>
    <w:rsid w:val="0090425F"/>
    <w:rsid w:val="00915E39"/>
    <w:rsid w:val="00994194"/>
    <w:rsid w:val="009972D3"/>
    <w:rsid w:val="009D4D3C"/>
    <w:rsid w:val="00A00EE8"/>
    <w:rsid w:val="00A07941"/>
    <w:rsid w:val="00A4030B"/>
    <w:rsid w:val="00A61E72"/>
    <w:rsid w:val="00B131E6"/>
    <w:rsid w:val="00BC4960"/>
    <w:rsid w:val="00C752BE"/>
    <w:rsid w:val="00C9201D"/>
    <w:rsid w:val="00CB36A3"/>
    <w:rsid w:val="00CB6C8A"/>
    <w:rsid w:val="00D058D0"/>
    <w:rsid w:val="00D125CA"/>
    <w:rsid w:val="00D25A02"/>
    <w:rsid w:val="00D46E15"/>
    <w:rsid w:val="00D86FF1"/>
    <w:rsid w:val="00D956E6"/>
    <w:rsid w:val="00DD055D"/>
    <w:rsid w:val="00E307D5"/>
    <w:rsid w:val="00E3275A"/>
    <w:rsid w:val="00E3544D"/>
    <w:rsid w:val="00E923AD"/>
    <w:rsid w:val="00EA7A74"/>
    <w:rsid w:val="00F16CF8"/>
    <w:rsid w:val="00F24C82"/>
    <w:rsid w:val="00F507A2"/>
    <w:rsid w:val="00F86EBC"/>
    <w:rsid w:val="00FF26F5"/>
    <w:rsid w:val="0C033102"/>
    <w:rsid w:val="1F934508"/>
    <w:rsid w:val="43ED52E8"/>
    <w:rsid w:val="62B45221"/>
    <w:rsid w:val="7B26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字符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30005;&#21160;&#33258;&#34892;&#36710;&#38480;&#34892;&#31649;&#29702;\&#30005;&#21160;&#33258;&#34892;&#36710;&#24449;&#27714;&#24847;&#35265;&#21453;&#39304;\&#35814;&#32454;&#20449;&#24687;--&#31532;2&#39064;&#31572;&#2669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黑体" panose="02010609060101010101" charset="-122"/>
                    <a:ea typeface="黑体" panose="02010609060101010101" charset="-122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Sheet3!$B$8:$B$10</c:f>
              <c:strCache>
                <c:ptCount val="3"/>
                <c:pt idx="0">
                  <c:v>全部道路禁止通行</c:v>
                </c:pt>
                <c:pt idx="1">
                  <c:v>全部道路允许通行</c:v>
                </c:pt>
                <c:pt idx="2">
                  <c:v>满足市民出行需求前提下，
科学合理设置禁行道路</c:v>
                </c:pt>
              </c:strCache>
            </c:strRef>
          </c:cat>
          <c:val>
            <c:numRef>
              <c:f>Sheet3!$D$8:$D$10</c:f>
              <c:numCache>
                <c:formatCode>0%</c:formatCode>
                <c:ptCount val="3"/>
                <c:pt idx="0">
                  <c:v>0.0214797136038186</c:v>
                </c:pt>
                <c:pt idx="1">
                  <c:v>0.403341288782816</c:v>
                </c:pt>
                <c:pt idx="2">
                  <c:v>0.575178997613365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54151168"/>
        <c:axId val="461062528"/>
      </c:barChart>
      <c:catAx>
        <c:axId val="4541511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黑体" panose="02010609060101010101" charset="-122"/>
                <a:ea typeface="黑体" panose="02010609060101010101" charset="-122"/>
                <a:cs typeface="+mn-cs"/>
              </a:defRPr>
            </a:pPr>
          </a:p>
        </c:txPr>
        <c:crossAx val="461062528"/>
        <c:crosses val="autoZero"/>
        <c:auto val="1"/>
        <c:lblAlgn val="ctr"/>
        <c:lblOffset val="100"/>
        <c:noMultiLvlLbl val="0"/>
      </c:catAx>
      <c:valAx>
        <c:axId val="4610625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黑体" panose="02010609060101010101" charset="-122"/>
                <a:ea typeface="黑体" panose="02010609060101010101" charset="-122"/>
                <a:cs typeface="+mn-cs"/>
              </a:defRPr>
            </a:pPr>
          </a:p>
        </c:txPr>
        <c:crossAx val="454151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>
          <a:latin typeface="黑体" panose="02010609060101010101" charset="-122"/>
          <a:ea typeface="黑体" panose="02010609060101010101" charset="-122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571</Words>
  <Characters>3257</Characters>
  <Lines>27</Lines>
  <Paragraphs>7</Paragraphs>
  <TotalTime>350</TotalTime>
  <ScaleCrop>false</ScaleCrop>
  <LinksUpToDate>false</LinksUpToDate>
  <CharactersWithSpaces>3821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2020-06-22T13:37:00Z</dcterms:created>
  <dc:creator>admin</dc:creator>
  <cp:lastModifiedBy>邓婷</cp:lastModifiedBy>
  <dcterms:modified xsi:type="dcterms:W3CDTF">2020-06-28T05:33:39Z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