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color w:val="FF0000"/>
          <w:sz w:val="44"/>
          <w:szCs w:val="44"/>
        </w:rPr>
      </w:pPr>
      <w:bookmarkStart w:id="0" w:name="_GoBack"/>
      <w:bookmarkEnd w:id="0"/>
    </w:p>
    <w:p>
      <w:pPr>
        <w:spacing w:line="560" w:lineRule="exact"/>
        <w:jc w:val="center"/>
        <w:rPr>
          <w:rFonts w:hint="eastAsia" w:ascii="仿宋_GB2312" w:hAnsi="仿宋_GB2312" w:eastAsia="仿宋_GB2312" w:cs="仿宋_GB2312"/>
          <w:b/>
          <w:bCs/>
          <w:sz w:val="44"/>
          <w:szCs w:val="44"/>
          <w:lang w:val="en-US" w:eastAsia="zh-CN"/>
        </w:rPr>
      </w:pPr>
      <w:r>
        <w:rPr>
          <w:rFonts w:hint="eastAsia" w:ascii="宋体" w:hAnsi="宋体" w:cs="宋体"/>
          <w:b/>
          <w:bCs/>
          <w:sz w:val="44"/>
          <w:szCs w:val="44"/>
        </w:rPr>
        <w:t>《深圳市公共住房收购操作规程（征求意见稿）》</w:t>
      </w:r>
      <w:r>
        <w:rPr>
          <w:rFonts w:hint="eastAsia" w:ascii="仿宋_GB2312" w:hAnsi="仿宋_GB2312" w:eastAsia="仿宋_GB2312" w:cs="仿宋_GB2312"/>
          <w:b/>
          <w:bCs/>
          <w:sz w:val="44"/>
          <w:szCs w:val="44"/>
          <w:lang w:val="en-US" w:eastAsia="zh-CN"/>
        </w:rPr>
        <w:t>公开征求意见反馈</w:t>
      </w:r>
    </w:p>
    <w:p>
      <w:pPr>
        <w:spacing w:line="560" w:lineRule="exact"/>
        <w:jc w:val="center"/>
        <w:rPr>
          <w:rFonts w:ascii="宋体" w:hAnsi="宋体" w:cs="宋体"/>
          <w:b/>
          <w:bCs/>
          <w:sz w:val="44"/>
          <w:szCs w:val="44"/>
        </w:rPr>
      </w:pPr>
      <w:r>
        <w:rPr>
          <w:rFonts w:hint="eastAsia" w:ascii="仿宋_GB2312" w:hAnsi="仿宋_GB2312" w:eastAsia="仿宋_GB2312" w:cs="仿宋_GB2312"/>
          <w:b/>
          <w:bCs/>
          <w:sz w:val="44"/>
          <w:szCs w:val="44"/>
          <w:lang w:val="en-US" w:eastAsia="zh-CN"/>
        </w:rPr>
        <w:t>及采纳情况一览表</w:t>
      </w:r>
    </w:p>
    <w:tbl>
      <w:tblPr>
        <w:tblStyle w:val="10"/>
        <w:tblW w:w="14648" w:type="dxa"/>
        <w:jc w:val="center"/>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469"/>
        <w:gridCol w:w="1243"/>
        <w:gridCol w:w="721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blHeader/>
          <w:jc w:val="center"/>
        </w:trPr>
        <w:tc>
          <w:tcPr>
            <w:tcW w:w="724" w:type="dxa"/>
            <w:tcBorders>
              <w:top w:val="single" w:color="auto" w:sz="4" w:space="0"/>
              <w:bottom w:val="single" w:color="auto" w:sz="4" w:space="0"/>
            </w:tcBorders>
            <w:vAlign w:val="center"/>
          </w:tcPr>
          <w:p>
            <w:pPr>
              <w:adjustRightInd w:val="0"/>
              <w:snapToGrid w:val="0"/>
              <w:jc w:val="center"/>
              <w:rPr>
                <w:rFonts w:ascii="仿宋_GB2312" w:hAnsi="仿宋" w:eastAsia="仿宋_GB2312"/>
                <w:b/>
                <w:kern w:val="0"/>
                <w:szCs w:val="21"/>
              </w:rPr>
            </w:pPr>
            <w:r>
              <w:rPr>
                <w:rFonts w:hint="eastAsia" w:ascii="仿宋_GB2312" w:hAnsi="仿宋" w:eastAsia="仿宋_GB2312"/>
                <w:b/>
                <w:kern w:val="0"/>
                <w:szCs w:val="21"/>
              </w:rPr>
              <w:t>序号</w:t>
            </w:r>
          </w:p>
        </w:tc>
        <w:tc>
          <w:tcPr>
            <w:tcW w:w="5469" w:type="dxa"/>
            <w:tcBorders>
              <w:top w:val="single" w:color="auto" w:sz="4" w:space="0"/>
              <w:bottom w:val="single" w:color="auto" w:sz="4" w:space="0"/>
            </w:tcBorders>
            <w:vAlign w:val="center"/>
          </w:tcPr>
          <w:p>
            <w:pPr>
              <w:adjustRightInd w:val="0"/>
              <w:snapToGrid w:val="0"/>
              <w:jc w:val="center"/>
              <w:rPr>
                <w:rFonts w:ascii="仿宋_GB2312" w:hAnsi="仿宋" w:eastAsia="仿宋_GB2312"/>
                <w:b/>
                <w:kern w:val="0"/>
                <w:szCs w:val="21"/>
              </w:rPr>
            </w:pPr>
            <w:r>
              <w:rPr>
                <w:rFonts w:hint="eastAsia" w:ascii="仿宋_GB2312" w:hAnsi="仿宋" w:eastAsia="仿宋_GB2312"/>
                <w:b/>
                <w:kern w:val="0"/>
                <w:szCs w:val="21"/>
              </w:rPr>
              <w:t>反馈意见</w:t>
            </w:r>
          </w:p>
        </w:tc>
        <w:tc>
          <w:tcPr>
            <w:tcW w:w="1243" w:type="dxa"/>
            <w:tcBorders>
              <w:top w:val="single" w:color="auto" w:sz="4" w:space="0"/>
              <w:bottom w:val="single" w:color="auto" w:sz="4" w:space="0"/>
            </w:tcBorders>
            <w:vAlign w:val="center"/>
          </w:tcPr>
          <w:p>
            <w:pPr>
              <w:adjustRightInd w:val="0"/>
              <w:snapToGrid w:val="0"/>
              <w:jc w:val="center"/>
              <w:rPr>
                <w:rFonts w:hint="eastAsia" w:ascii="仿宋_GB2312" w:hAnsi="仿宋" w:eastAsia="仿宋_GB2312"/>
                <w:b/>
                <w:kern w:val="0"/>
                <w:szCs w:val="21"/>
                <w:lang w:eastAsia="zh-CN"/>
              </w:rPr>
            </w:pPr>
            <w:r>
              <w:rPr>
                <w:rFonts w:hint="eastAsia" w:ascii="仿宋_GB2312" w:hAnsi="仿宋" w:eastAsia="仿宋_GB2312"/>
                <w:b/>
                <w:kern w:val="0"/>
                <w:szCs w:val="21"/>
                <w:lang w:eastAsia="zh-CN"/>
              </w:rPr>
              <w:t>采纳情况</w:t>
            </w:r>
          </w:p>
        </w:tc>
        <w:tc>
          <w:tcPr>
            <w:tcW w:w="7212" w:type="dxa"/>
            <w:tcBorders>
              <w:top w:val="single" w:color="auto" w:sz="4" w:space="0"/>
              <w:bottom w:val="single" w:color="auto" w:sz="4" w:space="0"/>
            </w:tcBorders>
            <w:vAlign w:val="center"/>
          </w:tcPr>
          <w:p>
            <w:pPr>
              <w:adjustRightInd w:val="0"/>
              <w:snapToGrid w:val="0"/>
              <w:jc w:val="center"/>
              <w:rPr>
                <w:rFonts w:hint="eastAsia" w:ascii="仿宋_GB2312" w:hAnsi="仿宋" w:eastAsia="仿宋_GB2312"/>
                <w:b/>
                <w:kern w:val="0"/>
                <w:szCs w:val="21"/>
                <w:lang w:eastAsia="zh-CN"/>
              </w:rPr>
            </w:pPr>
            <w:r>
              <w:rPr>
                <w:rFonts w:hint="eastAsia" w:ascii="仿宋_GB2312" w:hAnsi="仿宋" w:eastAsia="仿宋_GB2312"/>
                <w:b/>
                <w:kern w:val="0"/>
                <w:szCs w:val="21"/>
              </w:rPr>
              <w:t>回复</w:t>
            </w:r>
            <w:r>
              <w:rPr>
                <w:rFonts w:hint="eastAsia" w:ascii="仿宋_GB2312" w:hAnsi="仿宋" w:eastAsia="仿宋_GB2312"/>
                <w:b/>
                <w:kern w:val="0"/>
                <w:szCs w:val="21"/>
                <w:lang w:eastAsia="zh-CN"/>
              </w:rPr>
              <w:t>内容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24" w:type="dxa"/>
            <w:tcBorders>
              <w:top w:val="single" w:color="auto" w:sz="4" w:space="0"/>
            </w:tcBorders>
            <w:vAlign w:val="center"/>
          </w:tcPr>
          <w:p>
            <w:pPr>
              <w:adjustRightInd w:val="0"/>
              <w:snapToGrid w:val="0"/>
              <w:jc w:val="center"/>
              <w:rPr>
                <w:rFonts w:ascii="仿宋_GB2312" w:hAnsi="仿宋" w:eastAsia="仿宋_GB2312"/>
                <w:kern w:val="0"/>
                <w:szCs w:val="21"/>
              </w:rPr>
            </w:pPr>
            <w:r>
              <w:rPr>
                <w:rFonts w:hint="eastAsia" w:ascii="仿宋_GB2312" w:hAnsi="仿宋" w:eastAsia="仿宋_GB2312"/>
                <w:kern w:val="0"/>
                <w:szCs w:val="21"/>
              </w:rPr>
              <w:t>1</w:t>
            </w:r>
          </w:p>
        </w:tc>
        <w:tc>
          <w:tcPr>
            <w:tcW w:w="5469" w:type="dxa"/>
            <w:tcBorders>
              <w:top w:val="single" w:color="auto" w:sz="4" w:space="0"/>
            </w:tcBorders>
            <w:vAlign w:val="center"/>
          </w:tcPr>
          <w:p>
            <w:pPr>
              <w:adjustRightInd w:val="0"/>
              <w:snapToGrid w:val="0"/>
              <w:jc w:val="left"/>
              <w:rPr>
                <w:rFonts w:ascii="仿宋_GB2312" w:hAnsi="仿宋" w:eastAsia="仿宋_GB2312"/>
                <w:kern w:val="0"/>
                <w:szCs w:val="21"/>
              </w:rPr>
            </w:pPr>
            <w:r>
              <w:rPr>
                <w:rFonts w:hint="eastAsia" w:ascii="仿宋_GB2312" w:hAnsi="仿宋" w:eastAsia="仿宋_GB2312"/>
                <w:kern w:val="0"/>
                <w:szCs w:val="21"/>
              </w:rPr>
              <w:t>车位配比问题和停车费问题。</w:t>
            </w:r>
          </w:p>
        </w:tc>
        <w:tc>
          <w:tcPr>
            <w:tcW w:w="1243" w:type="dxa"/>
            <w:tcBorders>
              <w:top w:val="single" w:color="auto" w:sz="4" w:space="0"/>
            </w:tcBorders>
            <w:vAlign w:val="center"/>
          </w:tcPr>
          <w:p>
            <w:pPr>
              <w:adjustRightInd w:val="0"/>
              <w:snapToGrid w:val="0"/>
              <w:jc w:val="center"/>
              <w:rPr>
                <w:rFonts w:hint="eastAsia" w:ascii="仿宋_GB2312" w:hAnsi="仿宋" w:eastAsia="仿宋_GB2312"/>
                <w:kern w:val="0"/>
                <w:szCs w:val="21"/>
                <w:lang w:eastAsia="zh-CN"/>
              </w:rPr>
            </w:pPr>
            <w:r>
              <w:rPr>
                <w:rFonts w:hint="eastAsia" w:ascii="仿宋_GB2312" w:hAnsi="仿宋" w:eastAsia="仿宋_GB2312"/>
                <w:kern w:val="0"/>
                <w:szCs w:val="21"/>
                <w:lang w:eastAsia="zh-CN"/>
              </w:rPr>
              <w:t>解释</w:t>
            </w:r>
          </w:p>
        </w:tc>
        <w:tc>
          <w:tcPr>
            <w:tcW w:w="7212" w:type="dxa"/>
            <w:tcBorders>
              <w:top w:val="single" w:color="auto" w:sz="4" w:space="0"/>
            </w:tcBorders>
            <w:vAlign w:val="center"/>
          </w:tcPr>
          <w:p>
            <w:pPr>
              <w:adjustRightInd w:val="0"/>
              <w:snapToGrid w:val="0"/>
              <w:ind w:firstLine="308" w:firstLineChars="147"/>
              <w:rPr>
                <w:rFonts w:ascii="仿宋_GB2312" w:hAnsi="仿宋" w:eastAsia="仿宋_GB2312"/>
                <w:bCs/>
                <w:kern w:val="0"/>
                <w:szCs w:val="21"/>
              </w:rPr>
            </w:pPr>
            <w:r>
              <w:rPr>
                <w:rFonts w:hint="eastAsia" w:ascii="仿宋_GB2312" w:hAnsi="仿宋" w:eastAsia="仿宋_GB2312"/>
                <w:kern w:val="0"/>
                <w:szCs w:val="21"/>
              </w:rPr>
              <w:t>车位配比问题：小区的车位配比由市规划自然资源部门确定。收购操作规程规定，地下室面积应按收购公共住房的面积占宗地计规定容积率建筑面积（扣减服务于社区居民的公共配套建筑面积）的比例进行分摊。</w:t>
            </w:r>
          </w:p>
          <w:p>
            <w:pPr>
              <w:adjustRightInd w:val="0"/>
              <w:snapToGrid w:val="0"/>
              <w:ind w:firstLine="411" w:firstLineChars="196"/>
              <w:rPr>
                <w:rFonts w:ascii="仿宋_GB2312" w:hAnsi="仿宋" w:eastAsia="仿宋_GB2312"/>
                <w:bCs/>
                <w:kern w:val="0"/>
                <w:szCs w:val="21"/>
              </w:rPr>
            </w:pPr>
            <w:r>
              <w:rPr>
                <w:rFonts w:hint="eastAsia" w:ascii="仿宋_GB2312" w:hAnsi="仿宋" w:eastAsia="仿宋_GB2312"/>
                <w:kern w:val="0"/>
                <w:szCs w:val="21"/>
              </w:rPr>
              <w:t>停车费问题：</w:t>
            </w:r>
            <w:r>
              <w:rPr>
                <w:rFonts w:hint="eastAsia" w:ascii="仿宋_GB2312" w:hAnsi="仿宋" w:eastAsia="仿宋_GB2312"/>
                <w:bCs/>
                <w:kern w:val="0"/>
                <w:szCs w:val="21"/>
              </w:rPr>
              <w:t>公共住房小区的停车费均执行市发改部门规定的住宅类停车场机动车停放服务收费标准。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724" w:type="dxa"/>
            <w:tcBorders>
              <w:top w:val="single" w:color="auto" w:sz="4" w:space="0"/>
            </w:tcBorders>
            <w:vAlign w:val="center"/>
          </w:tcPr>
          <w:p>
            <w:pPr>
              <w:adjustRightInd w:val="0"/>
              <w:snapToGrid w:val="0"/>
              <w:jc w:val="center"/>
              <w:rPr>
                <w:rFonts w:ascii="仿宋_GB2312" w:hAnsi="仿宋" w:eastAsia="仿宋_GB2312"/>
                <w:kern w:val="0"/>
                <w:szCs w:val="21"/>
              </w:rPr>
            </w:pPr>
            <w:r>
              <w:rPr>
                <w:rFonts w:hint="eastAsia" w:ascii="仿宋_GB2312" w:hAnsi="仿宋" w:eastAsia="仿宋_GB2312"/>
                <w:kern w:val="0"/>
                <w:szCs w:val="21"/>
              </w:rPr>
              <w:t>2</w:t>
            </w:r>
          </w:p>
        </w:tc>
        <w:tc>
          <w:tcPr>
            <w:tcW w:w="5469" w:type="dxa"/>
            <w:tcBorders>
              <w:top w:val="single" w:color="auto" w:sz="4" w:space="0"/>
            </w:tcBorders>
            <w:vAlign w:val="center"/>
          </w:tcPr>
          <w:p>
            <w:pPr>
              <w:adjustRightInd w:val="0"/>
              <w:snapToGrid w:val="0"/>
              <w:jc w:val="left"/>
              <w:rPr>
                <w:rFonts w:ascii="仿宋_GB2312" w:hAnsi="仿宋" w:eastAsia="仿宋_GB2312"/>
                <w:kern w:val="0"/>
                <w:szCs w:val="21"/>
              </w:rPr>
            </w:pPr>
            <w:r>
              <w:rPr>
                <w:rFonts w:hint="eastAsia" w:ascii="仿宋_GB2312" w:hAnsi="仿宋" w:eastAsia="仿宋_GB2312"/>
                <w:kern w:val="0"/>
                <w:szCs w:val="21"/>
              </w:rPr>
              <w:t>新桥街道、沙井街道、福永街道塘尾、桥头地铁站附近有大量烂尾楼，沙井中亚电子城长期烂尾控制，请考虑收购作为安居商品房建设供应。</w:t>
            </w:r>
          </w:p>
          <w:p>
            <w:pPr>
              <w:adjustRightInd w:val="0"/>
              <w:snapToGrid w:val="0"/>
              <w:jc w:val="left"/>
              <w:rPr>
                <w:rFonts w:ascii="仿宋_GB2312" w:hAnsi="仿宋" w:eastAsia="仿宋_GB2312"/>
                <w:kern w:val="0"/>
                <w:szCs w:val="21"/>
              </w:rPr>
            </w:pPr>
            <w:r>
              <w:rPr>
                <w:rFonts w:hint="eastAsia" w:ascii="仿宋_GB2312" w:hAnsi="仿宋" w:eastAsia="仿宋_GB2312"/>
                <w:kern w:val="0"/>
                <w:szCs w:val="21"/>
              </w:rPr>
              <w:t>增大宝安区安居商品房供应，实现每年2万套安居商品房供应的承诺。</w:t>
            </w:r>
          </w:p>
        </w:tc>
        <w:tc>
          <w:tcPr>
            <w:tcW w:w="1243" w:type="dxa"/>
            <w:tcBorders>
              <w:top w:val="single" w:color="auto" w:sz="4" w:space="0"/>
            </w:tcBorders>
            <w:vAlign w:val="center"/>
          </w:tcPr>
          <w:p>
            <w:pPr>
              <w:adjustRightInd w:val="0"/>
              <w:snapToGrid w:val="0"/>
              <w:jc w:val="center"/>
              <w:rPr>
                <w:rFonts w:hint="eastAsia" w:ascii="仿宋_GB2312" w:hAnsi="仿宋" w:eastAsia="仿宋_GB2312"/>
                <w:kern w:val="0"/>
                <w:szCs w:val="21"/>
              </w:rPr>
            </w:pPr>
            <w:r>
              <w:rPr>
                <w:rFonts w:hint="eastAsia" w:ascii="仿宋_GB2312" w:hAnsi="仿宋" w:eastAsia="仿宋_GB2312"/>
                <w:kern w:val="0"/>
                <w:szCs w:val="21"/>
                <w:lang w:eastAsia="zh-CN"/>
              </w:rPr>
              <w:t>解释</w:t>
            </w:r>
          </w:p>
        </w:tc>
        <w:tc>
          <w:tcPr>
            <w:tcW w:w="7212" w:type="dxa"/>
            <w:tcBorders>
              <w:top w:val="single" w:color="auto" w:sz="4" w:space="0"/>
            </w:tcBorders>
            <w:vAlign w:val="center"/>
          </w:tcPr>
          <w:p>
            <w:pPr>
              <w:adjustRightInd w:val="0"/>
              <w:snapToGrid w:val="0"/>
              <w:ind w:firstLine="420" w:firstLineChars="200"/>
              <w:rPr>
                <w:rFonts w:ascii="仿宋_GB2312" w:hAnsi="仿宋" w:eastAsia="仿宋_GB2312"/>
                <w:kern w:val="0"/>
                <w:szCs w:val="21"/>
              </w:rPr>
            </w:pPr>
            <w:r>
              <w:rPr>
                <w:rFonts w:hint="eastAsia" w:ascii="仿宋_GB2312" w:hAnsi="仿宋" w:eastAsia="仿宋_GB2312"/>
                <w:kern w:val="0"/>
                <w:szCs w:val="21"/>
              </w:rPr>
              <w:t>烂尾楼形成的原因很多，主要包括建设单位资金链断裂、建设单位违法违规、项目工程质量不合格、项目涉及债权债务等，收购过程复杂，操作困难；同时，收购烂尾楼作为安居型商品房目前尚无政策依据。</w:t>
            </w:r>
          </w:p>
          <w:p>
            <w:pPr>
              <w:adjustRightInd w:val="0"/>
              <w:snapToGrid w:val="0"/>
              <w:ind w:firstLine="420" w:firstLineChars="200"/>
              <w:rPr>
                <w:rFonts w:ascii="仿宋_GB2312" w:hAnsi="仿宋" w:eastAsia="仿宋_GB2312"/>
                <w:bCs/>
                <w:kern w:val="0"/>
                <w:szCs w:val="21"/>
              </w:rPr>
            </w:pPr>
            <w:r>
              <w:rPr>
                <w:rFonts w:hint="eastAsia" w:ascii="仿宋_GB2312" w:hAnsi="仿宋" w:eastAsia="仿宋_GB2312"/>
                <w:kern w:val="0"/>
                <w:szCs w:val="21"/>
              </w:rPr>
              <w:t>目前，为加大安居型商品房的供应力度，我市正着力拓宽安居型商品房的建设筹集渠道，包括新供应用地建设，棚户区改造、已批未建用地、未完善征（转）地补偿手续用地、历史遗留未完善出让手续用地、社会存量用地、征地返还用地等建设，招标、拍卖、挂牌用地配建，城市更新配建，轨道车辆段和停车场等城市基础设施和公共配套设施综合开发建设，临深片区城际合作建设等。</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724" w:type="dxa"/>
            <w:tcBorders>
              <w:top w:val="single" w:color="auto" w:sz="4" w:space="0"/>
            </w:tcBorders>
            <w:vAlign w:val="center"/>
          </w:tcPr>
          <w:p>
            <w:pPr>
              <w:adjustRightInd w:val="0"/>
              <w:snapToGrid w:val="0"/>
              <w:jc w:val="center"/>
              <w:rPr>
                <w:rFonts w:ascii="仿宋_GB2312" w:hAnsi="仿宋" w:eastAsia="仿宋_GB2312"/>
                <w:kern w:val="0"/>
                <w:szCs w:val="21"/>
              </w:rPr>
            </w:pPr>
            <w:r>
              <w:rPr>
                <w:rFonts w:hint="eastAsia" w:ascii="仿宋_GB2312" w:hAnsi="仿宋" w:eastAsia="仿宋_GB2312"/>
                <w:kern w:val="0"/>
                <w:szCs w:val="21"/>
              </w:rPr>
              <w:t>3</w:t>
            </w:r>
          </w:p>
        </w:tc>
        <w:tc>
          <w:tcPr>
            <w:tcW w:w="5469" w:type="dxa"/>
            <w:tcBorders>
              <w:top w:val="single" w:color="auto" w:sz="4" w:space="0"/>
            </w:tcBorders>
            <w:vAlign w:val="center"/>
          </w:tcPr>
          <w:p>
            <w:pPr>
              <w:adjustRightInd w:val="0"/>
              <w:snapToGrid w:val="0"/>
              <w:jc w:val="left"/>
              <w:rPr>
                <w:rFonts w:ascii="仿宋_GB2312" w:hAnsi="仿宋" w:eastAsia="仿宋_GB2312"/>
                <w:kern w:val="0"/>
                <w:szCs w:val="21"/>
              </w:rPr>
            </w:pPr>
            <w:r>
              <w:rPr>
                <w:rFonts w:hint="eastAsia" w:ascii="仿宋_GB2312" w:hAnsi="仿宋" w:eastAsia="仿宋_GB2312"/>
                <w:kern w:val="0"/>
                <w:szCs w:val="21"/>
              </w:rPr>
              <w:t>建议公租房也可以根据居住者的意向来进行购买，真正实现居者有其屋，安居乐业的美好愿景。</w:t>
            </w:r>
          </w:p>
        </w:tc>
        <w:tc>
          <w:tcPr>
            <w:tcW w:w="1243" w:type="dxa"/>
            <w:tcBorders>
              <w:top w:val="single" w:color="auto" w:sz="4" w:space="0"/>
            </w:tcBorders>
            <w:vAlign w:val="center"/>
          </w:tcPr>
          <w:p>
            <w:pPr>
              <w:adjustRightInd w:val="0"/>
              <w:snapToGrid w:val="0"/>
              <w:jc w:val="center"/>
              <w:rPr>
                <w:rFonts w:hint="eastAsia" w:ascii="仿宋_GB2312" w:hAnsi="仿宋" w:eastAsia="仿宋_GB2312"/>
                <w:kern w:val="0"/>
                <w:szCs w:val="21"/>
              </w:rPr>
            </w:pPr>
            <w:r>
              <w:rPr>
                <w:rFonts w:hint="eastAsia" w:ascii="仿宋_GB2312" w:hAnsi="仿宋" w:eastAsia="仿宋_GB2312"/>
                <w:kern w:val="0"/>
                <w:szCs w:val="21"/>
                <w:lang w:eastAsia="zh-CN"/>
              </w:rPr>
              <w:t>解释</w:t>
            </w:r>
          </w:p>
        </w:tc>
        <w:tc>
          <w:tcPr>
            <w:tcW w:w="7212" w:type="dxa"/>
            <w:tcBorders>
              <w:top w:val="single" w:color="auto" w:sz="4" w:space="0"/>
            </w:tcBorders>
            <w:vAlign w:val="center"/>
          </w:tcPr>
          <w:p>
            <w:pPr>
              <w:adjustRightInd w:val="0"/>
              <w:snapToGrid w:val="0"/>
              <w:ind w:firstLine="420" w:firstLineChars="200"/>
              <w:rPr>
                <w:rFonts w:ascii="仿宋_GB2312" w:hAnsi="仿宋" w:eastAsia="仿宋_GB2312"/>
                <w:bCs/>
                <w:kern w:val="0"/>
                <w:szCs w:val="21"/>
              </w:rPr>
            </w:pPr>
            <w:r>
              <w:rPr>
                <w:rFonts w:hint="eastAsia" w:ascii="仿宋_GB2312" w:hAnsi="仿宋" w:eastAsia="仿宋_GB2312"/>
                <w:kern w:val="0"/>
                <w:szCs w:val="21"/>
              </w:rPr>
              <w:t>在目前住房制度下，“租转售”难以实现：一是“租转售”涉及用地性质转变，手续繁琐；二是“租转售”客观上造成供给侧出租的房源减少，未申请到公租房的家庭可能会对政策公平性提出质疑。</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24" w:type="dxa"/>
            <w:tcBorders>
              <w:top w:val="single" w:color="auto" w:sz="4" w:space="0"/>
            </w:tcBorders>
            <w:vAlign w:val="center"/>
          </w:tcPr>
          <w:p>
            <w:pPr>
              <w:adjustRightInd w:val="0"/>
              <w:snapToGrid w:val="0"/>
              <w:jc w:val="center"/>
              <w:rPr>
                <w:rFonts w:ascii="仿宋_GB2312" w:hAnsi="仿宋" w:eastAsia="仿宋_GB2312"/>
                <w:kern w:val="0"/>
                <w:szCs w:val="21"/>
              </w:rPr>
            </w:pPr>
            <w:r>
              <w:rPr>
                <w:rFonts w:hint="eastAsia" w:ascii="仿宋_GB2312" w:hAnsi="仿宋" w:eastAsia="仿宋_GB2312"/>
                <w:kern w:val="0"/>
                <w:szCs w:val="21"/>
              </w:rPr>
              <w:t>4</w:t>
            </w:r>
          </w:p>
        </w:tc>
        <w:tc>
          <w:tcPr>
            <w:tcW w:w="5469" w:type="dxa"/>
            <w:tcBorders>
              <w:top w:val="single" w:color="auto" w:sz="4" w:space="0"/>
            </w:tcBorders>
            <w:vAlign w:val="center"/>
          </w:tcPr>
          <w:p>
            <w:pPr>
              <w:adjustRightInd w:val="0"/>
              <w:snapToGrid w:val="0"/>
              <w:jc w:val="left"/>
              <w:rPr>
                <w:rFonts w:ascii="仿宋_GB2312" w:hAnsi="仿宋" w:eastAsia="仿宋_GB2312"/>
                <w:kern w:val="0"/>
                <w:szCs w:val="21"/>
              </w:rPr>
            </w:pPr>
            <w:r>
              <w:rPr>
                <w:rFonts w:hint="eastAsia" w:ascii="仿宋_GB2312" w:hAnsi="仿宋" w:eastAsia="仿宋_GB2312"/>
                <w:kern w:val="0"/>
                <w:szCs w:val="21"/>
              </w:rPr>
              <w:t>大力建设保障性住房才能留着核心人才。</w:t>
            </w:r>
          </w:p>
        </w:tc>
        <w:tc>
          <w:tcPr>
            <w:tcW w:w="1243" w:type="dxa"/>
            <w:tcBorders>
              <w:top w:val="single" w:color="auto" w:sz="4" w:space="0"/>
            </w:tcBorders>
            <w:vAlign w:val="center"/>
          </w:tcPr>
          <w:p>
            <w:pPr>
              <w:snapToGrid w:val="0"/>
              <w:spacing w:line="268" w:lineRule="auto"/>
              <w:jc w:val="center"/>
              <w:rPr>
                <w:rFonts w:hint="eastAsia" w:ascii="仿宋_GB2312" w:hAnsi="仿宋" w:eastAsia="仿宋_GB2312"/>
                <w:kern w:val="0"/>
                <w:szCs w:val="21"/>
              </w:rPr>
            </w:pPr>
            <w:r>
              <w:rPr>
                <w:rFonts w:hint="eastAsia" w:ascii="仿宋_GB2312" w:hAnsi="仿宋" w:eastAsia="仿宋_GB2312"/>
                <w:kern w:val="0"/>
                <w:szCs w:val="21"/>
                <w:lang w:eastAsia="zh-CN"/>
              </w:rPr>
              <w:t>解释</w:t>
            </w:r>
          </w:p>
        </w:tc>
        <w:tc>
          <w:tcPr>
            <w:tcW w:w="7212" w:type="dxa"/>
            <w:tcBorders>
              <w:top w:val="single" w:color="auto" w:sz="4" w:space="0"/>
            </w:tcBorders>
            <w:vAlign w:val="center"/>
          </w:tcPr>
          <w:p>
            <w:pPr>
              <w:snapToGrid w:val="0"/>
              <w:spacing w:line="268" w:lineRule="auto"/>
              <w:ind w:firstLine="420" w:firstLineChars="200"/>
              <w:rPr>
                <w:rFonts w:ascii="仿宋_GB2312" w:hAnsi="仿宋" w:eastAsia="仿宋_GB2312"/>
                <w:bCs/>
                <w:kern w:val="0"/>
                <w:szCs w:val="21"/>
              </w:rPr>
            </w:pPr>
            <w:r>
              <w:rPr>
                <w:rFonts w:hint="eastAsia" w:ascii="仿宋_GB2312" w:hAnsi="仿宋" w:eastAsia="仿宋_GB2312"/>
                <w:kern w:val="0"/>
                <w:szCs w:val="21"/>
              </w:rPr>
              <w:t>依据《深圳市人民政府关于深化住房制度改革加快建立多主体供给多渠道保障租购并举的住房供应与保障体系的意见》提出，至2035年全市筹集建设170万套住房，其中公共住房不少于100万套。当前，我市正持续推进公共住房建设和发展，以人才安居为重要抓手，大幅提升深圳公共住房供应能力，缓解人才家庭购房压力，进而吸引和留住人才。</w:t>
            </w:r>
          </w:p>
        </w:tc>
      </w:tr>
    </w:tbl>
    <w:p>
      <w:pPr>
        <w:rPr>
          <w:rFonts w:ascii="黑体" w:hAnsi="黑体" w:eastAsia="黑体" w:cs="黑体"/>
          <w:sz w:val="10"/>
          <w:szCs w:val="10"/>
        </w:rPr>
      </w:pPr>
    </w:p>
    <w:sectPr>
      <w:footerReference r:id="rId3" w:type="default"/>
      <w:pgSz w:w="16783" w:h="11850" w:orient="landscape"/>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1440" cy="2108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 cy="210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ascii="仿宋_GB2312" w:hAnsi="仿宋_GB2312" w:eastAsia="仿宋_GB2312" w:cs="仿宋_GB2312"/>
                              <w:sz w:val="24"/>
                              <w:szCs w:val="40"/>
                            </w:rPr>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ascii="仿宋_GB2312" w:hAnsi="仿宋_GB2312" w:eastAsia="仿宋_GB2312" w:cs="仿宋_GB2312"/>
                              <w:sz w:val="24"/>
                              <w:szCs w:val="40"/>
                            </w:rPr>
                            <w:t>- 1 -</w:t>
                          </w:r>
                          <w:r>
                            <w:rPr>
                              <w:rFonts w:hint="eastAsia" w:ascii="仿宋_GB2312" w:hAnsi="仿宋_GB2312" w:eastAsia="仿宋_GB2312" w:cs="仿宋_GB2312"/>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6pt;width:7.2pt;mso-position-horizontal:center;mso-position-horizontal-relative:margin;mso-wrap-style:none;z-index:251658240;mso-width-relative:page;mso-height-relative:page;" filled="f" stroked="f" coordsize="21600,21600" o:gfxdata="UEsDBAoAAAAAAIdO4kAAAAAAAAAAAAAAAAAEAAAAZHJzL1BLAwQUAAAACACHTuJA0/Mtf9EAAAAD&#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8y1/0QAAAAMBAAAPAAAAAAAA&#10;AAEAIAAAACIAAABkcnMvZG93bnJldi54bWxQSwECFAAUAAAACACHTuJAVZxw/hkCAAASBAAADgAA&#10;AAAAAAABACAAAAAgAQAAZHJzL2Uyb0RvYy54bWxQSwUGAAAAAAYABgBZAQAAqwUAAAAA&#10;">
              <v:fill on="f" focussize="0,0"/>
              <v:stroke on="f" weight="0.5pt"/>
              <v:imagedata o:title=""/>
              <o:lock v:ext="edit" aspectratio="f"/>
              <v:textbox inset="0mm,0mm,0mm,0mm" style="mso-fit-shape-to-text:t;">
                <w:txbxContent>
                  <w:p>
                    <w:pPr>
                      <w:snapToGrid w:val="0"/>
                      <w:rPr>
                        <w:rFonts w:ascii="仿宋_GB2312" w:hAnsi="仿宋_GB2312" w:eastAsia="仿宋_GB2312" w:cs="仿宋_GB2312"/>
                        <w:sz w:val="24"/>
                        <w:szCs w:val="40"/>
                      </w:rPr>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ascii="仿宋_GB2312" w:hAnsi="仿宋_GB2312" w:eastAsia="仿宋_GB2312" w:cs="仿宋_GB2312"/>
                        <w:sz w:val="24"/>
                        <w:szCs w:val="40"/>
                      </w:rPr>
                      <w:t>- 1 -</w:t>
                    </w:r>
                    <w:r>
                      <w:rPr>
                        <w:rFonts w:hint="eastAsia" w:ascii="仿宋_GB2312" w:hAnsi="仿宋_GB2312" w:eastAsia="仿宋_GB2312" w:cs="仿宋_GB2312"/>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B5B32"/>
    <w:rsid w:val="0000214D"/>
    <w:rsid w:val="000036DF"/>
    <w:rsid w:val="00004AB2"/>
    <w:rsid w:val="00011FEE"/>
    <w:rsid w:val="00023225"/>
    <w:rsid w:val="00025082"/>
    <w:rsid w:val="000257D7"/>
    <w:rsid w:val="00026D68"/>
    <w:rsid w:val="000369B5"/>
    <w:rsid w:val="00040C71"/>
    <w:rsid w:val="00043C50"/>
    <w:rsid w:val="000539FB"/>
    <w:rsid w:val="00057505"/>
    <w:rsid w:val="00061EB8"/>
    <w:rsid w:val="0007298C"/>
    <w:rsid w:val="00075FA1"/>
    <w:rsid w:val="000770EC"/>
    <w:rsid w:val="00083AE6"/>
    <w:rsid w:val="00085B30"/>
    <w:rsid w:val="00086F73"/>
    <w:rsid w:val="00093A7D"/>
    <w:rsid w:val="00094D14"/>
    <w:rsid w:val="000A1453"/>
    <w:rsid w:val="000A2836"/>
    <w:rsid w:val="000A28DB"/>
    <w:rsid w:val="000A6614"/>
    <w:rsid w:val="000A7F90"/>
    <w:rsid w:val="000B0355"/>
    <w:rsid w:val="000C018B"/>
    <w:rsid w:val="000C053F"/>
    <w:rsid w:val="000C0F53"/>
    <w:rsid w:val="000C2CC1"/>
    <w:rsid w:val="000C71F8"/>
    <w:rsid w:val="000D02D9"/>
    <w:rsid w:val="000D0BDF"/>
    <w:rsid w:val="000D1585"/>
    <w:rsid w:val="000D7D8A"/>
    <w:rsid w:val="000E1CF6"/>
    <w:rsid w:val="000E38A7"/>
    <w:rsid w:val="000E42C0"/>
    <w:rsid w:val="000F1B2F"/>
    <w:rsid w:val="000F1DED"/>
    <w:rsid w:val="000F654F"/>
    <w:rsid w:val="000F7474"/>
    <w:rsid w:val="00100C10"/>
    <w:rsid w:val="00103C44"/>
    <w:rsid w:val="0010432F"/>
    <w:rsid w:val="00104873"/>
    <w:rsid w:val="00111CD9"/>
    <w:rsid w:val="00116C3D"/>
    <w:rsid w:val="00126E0D"/>
    <w:rsid w:val="00132FFF"/>
    <w:rsid w:val="001410B8"/>
    <w:rsid w:val="00142EFA"/>
    <w:rsid w:val="00147088"/>
    <w:rsid w:val="00147366"/>
    <w:rsid w:val="00153B55"/>
    <w:rsid w:val="00165D91"/>
    <w:rsid w:val="0016630A"/>
    <w:rsid w:val="0017392A"/>
    <w:rsid w:val="00182290"/>
    <w:rsid w:val="00184F11"/>
    <w:rsid w:val="00196109"/>
    <w:rsid w:val="001A2EAF"/>
    <w:rsid w:val="001B0AEF"/>
    <w:rsid w:val="001C1E83"/>
    <w:rsid w:val="001C5E2E"/>
    <w:rsid w:val="001D2C70"/>
    <w:rsid w:val="001D56A5"/>
    <w:rsid w:val="001D5A0A"/>
    <w:rsid w:val="001D5F8E"/>
    <w:rsid w:val="001E4AE8"/>
    <w:rsid w:val="001E503A"/>
    <w:rsid w:val="001E5EA6"/>
    <w:rsid w:val="001E75BE"/>
    <w:rsid w:val="001F0841"/>
    <w:rsid w:val="001F26EA"/>
    <w:rsid w:val="00202F93"/>
    <w:rsid w:val="0020389F"/>
    <w:rsid w:val="00205241"/>
    <w:rsid w:val="002079C8"/>
    <w:rsid w:val="00215D34"/>
    <w:rsid w:val="00216010"/>
    <w:rsid w:val="002206BA"/>
    <w:rsid w:val="00220A00"/>
    <w:rsid w:val="002260CB"/>
    <w:rsid w:val="00226A5B"/>
    <w:rsid w:val="00232DCF"/>
    <w:rsid w:val="00245D90"/>
    <w:rsid w:val="0024609C"/>
    <w:rsid w:val="00247CF3"/>
    <w:rsid w:val="002556A9"/>
    <w:rsid w:val="00255CE5"/>
    <w:rsid w:val="00266321"/>
    <w:rsid w:val="002707E8"/>
    <w:rsid w:val="00270BED"/>
    <w:rsid w:val="00272702"/>
    <w:rsid w:val="00281D50"/>
    <w:rsid w:val="00290B1B"/>
    <w:rsid w:val="00291374"/>
    <w:rsid w:val="00297A77"/>
    <w:rsid w:val="002A1407"/>
    <w:rsid w:val="002A2501"/>
    <w:rsid w:val="002B299B"/>
    <w:rsid w:val="002B51D2"/>
    <w:rsid w:val="002C04DC"/>
    <w:rsid w:val="002C2BC5"/>
    <w:rsid w:val="002C598F"/>
    <w:rsid w:val="002D2446"/>
    <w:rsid w:val="002E0377"/>
    <w:rsid w:val="002E27D7"/>
    <w:rsid w:val="002E61D8"/>
    <w:rsid w:val="002F0509"/>
    <w:rsid w:val="002F389D"/>
    <w:rsid w:val="002F437E"/>
    <w:rsid w:val="002F4CC4"/>
    <w:rsid w:val="002F6F14"/>
    <w:rsid w:val="002F7CF3"/>
    <w:rsid w:val="00300A4F"/>
    <w:rsid w:val="00302EFE"/>
    <w:rsid w:val="00305747"/>
    <w:rsid w:val="00305786"/>
    <w:rsid w:val="00305A88"/>
    <w:rsid w:val="00306ADF"/>
    <w:rsid w:val="00307952"/>
    <w:rsid w:val="00311FF7"/>
    <w:rsid w:val="00315703"/>
    <w:rsid w:val="00320761"/>
    <w:rsid w:val="00320832"/>
    <w:rsid w:val="00323A5B"/>
    <w:rsid w:val="00323C06"/>
    <w:rsid w:val="00323E3A"/>
    <w:rsid w:val="003302BC"/>
    <w:rsid w:val="0033050A"/>
    <w:rsid w:val="00331CAE"/>
    <w:rsid w:val="003337FF"/>
    <w:rsid w:val="003360C1"/>
    <w:rsid w:val="00337FFB"/>
    <w:rsid w:val="0034195A"/>
    <w:rsid w:val="0034447B"/>
    <w:rsid w:val="0034496E"/>
    <w:rsid w:val="003465F3"/>
    <w:rsid w:val="003530A6"/>
    <w:rsid w:val="00355EEB"/>
    <w:rsid w:val="003565DB"/>
    <w:rsid w:val="00362E86"/>
    <w:rsid w:val="0036410B"/>
    <w:rsid w:val="0037595E"/>
    <w:rsid w:val="003768A8"/>
    <w:rsid w:val="003770F6"/>
    <w:rsid w:val="00384453"/>
    <w:rsid w:val="00385178"/>
    <w:rsid w:val="00385BDA"/>
    <w:rsid w:val="0038629F"/>
    <w:rsid w:val="00387285"/>
    <w:rsid w:val="003917C3"/>
    <w:rsid w:val="00396D9F"/>
    <w:rsid w:val="003A0E78"/>
    <w:rsid w:val="003A4A5D"/>
    <w:rsid w:val="003A4EBE"/>
    <w:rsid w:val="003A6DBF"/>
    <w:rsid w:val="003B686F"/>
    <w:rsid w:val="003C24C4"/>
    <w:rsid w:val="003C5264"/>
    <w:rsid w:val="003C5815"/>
    <w:rsid w:val="003C6C52"/>
    <w:rsid w:val="003D0CC7"/>
    <w:rsid w:val="003D2187"/>
    <w:rsid w:val="003D25C2"/>
    <w:rsid w:val="003D497D"/>
    <w:rsid w:val="003D7C39"/>
    <w:rsid w:val="003E29F3"/>
    <w:rsid w:val="003E69A4"/>
    <w:rsid w:val="003E77A4"/>
    <w:rsid w:val="003F0944"/>
    <w:rsid w:val="003F2F87"/>
    <w:rsid w:val="003F565B"/>
    <w:rsid w:val="003F5936"/>
    <w:rsid w:val="003F5BCE"/>
    <w:rsid w:val="003F69A4"/>
    <w:rsid w:val="00402ED3"/>
    <w:rsid w:val="0040447A"/>
    <w:rsid w:val="00406CE7"/>
    <w:rsid w:val="00412944"/>
    <w:rsid w:val="0041378C"/>
    <w:rsid w:val="004146E9"/>
    <w:rsid w:val="004211B6"/>
    <w:rsid w:val="00421D4A"/>
    <w:rsid w:val="00423C2F"/>
    <w:rsid w:val="00424D75"/>
    <w:rsid w:val="00427EBF"/>
    <w:rsid w:val="0043607B"/>
    <w:rsid w:val="0043757D"/>
    <w:rsid w:val="00445AD9"/>
    <w:rsid w:val="00447708"/>
    <w:rsid w:val="004519CE"/>
    <w:rsid w:val="0045421D"/>
    <w:rsid w:val="00454303"/>
    <w:rsid w:val="00456DE6"/>
    <w:rsid w:val="0046189E"/>
    <w:rsid w:val="00461D1A"/>
    <w:rsid w:val="00462FCB"/>
    <w:rsid w:val="00463E2B"/>
    <w:rsid w:val="00467C68"/>
    <w:rsid w:val="00471C57"/>
    <w:rsid w:val="00473C6E"/>
    <w:rsid w:val="004766EE"/>
    <w:rsid w:val="004909F0"/>
    <w:rsid w:val="00492781"/>
    <w:rsid w:val="00493280"/>
    <w:rsid w:val="00493BAE"/>
    <w:rsid w:val="00493D42"/>
    <w:rsid w:val="004968F1"/>
    <w:rsid w:val="0049771F"/>
    <w:rsid w:val="004A3F1D"/>
    <w:rsid w:val="004B2AC8"/>
    <w:rsid w:val="004B50FC"/>
    <w:rsid w:val="004B59D2"/>
    <w:rsid w:val="004B7FC4"/>
    <w:rsid w:val="004C012B"/>
    <w:rsid w:val="004C268F"/>
    <w:rsid w:val="004C287C"/>
    <w:rsid w:val="004C4914"/>
    <w:rsid w:val="004D578E"/>
    <w:rsid w:val="004D7F1B"/>
    <w:rsid w:val="004E2B4A"/>
    <w:rsid w:val="004F173B"/>
    <w:rsid w:val="004F2D78"/>
    <w:rsid w:val="004F568D"/>
    <w:rsid w:val="004F6177"/>
    <w:rsid w:val="004F6478"/>
    <w:rsid w:val="004F67DB"/>
    <w:rsid w:val="00501384"/>
    <w:rsid w:val="005057DE"/>
    <w:rsid w:val="005075DA"/>
    <w:rsid w:val="00507E12"/>
    <w:rsid w:val="00513B40"/>
    <w:rsid w:val="00514E41"/>
    <w:rsid w:val="00533380"/>
    <w:rsid w:val="0053761E"/>
    <w:rsid w:val="00540252"/>
    <w:rsid w:val="0054040E"/>
    <w:rsid w:val="005406F9"/>
    <w:rsid w:val="00547845"/>
    <w:rsid w:val="00556D56"/>
    <w:rsid w:val="00566049"/>
    <w:rsid w:val="005674D8"/>
    <w:rsid w:val="00570879"/>
    <w:rsid w:val="00571C57"/>
    <w:rsid w:val="00575A9B"/>
    <w:rsid w:val="0058167F"/>
    <w:rsid w:val="0058251A"/>
    <w:rsid w:val="00584774"/>
    <w:rsid w:val="00591D40"/>
    <w:rsid w:val="005921FD"/>
    <w:rsid w:val="00593E6E"/>
    <w:rsid w:val="00595D62"/>
    <w:rsid w:val="00595F08"/>
    <w:rsid w:val="005A02CC"/>
    <w:rsid w:val="005A6C09"/>
    <w:rsid w:val="005A733A"/>
    <w:rsid w:val="005C1230"/>
    <w:rsid w:val="005C188E"/>
    <w:rsid w:val="005C584C"/>
    <w:rsid w:val="005D08EC"/>
    <w:rsid w:val="005D436F"/>
    <w:rsid w:val="005E39DF"/>
    <w:rsid w:val="005E48E7"/>
    <w:rsid w:val="005E4E3E"/>
    <w:rsid w:val="005F0835"/>
    <w:rsid w:val="005F1E22"/>
    <w:rsid w:val="005F349E"/>
    <w:rsid w:val="005F5407"/>
    <w:rsid w:val="0061185E"/>
    <w:rsid w:val="00615699"/>
    <w:rsid w:val="006170F9"/>
    <w:rsid w:val="00624B8E"/>
    <w:rsid w:val="00631536"/>
    <w:rsid w:val="0063274D"/>
    <w:rsid w:val="00634456"/>
    <w:rsid w:val="00634701"/>
    <w:rsid w:val="00635562"/>
    <w:rsid w:val="0063789F"/>
    <w:rsid w:val="0064268B"/>
    <w:rsid w:val="00642B15"/>
    <w:rsid w:val="00646D81"/>
    <w:rsid w:val="00652FEF"/>
    <w:rsid w:val="00657315"/>
    <w:rsid w:val="00657BB2"/>
    <w:rsid w:val="00673344"/>
    <w:rsid w:val="006745E6"/>
    <w:rsid w:val="006747FE"/>
    <w:rsid w:val="00680B57"/>
    <w:rsid w:val="006816A7"/>
    <w:rsid w:val="006857F6"/>
    <w:rsid w:val="00690B7F"/>
    <w:rsid w:val="006961A4"/>
    <w:rsid w:val="00697B20"/>
    <w:rsid w:val="006A0373"/>
    <w:rsid w:val="006B2341"/>
    <w:rsid w:val="006C18A1"/>
    <w:rsid w:val="006E4B24"/>
    <w:rsid w:val="006E734D"/>
    <w:rsid w:val="006E7C94"/>
    <w:rsid w:val="006F2117"/>
    <w:rsid w:val="006F2DDD"/>
    <w:rsid w:val="00702C40"/>
    <w:rsid w:val="00706986"/>
    <w:rsid w:val="00715F9F"/>
    <w:rsid w:val="00716ED3"/>
    <w:rsid w:val="00720EAE"/>
    <w:rsid w:val="007232DA"/>
    <w:rsid w:val="00732E4C"/>
    <w:rsid w:val="00735EFC"/>
    <w:rsid w:val="00745487"/>
    <w:rsid w:val="007471F8"/>
    <w:rsid w:val="00754DF5"/>
    <w:rsid w:val="00756E68"/>
    <w:rsid w:val="007618DE"/>
    <w:rsid w:val="00763210"/>
    <w:rsid w:val="00763CD1"/>
    <w:rsid w:val="0077416B"/>
    <w:rsid w:val="00774DB7"/>
    <w:rsid w:val="00776C18"/>
    <w:rsid w:val="00777918"/>
    <w:rsid w:val="00777A0B"/>
    <w:rsid w:val="00781EBF"/>
    <w:rsid w:val="007858D1"/>
    <w:rsid w:val="00792719"/>
    <w:rsid w:val="00792BEB"/>
    <w:rsid w:val="007938E4"/>
    <w:rsid w:val="00794573"/>
    <w:rsid w:val="00795A2D"/>
    <w:rsid w:val="007A0089"/>
    <w:rsid w:val="007A0F84"/>
    <w:rsid w:val="007A227E"/>
    <w:rsid w:val="007B2CCA"/>
    <w:rsid w:val="007C3D3D"/>
    <w:rsid w:val="007C6196"/>
    <w:rsid w:val="007D09D3"/>
    <w:rsid w:val="007D24DB"/>
    <w:rsid w:val="007D74EC"/>
    <w:rsid w:val="007E0826"/>
    <w:rsid w:val="007E0FE8"/>
    <w:rsid w:val="007E1A36"/>
    <w:rsid w:val="007E1B0E"/>
    <w:rsid w:val="007E1BCA"/>
    <w:rsid w:val="007E4D6D"/>
    <w:rsid w:val="007E73B4"/>
    <w:rsid w:val="007F0F60"/>
    <w:rsid w:val="007F36E8"/>
    <w:rsid w:val="00806B62"/>
    <w:rsid w:val="0080765A"/>
    <w:rsid w:val="00807A42"/>
    <w:rsid w:val="00814DD7"/>
    <w:rsid w:val="00815EA9"/>
    <w:rsid w:val="00820489"/>
    <w:rsid w:val="0082539E"/>
    <w:rsid w:val="00830DAE"/>
    <w:rsid w:val="00833971"/>
    <w:rsid w:val="00834166"/>
    <w:rsid w:val="00834554"/>
    <w:rsid w:val="008456D8"/>
    <w:rsid w:val="00847D5D"/>
    <w:rsid w:val="00850F8A"/>
    <w:rsid w:val="00852CA3"/>
    <w:rsid w:val="008558E0"/>
    <w:rsid w:val="008627B4"/>
    <w:rsid w:val="008627FF"/>
    <w:rsid w:val="00862C00"/>
    <w:rsid w:val="00862C11"/>
    <w:rsid w:val="00877D62"/>
    <w:rsid w:val="00890368"/>
    <w:rsid w:val="00895345"/>
    <w:rsid w:val="008A3F99"/>
    <w:rsid w:val="008A6E6D"/>
    <w:rsid w:val="008B2D2D"/>
    <w:rsid w:val="008B319F"/>
    <w:rsid w:val="008B3671"/>
    <w:rsid w:val="008B5CBE"/>
    <w:rsid w:val="008C0076"/>
    <w:rsid w:val="008C669D"/>
    <w:rsid w:val="008D01C7"/>
    <w:rsid w:val="008D4F6B"/>
    <w:rsid w:val="008D5A26"/>
    <w:rsid w:val="008E643D"/>
    <w:rsid w:val="008E713F"/>
    <w:rsid w:val="008E786A"/>
    <w:rsid w:val="008F14B1"/>
    <w:rsid w:val="008F22D6"/>
    <w:rsid w:val="008F2D4F"/>
    <w:rsid w:val="008F38C9"/>
    <w:rsid w:val="008F5928"/>
    <w:rsid w:val="008F70FB"/>
    <w:rsid w:val="008F7CC2"/>
    <w:rsid w:val="009008FE"/>
    <w:rsid w:val="0090725E"/>
    <w:rsid w:val="009113C7"/>
    <w:rsid w:val="009142EC"/>
    <w:rsid w:val="0091540A"/>
    <w:rsid w:val="00917388"/>
    <w:rsid w:val="00921779"/>
    <w:rsid w:val="00925202"/>
    <w:rsid w:val="009260D7"/>
    <w:rsid w:val="009405A8"/>
    <w:rsid w:val="00945FF9"/>
    <w:rsid w:val="00947143"/>
    <w:rsid w:val="009518B8"/>
    <w:rsid w:val="009523C0"/>
    <w:rsid w:val="00963FC3"/>
    <w:rsid w:val="0097468C"/>
    <w:rsid w:val="00975D8C"/>
    <w:rsid w:val="00980097"/>
    <w:rsid w:val="00981E56"/>
    <w:rsid w:val="00984944"/>
    <w:rsid w:val="00985F0C"/>
    <w:rsid w:val="00993943"/>
    <w:rsid w:val="009A126D"/>
    <w:rsid w:val="009B1BC9"/>
    <w:rsid w:val="009B2857"/>
    <w:rsid w:val="009B3C55"/>
    <w:rsid w:val="009B60AC"/>
    <w:rsid w:val="009B6CC0"/>
    <w:rsid w:val="009B71DF"/>
    <w:rsid w:val="009C2F20"/>
    <w:rsid w:val="009C60B5"/>
    <w:rsid w:val="009C7030"/>
    <w:rsid w:val="009D0F53"/>
    <w:rsid w:val="009D3A7B"/>
    <w:rsid w:val="009D659B"/>
    <w:rsid w:val="009E0997"/>
    <w:rsid w:val="009E59E1"/>
    <w:rsid w:val="009F08B6"/>
    <w:rsid w:val="009F1A70"/>
    <w:rsid w:val="009F27ED"/>
    <w:rsid w:val="009F50D5"/>
    <w:rsid w:val="00A02F30"/>
    <w:rsid w:val="00A061CF"/>
    <w:rsid w:val="00A103D3"/>
    <w:rsid w:val="00A135C8"/>
    <w:rsid w:val="00A1770F"/>
    <w:rsid w:val="00A219B7"/>
    <w:rsid w:val="00A255B4"/>
    <w:rsid w:val="00A2799B"/>
    <w:rsid w:val="00A36885"/>
    <w:rsid w:val="00A403D5"/>
    <w:rsid w:val="00A52BC5"/>
    <w:rsid w:val="00A53A7F"/>
    <w:rsid w:val="00A61580"/>
    <w:rsid w:val="00A645C4"/>
    <w:rsid w:val="00A65FC0"/>
    <w:rsid w:val="00A667D6"/>
    <w:rsid w:val="00A67057"/>
    <w:rsid w:val="00A72EE0"/>
    <w:rsid w:val="00A73D97"/>
    <w:rsid w:val="00A77C97"/>
    <w:rsid w:val="00A824C7"/>
    <w:rsid w:val="00A83AB9"/>
    <w:rsid w:val="00A943C3"/>
    <w:rsid w:val="00A95712"/>
    <w:rsid w:val="00A97DB4"/>
    <w:rsid w:val="00AA2328"/>
    <w:rsid w:val="00AA32D8"/>
    <w:rsid w:val="00AA37F9"/>
    <w:rsid w:val="00AB4EAF"/>
    <w:rsid w:val="00AB7DF5"/>
    <w:rsid w:val="00AC143C"/>
    <w:rsid w:val="00AC2104"/>
    <w:rsid w:val="00AC434D"/>
    <w:rsid w:val="00AD4962"/>
    <w:rsid w:val="00AD5E5F"/>
    <w:rsid w:val="00AE14B9"/>
    <w:rsid w:val="00AE2B31"/>
    <w:rsid w:val="00AE4AFC"/>
    <w:rsid w:val="00AF6C57"/>
    <w:rsid w:val="00AF74AB"/>
    <w:rsid w:val="00B01307"/>
    <w:rsid w:val="00B02D20"/>
    <w:rsid w:val="00B02F82"/>
    <w:rsid w:val="00B11C44"/>
    <w:rsid w:val="00B12EDF"/>
    <w:rsid w:val="00B16CC7"/>
    <w:rsid w:val="00B218C0"/>
    <w:rsid w:val="00B22BC5"/>
    <w:rsid w:val="00B23879"/>
    <w:rsid w:val="00B24C2E"/>
    <w:rsid w:val="00B2530E"/>
    <w:rsid w:val="00B3794F"/>
    <w:rsid w:val="00B37AB2"/>
    <w:rsid w:val="00B403C3"/>
    <w:rsid w:val="00B41E54"/>
    <w:rsid w:val="00B42630"/>
    <w:rsid w:val="00B427BE"/>
    <w:rsid w:val="00B4384A"/>
    <w:rsid w:val="00B50C88"/>
    <w:rsid w:val="00B53D1F"/>
    <w:rsid w:val="00B55E63"/>
    <w:rsid w:val="00B56FEF"/>
    <w:rsid w:val="00B57872"/>
    <w:rsid w:val="00B62A86"/>
    <w:rsid w:val="00B64339"/>
    <w:rsid w:val="00B677CF"/>
    <w:rsid w:val="00B77F44"/>
    <w:rsid w:val="00B81F03"/>
    <w:rsid w:val="00B862F1"/>
    <w:rsid w:val="00B923FE"/>
    <w:rsid w:val="00B95623"/>
    <w:rsid w:val="00BA0A28"/>
    <w:rsid w:val="00BA3ABE"/>
    <w:rsid w:val="00BA6435"/>
    <w:rsid w:val="00BA7248"/>
    <w:rsid w:val="00BB3B4B"/>
    <w:rsid w:val="00BB79DD"/>
    <w:rsid w:val="00BC2F28"/>
    <w:rsid w:val="00BC3A2A"/>
    <w:rsid w:val="00BC40ED"/>
    <w:rsid w:val="00BC5CF6"/>
    <w:rsid w:val="00BD0271"/>
    <w:rsid w:val="00BE025A"/>
    <w:rsid w:val="00BE58FD"/>
    <w:rsid w:val="00BE6B78"/>
    <w:rsid w:val="00BE7D85"/>
    <w:rsid w:val="00BF1446"/>
    <w:rsid w:val="00BF5DDD"/>
    <w:rsid w:val="00C011D3"/>
    <w:rsid w:val="00C04E21"/>
    <w:rsid w:val="00C07C58"/>
    <w:rsid w:val="00C10A1E"/>
    <w:rsid w:val="00C17DC6"/>
    <w:rsid w:val="00C24A85"/>
    <w:rsid w:val="00C3148F"/>
    <w:rsid w:val="00C33F26"/>
    <w:rsid w:val="00C34120"/>
    <w:rsid w:val="00C341F1"/>
    <w:rsid w:val="00C43157"/>
    <w:rsid w:val="00C55556"/>
    <w:rsid w:val="00C576E9"/>
    <w:rsid w:val="00C577E0"/>
    <w:rsid w:val="00C64EED"/>
    <w:rsid w:val="00C73D0B"/>
    <w:rsid w:val="00C80484"/>
    <w:rsid w:val="00C818BE"/>
    <w:rsid w:val="00C9166C"/>
    <w:rsid w:val="00C91A71"/>
    <w:rsid w:val="00C9217A"/>
    <w:rsid w:val="00C957BF"/>
    <w:rsid w:val="00CA3687"/>
    <w:rsid w:val="00CA40D3"/>
    <w:rsid w:val="00CA465C"/>
    <w:rsid w:val="00CB1879"/>
    <w:rsid w:val="00CB43EA"/>
    <w:rsid w:val="00CB71CE"/>
    <w:rsid w:val="00CC64C5"/>
    <w:rsid w:val="00CD5A91"/>
    <w:rsid w:val="00CE180F"/>
    <w:rsid w:val="00CE4831"/>
    <w:rsid w:val="00CE78F6"/>
    <w:rsid w:val="00CF2523"/>
    <w:rsid w:val="00CF6079"/>
    <w:rsid w:val="00D00268"/>
    <w:rsid w:val="00D01382"/>
    <w:rsid w:val="00D01A52"/>
    <w:rsid w:val="00D05C09"/>
    <w:rsid w:val="00D1472D"/>
    <w:rsid w:val="00D151DD"/>
    <w:rsid w:val="00D16C3C"/>
    <w:rsid w:val="00D24A26"/>
    <w:rsid w:val="00D25C39"/>
    <w:rsid w:val="00D315D4"/>
    <w:rsid w:val="00D3249D"/>
    <w:rsid w:val="00D373CF"/>
    <w:rsid w:val="00D3750F"/>
    <w:rsid w:val="00D431EC"/>
    <w:rsid w:val="00D4784B"/>
    <w:rsid w:val="00D575F2"/>
    <w:rsid w:val="00D606B8"/>
    <w:rsid w:val="00D62E36"/>
    <w:rsid w:val="00D63E61"/>
    <w:rsid w:val="00D7154E"/>
    <w:rsid w:val="00D80038"/>
    <w:rsid w:val="00D80649"/>
    <w:rsid w:val="00D846D3"/>
    <w:rsid w:val="00D9053B"/>
    <w:rsid w:val="00D92A3C"/>
    <w:rsid w:val="00D93FEB"/>
    <w:rsid w:val="00D950E3"/>
    <w:rsid w:val="00DB53FC"/>
    <w:rsid w:val="00DB703E"/>
    <w:rsid w:val="00DB7851"/>
    <w:rsid w:val="00DC0AEB"/>
    <w:rsid w:val="00DC0DCB"/>
    <w:rsid w:val="00DC2C9D"/>
    <w:rsid w:val="00DC53D0"/>
    <w:rsid w:val="00DC7F1C"/>
    <w:rsid w:val="00DF3B63"/>
    <w:rsid w:val="00DF7EDA"/>
    <w:rsid w:val="00E02A50"/>
    <w:rsid w:val="00E03A22"/>
    <w:rsid w:val="00E10F87"/>
    <w:rsid w:val="00E129C2"/>
    <w:rsid w:val="00E12C69"/>
    <w:rsid w:val="00E144D7"/>
    <w:rsid w:val="00E23BA6"/>
    <w:rsid w:val="00E25204"/>
    <w:rsid w:val="00E311E4"/>
    <w:rsid w:val="00E31EED"/>
    <w:rsid w:val="00E3524B"/>
    <w:rsid w:val="00E3530D"/>
    <w:rsid w:val="00E3559A"/>
    <w:rsid w:val="00E3765C"/>
    <w:rsid w:val="00E427FA"/>
    <w:rsid w:val="00E43E27"/>
    <w:rsid w:val="00E50CF2"/>
    <w:rsid w:val="00E535CC"/>
    <w:rsid w:val="00E617DC"/>
    <w:rsid w:val="00E61CFA"/>
    <w:rsid w:val="00E65460"/>
    <w:rsid w:val="00E65B3D"/>
    <w:rsid w:val="00E76577"/>
    <w:rsid w:val="00E86288"/>
    <w:rsid w:val="00E86618"/>
    <w:rsid w:val="00E915BD"/>
    <w:rsid w:val="00E933E9"/>
    <w:rsid w:val="00E94E3F"/>
    <w:rsid w:val="00E975CD"/>
    <w:rsid w:val="00EA1926"/>
    <w:rsid w:val="00EA7E19"/>
    <w:rsid w:val="00EB4D42"/>
    <w:rsid w:val="00EB4F17"/>
    <w:rsid w:val="00EB5D0A"/>
    <w:rsid w:val="00EC0F83"/>
    <w:rsid w:val="00EC427E"/>
    <w:rsid w:val="00EC5518"/>
    <w:rsid w:val="00ED18EA"/>
    <w:rsid w:val="00ED44A3"/>
    <w:rsid w:val="00ED4D32"/>
    <w:rsid w:val="00ED5F9A"/>
    <w:rsid w:val="00ED655A"/>
    <w:rsid w:val="00EE0B83"/>
    <w:rsid w:val="00EF1A9B"/>
    <w:rsid w:val="00EF2343"/>
    <w:rsid w:val="00EF4581"/>
    <w:rsid w:val="00EF7DDE"/>
    <w:rsid w:val="00F01E1B"/>
    <w:rsid w:val="00F0442D"/>
    <w:rsid w:val="00F05161"/>
    <w:rsid w:val="00F07D74"/>
    <w:rsid w:val="00F10E51"/>
    <w:rsid w:val="00F10EDA"/>
    <w:rsid w:val="00F11C76"/>
    <w:rsid w:val="00F143D4"/>
    <w:rsid w:val="00F16629"/>
    <w:rsid w:val="00F21387"/>
    <w:rsid w:val="00F304C4"/>
    <w:rsid w:val="00F47E26"/>
    <w:rsid w:val="00F50FFE"/>
    <w:rsid w:val="00F547A0"/>
    <w:rsid w:val="00F55F3B"/>
    <w:rsid w:val="00F619FF"/>
    <w:rsid w:val="00F6324E"/>
    <w:rsid w:val="00F64CC9"/>
    <w:rsid w:val="00F76988"/>
    <w:rsid w:val="00F85CBB"/>
    <w:rsid w:val="00F92341"/>
    <w:rsid w:val="00FA25F6"/>
    <w:rsid w:val="00FA2E61"/>
    <w:rsid w:val="00FA7DCA"/>
    <w:rsid w:val="00FB1293"/>
    <w:rsid w:val="00FB2A3C"/>
    <w:rsid w:val="00FB4DAA"/>
    <w:rsid w:val="00FC035C"/>
    <w:rsid w:val="00FC1E63"/>
    <w:rsid w:val="00FC5A29"/>
    <w:rsid w:val="00FD1F4B"/>
    <w:rsid w:val="00FD3393"/>
    <w:rsid w:val="00FD41FA"/>
    <w:rsid w:val="00FD4CAB"/>
    <w:rsid w:val="00FD4D60"/>
    <w:rsid w:val="00FD58AC"/>
    <w:rsid w:val="00FE1BBE"/>
    <w:rsid w:val="00FE30C7"/>
    <w:rsid w:val="00FF1562"/>
    <w:rsid w:val="00FF7481"/>
    <w:rsid w:val="016A2DB4"/>
    <w:rsid w:val="017756E8"/>
    <w:rsid w:val="05164816"/>
    <w:rsid w:val="05610686"/>
    <w:rsid w:val="05B964CF"/>
    <w:rsid w:val="060E0E3B"/>
    <w:rsid w:val="06402431"/>
    <w:rsid w:val="07243FD1"/>
    <w:rsid w:val="09D639E8"/>
    <w:rsid w:val="0A8D21C5"/>
    <w:rsid w:val="0BC7573C"/>
    <w:rsid w:val="0D0E35C2"/>
    <w:rsid w:val="0D110512"/>
    <w:rsid w:val="0E4E75F4"/>
    <w:rsid w:val="0E552450"/>
    <w:rsid w:val="0F1A0CBE"/>
    <w:rsid w:val="107E3B3F"/>
    <w:rsid w:val="12445920"/>
    <w:rsid w:val="12DA2622"/>
    <w:rsid w:val="13043F1F"/>
    <w:rsid w:val="13245EA6"/>
    <w:rsid w:val="13775D36"/>
    <w:rsid w:val="13AE19D4"/>
    <w:rsid w:val="14646218"/>
    <w:rsid w:val="151B1A47"/>
    <w:rsid w:val="15374A02"/>
    <w:rsid w:val="168D77BF"/>
    <w:rsid w:val="16E20C5F"/>
    <w:rsid w:val="16E44E52"/>
    <w:rsid w:val="181129B6"/>
    <w:rsid w:val="19F0169C"/>
    <w:rsid w:val="1AFA2211"/>
    <w:rsid w:val="1D6D609D"/>
    <w:rsid w:val="1E2046BB"/>
    <w:rsid w:val="20BC18AC"/>
    <w:rsid w:val="241F09EE"/>
    <w:rsid w:val="243E0745"/>
    <w:rsid w:val="265E59C0"/>
    <w:rsid w:val="26D32207"/>
    <w:rsid w:val="277D0172"/>
    <w:rsid w:val="28600CE0"/>
    <w:rsid w:val="28715FFB"/>
    <w:rsid w:val="28AA285E"/>
    <w:rsid w:val="293B14C6"/>
    <w:rsid w:val="29565F5B"/>
    <w:rsid w:val="2A0216A3"/>
    <w:rsid w:val="2A111922"/>
    <w:rsid w:val="2AAF6FE1"/>
    <w:rsid w:val="2BB07E33"/>
    <w:rsid w:val="2BBC3477"/>
    <w:rsid w:val="2CED59FD"/>
    <w:rsid w:val="2D131653"/>
    <w:rsid w:val="2E16743C"/>
    <w:rsid w:val="2E377B67"/>
    <w:rsid w:val="2E7B1057"/>
    <w:rsid w:val="2EFF6D78"/>
    <w:rsid w:val="2FD2739B"/>
    <w:rsid w:val="2FDB25CE"/>
    <w:rsid w:val="3134519A"/>
    <w:rsid w:val="31825F28"/>
    <w:rsid w:val="31A967D6"/>
    <w:rsid w:val="31AE1D37"/>
    <w:rsid w:val="31DF64D3"/>
    <w:rsid w:val="31EF6F17"/>
    <w:rsid w:val="32136E68"/>
    <w:rsid w:val="333A220B"/>
    <w:rsid w:val="352256BF"/>
    <w:rsid w:val="36130A29"/>
    <w:rsid w:val="36AD1580"/>
    <w:rsid w:val="37692DE1"/>
    <w:rsid w:val="38774300"/>
    <w:rsid w:val="38BA2058"/>
    <w:rsid w:val="38E52BFD"/>
    <w:rsid w:val="396126B1"/>
    <w:rsid w:val="3ADB15A6"/>
    <w:rsid w:val="3CBB7AD1"/>
    <w:rsid w:val="3D2342E3"/>
    <w:rsid w:val="40BC36A0"/>
    <w:rsid w:val="41360F72"/>
    <w:rsid w:val="41C707FF"/>
    <w:rsid w:val="41FC53E2"/>
    <w:rsid w:val="43E353C2"/>
    <w:rsid w:val="43F91ADD"/>
    <w:rsid w:val="452B31FE"/>
    <w:rsid w:val="458963C8"/>
    <w:rsid w:val="46091B82"/>
    <w:rsid w:val="46FD39E3"/>
    <w:rsid w:val="470B499C"/>
    <w:rsid w:val="4771024E"/>
    <w:rsid w:val="479D2EF3"/>
    <w:rsid w:val="481C7F88"/>
    <w:rsid w:val="4A35705A"/>
    <w:rsid w:val="4B0B0517"/>
    <w:rsid w:val="4BA571ED"/>
    <w:rsid w:val="4E080BD8"/>
    <w:rsid w:val="4E526638"/>
    <w:rsid w:val="4E6624A5"/>
    <w:rsid w:val="4F1D1B3A"/>
    <w:rsid w:val="4F2F70DE"/>
    <w:rsid w:val="4FA627E7"/>
    <w:rsid w:val="4FE63454"/>
    <w:rsid w:val="50547513"/>
    <w:rsid w:val="53231B7D"/>
    <w:rsid w:val="536519BE"/>
    <w:rsid w:val="54426B9E"/>
    <w:rsid w:val="54B971CF"/>
    <w:rsid w:val="56273CED"/>
    <w:rsid w:val="58C01CFA"/>
    <w:rsid w:val="58E025AC"/>
    <w:rsid w:val="590A4201"/>
    <w:rsid w:val="595A0B3F"/>
    <w:rsid w:val="5B71573F"/>
    <w:rsid w:val="5CCF74A1"/>
    <w:rsid w:val="5D4252D2"/>
    <w:rsid w:val="5E51598B"/>
    <w:rsid w:val="5F5A2B17"/>
    <w:rsid w:val="60057B3D"/>
    <w:rsid w:val="632B1D8D"/>
    <w:rsid w:val="63964393"/>
    <w:rsid w:val="63CF4EBF"/>
    <w:rsid w:val="64F03153"/>
    <w:rsid w:val="65D66C4F"/>
    <w:rsid w:val="66AE4AB7"/>
    <w:rsid w:val="66D55234"/>
    <w:rsid w:val="67497382"/>
    <w:rsid w:val="683333B2"/>
    <w:rsid w:val="68DF5C9C"/>
    <w:rsid w:val="69963310"/>
    <w:rsid w:val="69A57EF7"/>
    <w:rsid w:val="6B55498B"/>
    <w:rsid w:val="6C4E7670"/>
    <w:rsid w:val="6C950DA8"/>
    <w:rsid w:val="6D217E75"/>
    <w:rsid w:val="6DAB5B32"/>
    <w:rsid w:val="6E9E0009"/>
    <w:rsid w:val="6FBD1AA2"/>
    <w:rsid w:val="6FED55CD"/>
    <w:rsid w:val="704A6448"/>
    <w:rsid w:val="709C64AE"/>
    <w:rsid w:val="716365D8"/>
    <w:rsid w:val="71E155E3"/>
    <w:rsid w:val="72C15CB8"/>
    <w:rsid w:val="7305393F"/>
    <w:rsid w:val="739D4B6A"/>
    <w:rsid w:val="73CB7307"/>
    <w:rsid w:val="74986E28"/>
    <w:rsid w:val="753A50E6"/>
    <w:rsid w:val="75677D65"/>
    <w:rsid w:val="75F67094"/>
    <w:rsid w:val="765F2683"/>
    <w:rsid w:val="76F86F9B"/>
    <w:rsid w:val="775B25DD"/>
    <w:rsid w:val="77A516CE"/>
    <w:rsid w:val="78250F02"/>
    <w:rsid w:val="78375A25"/>
    <w:rsid w:val="78C6139F"/>
    <w:rsid w:val="7A8F277D"/>
    <w:rsid w:val="7BA02259"/>
    <w:rsid w:val="7BB56E79"/>
    <w:rsid w:val="7CB571FB"/>
    <w:rsid w:val="7D2649DA"/>
    <w:rsid w:val="7E20639B"/>
    <w:rsid w:val="7E277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paragraph" w:styleId="3">
    <w:name w:val="heading 3"/>
    <w:basedOn w:val="1"/>
    <w:next w:val="1"/>
    <w:link w:val="15"/>
    <w:qFormat/>
    <w:uiPriority w:val="0"/>
    <w:pPr>
      <w:keepNext/>
      <w:keepLines/>
      <w:spacing w:before="260" w:after="260" w:line="413" w:lineRule="auto"/>
      <w:outlineLvl w:val="2"/>
    </w:pPr>
    <w:rPr>
      <w:rFonts w:ascii="Times New Roman" w:hAnsi="Times New Roman" w:eastAsia="黑体"/>
      <w:kern w:val="0"/>
      <w:sz w:val="32"/>
      <w:szCs w:val="20"/>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2"/>
    <w:qFormat/>
    <w:uiPriority w:val="0"/>
    <w:rPr>
      <w:rFonts w:ascii="Times New Roman" w:hAnsi="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spacing w:before="100" w:beforeAutospacing="1" w:after="100" w:afterAutospacing="1"/>
      <w:jc w:val="left"/>
    </w:pPr>
    <w:rPr>
      <w:kern w:val="0"/>
      <w:sz w:val="24"/>
    </w:r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link w:val="4"/>
    <w:qFormat/>
    <w:uiPriority w:val="0"/>
    <w:rPr>
      <w:kern w:val="2"/>
      <w:sz w:val="18"/>
      <w:szCs w:val="18"/>
    </w:rPr>
  </w:style>
  <w:style w:type="character" w:customStyle="1" w:styleId="13">
    <w:name w:val="l-btn-left2"/>
    <w:basedOn w:val="8"/>
    <w:qFormat/>
    <w:uiPriority w:val="0"/>
  </w:style>
  <w:style w:type="character" w:customStyle="1" w:styleId="14">
    <w:name w:val="l-btn-text"/>
    <w:basedOn w:val="8"/>
    <w:qFormat/>
    <w:uiPriority w:val="0"/>
  </w:style>
  <w:style w:type="character" w:customStyle="1" w:styleId="15">
    <w:name w:val="标题 3 Char"/>
    <w:link w:val="3"/>
    <w:qFormat/>
    <w:uiPriority w:val="0"/>
    <w:rPr>
      <w:rFonts w:eastAsia="黑体"/>
      <w:sz w:val="32"/>
    </w:rPr>
  </w:style>
  <w:style w:type="character" w:customStyle="1" w:styleId="16">
    <w:name w:val="fontstyle01"/>
    <w:qFormat/>
    <w:uiPriority w:val="0"/>
    <w:rPr>
      <w:rFonts w:hint="eastAsia" w:ascii="仿宋_GB2312" w:eastAsia="仿宋_GB2312"/>
      <w:color w:val="000000"/>
      <w:sz w:val="32"/>
      <w:szCs w:val="32"/>
    </w:rPr>
  </w:style>
  <w:style w:type="character" w:customStyle="1" w:styleId="17">
    <w:name w:val="l-btn-left3"/>
    <w:basedOn w:val="8"/>
    <w:qFormat/>
    <w:uiPriority w:val="0"/>
  </w:style>
  <w:style w:type="character" w:customStyle="1" w:styleId="18">
    <w:name w:val="l-btn-empty"/>
    <w:basedOn w:val="8"/>
    <w:qFormat/>
    <w:uiPriority w:val="0"/>
  </w:style>
  <w:style w:type="character" w:customStyle="1" w:styleId="19">
    <w:name w:val="l-btn-left1"/>
    <w:basedOn w:val="8"/>
    <w:qFormat/>
    <w:uiPriority w:val="0"/>
  </w:style>
  <w:style w:type="character" w:customStyle="1" w:styleId="20">
    <w:name w:val="l-btn-left"/>
    <w:basedOn w:val="8"/>
    <w:qFormat/>
    <w:uiPriority w:val="0"/>
  </w:style>
  <w:style w:type="character" w:customStyle="1" w:styleId="21">
    <w:name w:val="标题 3 Char1"/>
    <w:qFormat/>
    <w:uiPriority w:val="0"/>
    <w:rPr>
      <w:rFonts w:ascii="Times New Roman" w:hAnsi="Times New Roman" w:eastAsia="黑体" w:cs="Times New Roman"/>
      <w:sz w:val="32"/>
      <w:szCs w:val="24"/>
    </w:rPr>
  </w:style>
  <w:style w:type="character" w:customStyle="1" w:styleId="22">
    <w:name w:val="fontstyle21"/>
    <w:qFormat/>
    <w:uiPriority w:val="0"/>
    <w:rPr>
      <w:rFonts w:hint="eastAsia" w:ascii="楷体_GB2312" w:eastAsia="楷体_GB2312"/>
      <w:color w:val="000000"/>
      <w:sz w:val="32"/>
      <w:szCs w:val="32"/>
    </w:rPr>
  </w:style>
  <w:style w:type="paragraph" w:customStyle="1" w:styleId="23">
    <w:name w:val="彩色列表 - 强调文字颜色 11"/>
    <w:basedOn w:val="1"/>
    <w:qFormat/>
    <w:uiPriority w:val="99"/>
    <w:pPr>
      <w:ind w:firstLine="420" w:firstLineChars="200"/>
    </w:pPr>
  </w:style>
  <w:style w:type="paragraph" w:customStyle="1" w:styleId="24">
    <w:name w:val="样式1"/>
    <w:basedOn w:val="1"/>
    <w:qFormat/>
    <w:uiPriority w:val="0"/>
    <w:pPr>
      <w:widowControl/>
      <w:jc w:val="left"/>
    </w:pPr>
    <w:rPr>
      <w:rFonts w:ascii="仿宋_GB2312" w:hAnsi="仿宋" w:eastAsia="仿宋_GB2312"/>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974A9-3E3A-4598-8367-DD2C43FAF6C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131</Words>
  <Characters>748</Characters>
  <Lines>6</Lines>
  <Paragraphs>1</Paragraphs>
  <TotalTime>61</TotalTime>
  <ScaleCrop>false</ScaleCrop>
  <LinksUpToDate>false</LinksUpToDate>
  <CharactersWithSpaces>878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2020-11-01T14:56:00Z</dcterms:created>
  <dc:creator>刘胜</dc:creator>
  <cp:lastModifiedBy>LINHENG</cp:lastModifiedBy>
  <cp:lastPrinted>2018-09-18T15:14:00Z</cp:lastPrinted>
  <dcterms:modified xsi:type="dcterms:W3CDTF">2021-01-20T06:27:28Z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KSORubyTemplateID">
    <vt:lpwstr>6</vt:lpwstr>
  </property>
</Properties>
</file>