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52" w:rsidRPr="008020AD" w:rsidRDefault="002C3F6C">
      <w:pPr>
        <w:ind w:firstLineChars="0" w:firstLine="0"/>
        <w:jc w:val="left"/>
        <w:rPr>
          <w:rFonts w:ascii="黑体" w:eastAsia="黑体" w:hAnsi="黑体" w:cs="黑体"/>
          <w:bCs/>
          <w:szCs w:val="32"/>
        </w:rPr>
      </w:pPr>
      <w:r w:rsidRPr="008020AD">
        <w:rPr>
          <w:rFonts w:ascii="黑体" w:eastAsia="黑体" w:hAnsi="黑体" w:cs="黑体" w:hint="eastAsia"/>
          <w:bCs/>
          <w:szCs w:val="32"/>
        </w:rPr>
        <w:t>附件</w:t>
      </w:r>
      <w:r w:rsidRPr="008020AD">
        <w:rPr>
          <w:rFonts w:ascii="黑体" w:eastAsia="黑体" w:hAnsi="黑体" w:cs="黑体" w:hint="eastAsia"/>
          <w:bCs/>
          <w:szCs w:val="32"/>
        </w:rPr>
        <w:t>2</w:t>
      </w:r>
    </w:p>
    <w:p w:rsidR="00325B52" w:rsidRDefault="00325B52" w:rsidP="008020AD">
      <w:pPr>
        <w:pStyle w:val="a0"/>
        <w:ind w:firstLine="632"/>
      </w:pPr>
    </w:p>
    <w:p w:rsidR="00325B52" w:rsidRDefault="002C3F6C" w:rsidP="0096600A">
      <w:pPr>
        <w:pStyle w:val="1"/>
        <w:keepNext w:val="0"/>
        <w:keepLines w:val="0"/>
        <w:spacing w:before="0" w:after="0" w:line="600" w:lineRule="exact"/>
        <w:ind w:left="0" w:firstLineChars="0" w:firstLine="0"/>
        <w:jc w:val="center"/>
        <w:rPr>
          <w:rFonts w:ascii="Times New Roman" w:eastAsia="方正小标宋简体"/>
          <w:color w:val="000000" w:themeColor="text1"/>
          <w:kern w:val="2"/>
          <w:sz w:val="44"/>
          <w:szCs w:val="44"/>
        </w:rPr>
      </w:pPr>
      <w:r>
        <w:rPr>
          <w:rFonts w:ascii="Times New Roman" w:eastAsia="方正小标宋简体" w:hint="eastAsia"/>
          <w:color w:val="000000" w:themeColor="text1"/>
          <w:kern w:val="2"/>
          <w:sz w:val="44"/>
          <w:szCs w:val="44"/>
        </w:rPr>
        <w:t>关于</w:t>
      </w:r>
      <w:r>
        <w:rPr>
          <w:rFonts w:ascii="Times New Roman" w:eastAsia="方正小标宋简体"/>
          <w:color w:val="000000" w:themeColor="text1"/>
          <w:kern w:val="2"/>
          <w:sz w:val="44"/>
          <w:szCs w:val="44"/>
        </w:rPr>
        <w:t>《</w:t>
      </w:r>
      <w:r>
        <w:rPr>
          <w:rFonts w:ascii="Times New Roman" w:eastAsia="方正小标宋简体" w:hint="eastAsia"/>
          <w:color w:val="000000" w:themeColor="text1"/>
          <w:kern w:val="2"/>
          <w:sz w:val="44"/>
          <w:szCs w:val="44"/>
        </w:rPr>
        <w:t>深圳市饮用水源保护区划分和优化调整工作规范</w:t>
      </w:r>
      <w:r>
        <w:rPr>
          <w:rFonts w:ascii="Times New Roman" w:eastAsia="方正小标宋简体" w:hint="eastAsia"/>
          <w:color w:val="000000" w:themeColor="text1"/>
          <w:kern w:val="2"/>
          <w:sz w:val="44"/>
          <w:szCs w:val="44"/>
        </w:rPr>
        <w:t>（征求意见稿）</w:t>
      </w:r>
      <w:r>
        <w:rPr>
          <w:rFonts w:ascii="Times New Roman" w:eastAsia="方正小标宋简体"/>
          <w:color w:val="000000" w:themeColor="text1"/>
          <w:kern w:val="2"/>
          <w:sz w:val="44"/>
          <w:szCs w:val="44"/>
        </w:rPr>
        <w:t>》</w:t>
      </w:r>
      <w:r>
        <w:rPr>
          <w:rFonts w:ascii="Times New Roman" w:eastAsia="方正小标宋简体" w:hint="eastAsia"/>
          <w:color w:val="000000" w:themeColor="text1"/>
          <w:kern w:val="2"/>
          <w:sz w:val="44"/>
          <w:szCs w:val="44"/>
        </w:rPr>
        <w:t>的编制</w:t>
      </w:r>
      <w:r>
        <w:rPr>
          <w:rFonts w:ascii="Times New Roman" w:eastAsia="方正小标宋简体" w:hint="eastAsia"/>
          <w:color w:val="000000" w:themeColor="text1"/>
          <w:kern w:val="2"/>
          <w:sz w:val="44"/>
          <w:szCs w:val="44"/>
        </w:rPr>
        <w:t>说明</w:t>
      </w:r>
    </w:p>
    <w:p w:rsidR="00325B52" w:rsidRDefault="00325B52">
      <w:pPr>
        <w:pStyle w:val="even"/>
        <w:ind w:firstLineChars="0" w:firstLine="0"/>
        <w:rPr>
          <w:rFonts w:ascii="Times New Roman" w:hAnsi="Times New Roman"/>
          <w:color w:val="000000" w:themeColor="text1"/>
          <w:sz w:val="32"/>
          <w:szCs w:val="32"/>
        </w:rPr>
      </w:pPr>
    </w:p>
    <w:p w:rsidR="00325B52" w:rsidRDefault="00325B52">
      <w:pPr>
        <w:spacing w:line="560" w:lineRule="exact"/>
        <w:ind w:firstLine="632"/>
        <w:rPr>
          <w:rFonts w:ascii="黑体" w:eastAsia="黑体" w:hAnsi="黑体"/>
          <w:color w:val="000000" w:themeColor="text1"/>
          <w:szCs w:val="32"/>
        </w:rPr>
      </w:pPr>
    </w:p>
    <w:p w:rsidR="00325B52" w:rsidRDefault="002C3F6C" w:rsidP="00EA2B7B">
      <w:pPr>
        <w:ind w:firstLine="632"/>
        <w:rPr>
          <w:rFonts w:ascii="黑体" w:eastAsia="黑体" w:hAnsi="黑体"/>
          <w:color w:val="000000" w:themeColor="text1"/>
          <w:szCs w:val="32"/>
        </w:rPr>
      </w:pPr>
      <w:r>
        <w:rPr>
          <w:rFonts w:ascii="黑体" w:eastAsia="黑体" w:hAnsi="黑体" w:hint="eastAsia"/>
          <w:color w:val="000000" w:themeColor="text1"/>
          <w:szCs w:val="32"/>
        </w:rPr>
        <w:t>一、</w:t>
      </w:r>
      <w:r>
        <w:rPr>
          <w:rFonts w:ascii="黑体" w:eastAsia="黑体" w:hAnsi="黑体" w:hint="eastAsia"/>
          <w:color w:val="000000" w:themeColor="text1"/>
          <w:szCs w:val="32"/>
        </w:rPr>
        <w:t>编制</w:t>
      </w:r>
      <w:r>
        <w:rPr>
          <w:rFonts w:ascii="黑体" w:eastAsia="黑体" w:hAnsi="黑体" w:hint="eastAsia"/>
          <w:color w:val="000000" w:themeColor="text1"/>
          <w:szCs w:val="32"/>
        </w:rPr>
        <w:t>背景</w:t>
      </w:r>
    </w:p>
    <w:p w:rsidR="00325B52" w:rsidRDefault="00EA2B7B" w:rsidP="00EA2B7B">
      <w:pPr>
        <w:ind w:firstLine="632"/>
        <w:rPr>
          <w:rFonts w:ascii="黑体" w:eastAsia="黑体" w:hAnsi="黑体"/>
          <w:color w:val="000000" w:themeColor="text1"/>
          <w:szCs w:val="32"/>
        </w:rPr>
      </w:pPr>
      <w:r>
        <w:rPr>
          <w:rFonts w:ascii="仿宋_GB2312" w:hAnsi="仿宋_GB2312" w:cs="仿宋_GB2312" w:hint="eastAsia"/>
          <w:szCs w:val="40"/>
        </w:rPr>
        <w:t>为全面贯彻落实</w:t>
      </w:r>
      <w:r w:rsidR="002C3F6C">
        <w:rPr>
          <w:rFonts w:ascii="仿宋_GB2312" w:hAnsi="仿宋_GB2312" w:cs="仿宋_GB2312" w:hint="eastAsia"/>
          <w:szCs w:val="40"/>
        </w:rPr>
        <w:t>“绿水青山就是金山银山”理念，坚持生态优先、绿色发展，科学规范划定饮用水源保护区，加强水源保护区规范化建设，切实保障饮用水源水质安全，承接好省</w:t>
      </w:r>
      <w:r w:rsidR="002C3F6C">
        <w:rPr>
          <w:rFonts w:ascii="仿宋_GB2312" w:hAnsi="仿宋_GB2312" w:cs="仿宋_GB2312" w:hint="eastAsia"/>
          <w:szCs w:val="40"/>
        </w:rPr>
        <w:t>政府下放</w:t>
      </w:r>
      <w:r w:rsidR="002C3F6C">
        <w:rPr>
          <w:rFonts w:ascii="仿宋_GB2312" w:hAnsi="仿宋_GB2312" w:cs="仿宋_GB2312" w:hint="eastAsia"/>
          <w:szCs w:val="40"/>
        </w:rPr>
        <w:t>我市</w:t>
      </w:r>
      <w:r w:rsidR="002C3F6C">
        <w:rPr>
          <w:rFonts w:ascii="仿宋_GB2312" w:hAnsi="仿宋_GB2312" w:cs="仿宋_GB2312" w:hint="eastAsia"/>
          <w:szCs w:val="40"/>
        </w:rPr>
        <w:t>开展</w:t>
      </w:r>
      <w:r w:rsidR="002C3F6C">
        <w:rPr>
          <w:rFonts w:ascii="仿宋_GB2312" w:hAnsi="仿宋_GB2312" w:cs="仿宋_GB2312" w:hint="eastAsia"/>
          <w:szCs w:val="40"/>
        </w:rPr>
        <w:t>水源保护区划</w:t>
      </w:r>
      <w:proofErr w:type="gramStart"/>
      <w:r w:rsidR="002C3F6C">
        <w:rPr>
          <w:rFonts w:ascii="仿宋_GB2312" w:hAnsi="仿宋_GB2312" w:cs="仿宋_GB2312" w:hint="eastAsia"/>
          <w:szCs w:val="40"/>
        </w:rPr>
        <w:t>分调整</w:t>
      </w:r>
      <w:proofErr w:type="gramEnd"/>
      <w:r w:rsidR="002C3F6C">
        <w:rPr>
          <w:rFonts w:ascii="仿宋_GB2312" w:hAnsi="仿宋_GB2312" w:cs="仿宋_GB2312" w:hint="eastAsia"/>
          <w:szCs w:val="40"/>
        </w:rPr>
        <w:t>审批</w:t>
      </w:r>
      <w:r w:rsidR="002C3F6C">
        <w:rPr>
          <w:rFonts w:ascii="仿宋_GB2312" w:hAnsi="仿宋_GB2312" w:cs="仿宋_GB2312" w:hint="eastAsia"/>
          <w:szCs w:val="40"/>
        </w:rPr>
        <w:t>职能相关工作</w:t>
      </w:r>
      <w:r w:rsidR="002C3F6C">
        <w:rPr>
          <w:rFonts w:ascii="仿宋_GB2312" w:hAnsi="仿宋_GB2312" w:cs="仿宋_GB2312" w:hint="eastAsia"/>
          <w:szCs w:val="40"/>
        </w:rPr>
        <w:t>的权限，我局组织编制了《深圳市饮用水源保护区划分和优化调整工作规范（征求意见稿）》（以下简称“工作规范”）。</w:t>
      </w:r>
      <w:bookmarkStart w:id="0" w:name="_GoBack"/>
      <w:bookmarkEnd w:id="0"/>
    </w:p>
    <w:p w:rsidR="00325B52" w:rsidRDefault="002C3F6C" w:rsidP="00EA2B7B">
      <w:pPr>
        <w:ind w:firstLine="632"/>
        <w:rPr>
          <w:rFonts w:ascii="黑体" w:eastAsia="黑体" w:hAnsi="黑体"/>
          <w:szCs w:val="32"/>
        </w:rPr>
      </w:pPr>
      <w:r>
        <w:rPr>
          <w:rFonts w:ascii="黑体" w:eastAsia="黑体" w:hAnsi="黑体" w:hint="eastAsia"/>
          <w:szCs w:val="32"/>
        </w:rPr>
        <w:t>二、编制依据</w:t>
      </w:r>
    </w:p>
    <w:p w:rsidR="00325B52" w:rsidRDefault="002C3F6C" w:rsidP="00EA2B7B">
      <w:pPr>
        <w:ind w:firstLine="632"/>
        <w:rPr>
          <w:rFonts w:ascii="仿宋_GB2312" w:hAnsi="宋体" w:cs="宋体"/>
          <w:kern w:val="0"/>
          <w:szCs w:val="32"/>
        </w:rPr>
      </w:pPr>
      <w:r>
        <w:rPr>
          <w:rFonts w:ascii="仿宋_GB2312" w:hAnsi="宋体" w:cs="宋体" w:hint="eastAsia"/>
          <w:kern w:val="0"/>
          <w:szCs w:val="32"/>
        </w:rPr>
        <w:t>（一）《</w:t>
      </w:r>
      <w:r>
        <w:rPr>
          <w:rFonts w:ascii="仿宋_GB2312" w:hAnsi="宋体" w:cs="宋体" w:hint="eastAsia"/>
          <w:kern w:val="0"/>
          <w:szCs w:val="32"/>
        </w:rPr>
        <w:t>中华人民共和国水污染防治法</w:t>
      </w:r>
      <w:r>
        <w:rPr>
          <w:rFonts w:ascii="仿宋_GB2312" w:hAnsi="宋体" w:cs="宋体" w:hint="eastAsia"/>
          <w:kern w:val="0"/>
          <w:szCs w:val="32"/>
        </w:rPr>
        <w:t>》</w:t>
      </w:r>
    </w:p>
    <w:p w:rsidR="00325B52" w:rsidRDefault="002C3F6C" w:rsidP="00EA2B7B">
      <w:pPr>
        <w:ind w:firstLine="632"/>
        <w:rPr>
          <w:rFonts w:ascii="仿宋_GB2312"/>
          <w:szCs w:val="32"/>
        </w:rPr>
      </w:pPr>
      <w:r>
        <w:rPr>
          <w:rFonts w:ascii="仿宋_GB2312" w:hAnsi="宋体" w:cs="宋体" w:hint="eastAsia"/>
          <w:kern w:val="0"/>
          <w:szCs w:val="32"/>
        </w:rPr>
        <w:t>（二）</w:t>
      </w:r>
      <w:r>
        <w:rPr>
          <w:rFonts w:ascii="仿宋_GB2312" w:hint="eastAsia"/>
          <w:szCs w:val="32"/>
        </w:rPr>
        <w:t>《</w:t>
      </w:r>
      <w:r>
        <w:rPr>
          <w:rFonts w:ascii="仿宋_GB2312" w:hint="eastAsia"/>
          <w:szCs w:val="32"/>
        </w:rPr>
        <w:t>深圳经济特区饮用水源保护条例（</w:t>
      </w:r>
      <w:r>
        <w:rPr>
          <w:rFonts w:ascii="仿宋_GB2312" w:hint="eastAsia"/>
          <w:szCs w:val="32"/>
        </w:rPr>
        <w:t>2018</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27</w:t>
      </w:r>
      <w:r>
        <w:rPr>
          <w:rFonts w:ascii="仿宋_GB2312" w:hint="eastAsia"/>
          <w:szCs w:val="32"/>
        </w:rPr>
        <w:t>日修正）</w:t>
      </w:r>
      <w:r>
        <w:rPr>
          <w:rFonts w:ascii="仿宋_GB2312" w:hint="eastAsia"/>
          <w:szCs w:val="32"/>
        </w:rPr>
        <w:t>》</w:t>
      </w:r>
    </w:p>
    <w:p w:rsidR="00325B52" w:rsidRDefault="002C3F6C" w:rsidP="00EA2B7B">
      <w:pPr>
        <w:ind w:firstLine="632"/>
        <w:rPr>
          <w:rFonts w:ascii="仿宋_GB2312"/>
          <w:szCs w:val="32"/>
        </w:rPr>
      </w:pPr>
      <w:r>
        <w:rPr>
          <w:rFonts w:ascii="仿宋_GB2312" w:hint="eastAsia"/>
          <w:szCs w:val="32"/>
        </w:rPr>
        <w:t>（三）《</w:t>
      </w:r>
      <w:r>
        <w:rPr>
          <w:rFonts w:ascii="仿宋_GB2312" w:hint="eastAsia"/>
          <w:szCs w:val="32"/>
        </w:rPr>
        <w:t>饮用水水源保护区划分技术规范</w:t>
      </w:r>
      <w:r>
        <w:rPr>
          <w:rFonts w:ascii="仿宋_GB2312" w:hint="eastAsia"/>
          <w:szCs w:val="32"/>
        </w:rPr>
        <w:t>》（</w:t>
      </w:r>
      <w:r>
        <w:rPr>
          <w:rFonts w:ascii="仿宋_GB2312" w:hint="eastAsia"/>
          <w:szCs w:val="32"/>
        </w:rPr>
        <w:t>HJ338-2018</w:t>
      </w:r>
      <w:r>
        <w:rPr>
          <w:rFonts w:ascii="仿宋_GB2312" w:hint="eastAsia"/>
          <w:szCs w:val="32"/>
        </w:rPr>
        <w:t>）</w:t>
      </w:r>
    </w:p>
    <w:p w:rsidR="00325B52" w:rsidRDefault="002C3F6C" w:rsidP="00EA2B7B">
      <w:pPr>
        <w:ind w:firstLine="632"/>
        <w:rPr>
          <w:rFonts w:ascii="仿宋_GB2312"/>
          <w:szCs w:val="32"/>
        </w:rPr>
      </w:pPr>
      <w:r>
        <w:rPr>
          <w:rFonts w:ascii="仿宋_GB2312" w:hint="eastAsia"/>
          <w:szCs w:val="32"/>
        </w:rPr>
        <w:t>（四</w:t>
      </w:r>
      <w:r>
        <w:rPr>
          <w:rFonts w:ascii="仿宋_GB2312" w:hint="eastAsia"/>
          <w:szCs w:val="32"/>
        </w:rPr>
        <w:t>）</w:t>
      </w:r>
      <w:r>
        <w:rPr>
          <w:rFonts w:ascii="仿宋_GB2312" w:hint="eastAsia"/>
          <w:szCs w:val="32"/>
        </w:rPr>
        <w:t>《</w:t>
      </w:r>
      <w:r>
        <w:rPr>
          <w:rFonts w:ascii="仿宋_GB2312" w:hint="eastAsia"/>
          <w:szCs w:val="32"/>
        </w:rPr>
        <w:t>广东省环境保护厅关于加强和规范饮用水水源保护区划分和优化调整工作的通知</w:t>
      </w:r>
      <w:r>
        <w:rPr>
          <w:rFonts w:ascii="仿宋_GB2312" w:hint="eastAsia"/>
          <w:szCs w:val="32"/>
        </w:rPr>
        <w:t>》（</w:t>
      </w:r>
      <w:proofErr w:type="gramStart"/>
      <w:r>
        <w:rPr>
          <w:rFonts w:ascii="仿宋_GB2312" w:hint="eastAsia"/>
          <w:szCs w:val="32"/>
        </w:rPr>
        <w:t>粤环函</w:t>
      </w:r>
      <w:proofErr w:type="gramEnd"/>
      <w:r>
        <w:rPr>
          <w:rFonts w:ascii="仿宋_GB2312" w:hint="eastAsia"/>
          <w:szCs w:val="32"/>
        </w:rPr>
        <w:t>〔</w:t>
      </w:r>
      <w:r>
        <w:rPr>
          <w:rFonts w:ascii="仿宋_GB2312" w:hint="eastAsia"/>
          <w:szCs w:val="32"/>
        </w:rPr>
        <w:t>201</w:t>
      </w:r>
      <w:r>
        <w:rPr>
          <w:rFonts w:ascii="仿宋_GB2312" w:hint="eastAsia"/>
          <w:szCs w:val="32"/>
        </w:rPr>
        <w:t>8</w:t>
      </w:r>
      <w:r>
        <w:rPr>
          <w:rFonts w:ascii="仿宋_GB2312" w:hint="eastAsia"/>
          <w:szCs w:val="32"/>
        </w:rPr>
        <w:t>〕</w:t>
      </w:r>
      <w:r>
        <w:rPr>
          <w:rFonts w:ascii="仿宋_GB2312" w:hint="eastAsia"/>
          <w:szCs w:val="32"/>
        </w:rPr>
        <w:t>672</w:t>
      </w:r>
      <w:r>
        <w:rPr>
          <w:rFonts w:ascii="仿宋_GB2312" w:hint="eastAsia"/>
          <w:szCs w:val="32"/>
        </w:rPr>
        <w:t>号）</w:t>
      </w:r>
    </w:p>
    <w:p w:rsidR="00325B52" w:rsidRDefault="002C3F6C" w:rsidP="00EA2B7B">
      <w:pPr>
        <w:ind w:firstLine="632"/>
        <w:rPr>
          <w:rFonts w:ascii="仿宋_GB2312"/>
          <w:szCs w:val="32"/>
        </w:rPr>
      </w:pPr>
      <w:r>
        <w:rPr>
          <w:rFonts w:ascii="仿宋_GB2312" w:hint="eastAsia"/>
          <w:szCs w:val="32"/>
        </w:rPr>
        <w:t>（五）《</w:t>
      </w:r>
      <w:r>
        <w:rPr>
          <w:rFonts w:ascii="仿宋_GB2312" w:hint="eastAsia"/>
          <w:szCs w:val="32"/>
        </w:rPr>
        <w:t>广东省人民政府关于调整深圳市西丽水库和赤坳水库饮用水水源保护区的批复</w:t>
      </w:r>
      <w:r>
        <w:rPr>
          <w:rFonts w:ascii="仿宋_GB2312" w:hint="eastAsia"/>
          <w:szCs w:val="32"/>
        </w:rPr>
        <w:t>》（</w:t>
      </w:r>
      <w:r>
        <w:rPr>
          <w:rFonts w:ascii="仿宋_GB2312" w:hint="eastAsia"/>
          <w:szCs w:val="32"/>
        </w:rPr>
        <w:t>粤府函</w:t>
      </w:r>
      <w:r>
        <w:rPr>
          <w:rFonts w:ascii="仿宋_GB2312" w:hint="eastAsia"/>
          <w:szCs w:val="32"/>
        </w:rPr>
        <w:t>〔</w:t>
      </w:r>
      <w:r>
        <w:rPr>
          <w:rFonts w:ascii="仿宋_GB2312"/>
          <w:szCs w:val="32"/>
        </w:rPr>
        <w:t>20</w:t>
      </w:r>
      <w:r>
        <w:rPr>
          <w:rFonts w:ascii="仿宋_GB2312" w:hint="eastAsia"/>
          <w:szCs w:val="32"/>
        </w:rPr>
        <w:t>18</w:t>
      </w:r>
      <w:r>
        <w:rPr>
          <w:rFonts w:ascii="仿宋_GB2312" w:hint="eastAsia"/>
          <w:szCs w:val="32"/>
        </w:rPr>
        <w:t>〕</w:t>
      </w:r>
      <w:r>
        <w:rPr>
          <w:rFonts w:ascii="仿宋_GB2312" w:hint="eastAsia"/>
          <w:szCs w:val="32"/>
        </w:rPr>
        <w:t>313</w:t>
      </w:r>
      <w:r>
        <w:rPr>
          <w:rFonts w:ascii="仿宋_GB2312" w:hint="eastAsia"/>
          <w:szCs w:val="32"/>
        </w:rPr>
        <w:t>号）</w:t>
      </w:r>
    </w:p>
    <w:p w:rsidR="00325B52" w:rsidRDefault="002C3F6C" w:rsidP="00EA2B7B">
      <w:pPr>
        <w:ind w:firstLine="632"/>
        <w:rPr>
          <w:rFonts w:ascii="仿宋_GB2312"/>
          <w:szCs w:val="32"/>
        </w:rPr>
      </w:pPr>
      <w:r>
        <w:rPr>
          <w:rFonts w:ascii="仿宋_GB2312" w:hint="eastAsia"/>
          <w:szCs w:val="32"/>
        </w:rPr>
        <w:lastRenderedPageBreak/>
        <w:t>（六）《</w:t>
      </w:r>
      <w:r>
        <w:rPr>
          <w:rFonts w:ascii="仿宋_GB2312" w:hint="eastAsia"/>
          <w:szCs w:val="32"/>
        </w:rPr>
        <w:t>广东省人民政府关于调整深圳市部分饮用水水源保护区的批复</w:t>
      </w:r>
      <w:r>
        <w:rPr>
          <w:rFonts w:ascii="仿宋_GB2312" w:hint="eastAsia"/>
          <w:szCs w:val="32"/>
        </w:rPr>
        <w:t>》（</w:t>
      </w:r>
      <w:r>
        <w:rPr>
          <w:rFonts w:ascii="仿宋_GB2312" w:hint="eastAsia"/>
          <w:szCs w:val="32"/>
        </w:rPr>
        <w:t>粤府函</w:t>
      </w:r>
      <w:r>
        <w:rPr>
          <w:rFonts w:ascii="仿宋_GB2312" w:hint="eastAsia"/>
          <w:szCs w:val="32"/>
        </w:rPr>
        <w:t>〔</w:t>
      </w:r>
      <w:r>
        <w:rPr>
          <w:rFonts w:ascii="仿宋_GB2312" w:hint="eastAsia"/>
          <w:szCs w:val="32"/>
        </w:rPr>
        <w:t>201</w:t>
      </w:r>
      <w:r>
        <w:rPr>
          <w:rFonts w:ascii="仿宋_GB2312" w:hint="eastAsia"/>
          <w:szCs w:val="32"/>
        </w:rPr>
        <w:t>8</w:t>
      </w:r>
      <w:r>
        <w:rPr>
          <w:rFonts w:ascii="仿宋_GB2312" w:hint="eastAsia"/>
          <w:szCs w:val="32"/>
        </w:rPr>
        <w:t>〕</w:t>
      </w:r>
      <w:r>
        <w:rPr>
          <w:rFonts w:ascii="仿宋_GB2312" w:hint="eastAsia"/>
          <w:szCs w:val="32"/>
        </w:rPr>
        <w:t>424</w:t>
      </w:r>
      <w:r>
        <w:rPr>
          <w:rFonts w:ascii="仿宋_GB2312" w:hint="eastAsia"/>
          <w:szCs w:val="32"/>
        </w:rPr>
        <w:t>号）</w:t>
      </w:r>
    </w:p>
    <w:p w:rsidR="00325B52" w:rsidRDefault="002C3F6C" w:rsidP="00EA2B7B">
      <w:pPr>
        <w:ind w:firstLine="632"/>
        <w:rPr>
          <w:rFonts w:ascii="仿宋_GB2312"/>
          <w:bCs/>
          <w:szCs w:val="32"/>
        </w:rPr>
      </w:pPr>
      <w:r>
        <w:rPr>
          <w:rFonts w:ascii="仿宋_GB2312" w:hint="eastAsia"/>
          <w:szCs w:val="32"/>
        </w:rPr>
        <w:t>（七）《</w:t>
      </w:r>
      <w:r>
        <w:rPr>
          <w:rFonts w:ascii="仿宋_GB2312" w:hint="eastAsia"/>
          <w:szCs w:val="32"/>
        </w:rPr>
        <w:t>深圳市人民政府关于深圳市饮用水水源保护区优化调整事宜的通知</w:t>
      </w:r>
      <w:r>
        <w:rPr>
          <w:rFonts w:ascii="仿宋_GB2312" w:hint="eastAsia"/>
          <w:szCs w:val="32"/>
        </w:rPr>
        <w:t>》</w:t>
      </w:r>
      <w:r>
        <w:rPr>
          <w:rFonts w:ascii="仿宋_GB2312" w:hint="eastAsia"/>
          <w:szCs w:val="32"/>
        </w:rPr>
        <w:t>（</w:t>
      </w:r>
      <w:r>
        <w:rPr>
          <w:rFonts w:ascii="仿宋_GB2312" w:hint="eastAsia"/>
          <w:szCs w:val="32"/>
        </w:rPr>
        <w:t>深府函</w:t>
      </w:r>
      <w:r>
        <w:rPr>
          <w:rFonts w:ascii="仿宋_GB2312" w:hint="eastAsia"/>
          <w:szCs w:val="32"/>
        </w:rPr>
        <w:t>〔</w:t>
      </w:r>
      <w:r>
        <w:rPr>
          <w:rFonts w:ascii="仿宋_GB2312" w:hint="eastAsia"/>
          <w:szCs w:val="32"/>
        </w:rPr>
        <w:t>2019</w:t>
      </w:r>
      <w:r>
        <w:rPr>
          <w:rFonts w:ascii="仿宋_GB2312" w:hint="eastAsia"/>
          <w:szCs w:val="32"/>
        </w:rPr>
        <w:t>〕</w:t>
      </w:r>
      <w:r>
        <w:rPr>
          <w:rFonts w:ascii="仿宋_GB2312" w:hint="eastAsia"/>
          <w:szCs w:val="32"/>
        </w:rPr>
        <w:t>258</w:t>
      </w:r>
      <w:r>
        <w:rPr>
          <w:rFonts w:ascii="仿宋_GB2312" w:hint="eastAsia"/>
          <w:szCs w:val="32"/>
        </w:rPr>
        <w:t>号）</w:t>
      </w:r>
    </w:p>
    <w:p w:rsidR="00325B52" w:rsidRDefault="002C3F6C" w:rsidP="00EA2B7B">
      <w:pPr>
        <w:ind w:firstLine="632"/>
        <w:outlineLvl w:val="0"/>
        <w:rPr>
          <w:rFonts w:eastAsia="黑体"/>
          <w:color w:val="000000" w:themeColor="text1"/>
          <w:szCs w:val="32"/>
        </w:rPr>
      </w:pPr>
      <w:r>
        <w:rPr>
          <w:rFonts w:eastAsia="黑体" w:hint="eastAsia"/>
          <w:color w:val="000000" w:themeColor="text1"/>
          <w:szCs w:val="32"/>
        </w:rPr>
        <w:t>三</w:t>
      </w:r>
      <w:r>
        <w:rPr>
          <w:rFonts w:eastAsia="黑体"/>
          <w:color w:val="000000" w:themeColor="text1"/>
          <w:szCs w:val="32"/>
        </w:rPr>
        <w:t>、</w:t>
      </w:r>
      <w:r>
        <w:rPr>
          <w:rFonts w:ascii="黑体" w:eastAsia="黑体" w:hAnsi="黑体" w:hint="eastAsia"/>
          <w:color w:val="000000" w:themeColor="text1"/>
          <w:szCs w:val="32"/>
        </w:rPr>
        <w:t>《</w:t>
      </w:r>
      <w:r>
        <w:rPr>
          <w:rFonts w:ascii="黑体" w:eastAsia="黑体" w:hAnsi="黑体" w:hint="eastAsia"/>
          <w:color w:val="000000" w:themeColor="text1"/>
          <w:szCs w:val="32"/>
        </w:rPr>
        <w:t>规范</w:t>
      </w:r>
      <w:r>
        <w:rPr>
          <w:rFonts w:ascii="黑体" w:eastAsia="黑体" w:hAnsi="黑体" w:hint="eastAsia"/>
          <w:color w:val="000000" w:themeColor="text1"/>
          <w:szCs w:val="32"/>
        </w:rPr>
        <w:t>》</w:t>
      </w:r>
      <w:r>
        <w:rPr>
          <w:rFonts w:ascii="黑体" w:eastAsia="黑体" w:hAnsi="黑体" w:hint="eastAsia"/>
          <w:color w:val="000000" w:themeColor="text1"/>
          <w:szCs w:val="32"/>
        </w:rPr>
        <w:t>编制</w:t>
      </w:r>
      <w:r>
        <w:rPr>
          <w:rFonts w:eastAsia="黑体" w:hint="eastAsia"/>
          <w:color w:val="000000" w:themeColor="text1"/>
          <w:szCs w:val="32"/>
        </w:rPr>
        <w:t>思路</w:t>
      </w:r>
    </w:p>
    <w:p w:rsidR="00325B52" w:rsidRDefault="002C3F6C" w:rsidP="00EA2B7B">
      <w:pPr>
        <w:ind w:firstLine="632"/>
        <w:rPr>
          <w:color w:val="000000" w:themeColor="text1"/>
          <w:szCs w:val="32"/>
        </w:rPr>
      </w:pPr>
      <w:r>
        <w:rPr>
          <w:rFonts w:hint="eastAsia"/>
          <w:color w:val="000000" w:themeColor="text1"/>
          <w:szCs w:val="32"/>
        </w:rPr>
        <w:t>20</w:t>
      </w:r>
      <w:r>
        <w:rPr>
          <w:rFonts w:hint="eastAsia"/>
          <w:color w:val="000000" w:themeColor="text1"/>
          <w:szCs w:val="32"/>
        </w:rPr>
        <w:t>20</w:t>
      </w:r>
      <w:r>
        <w:rPr>
          <w:rFonts w:hint="eastAsia"/>
          <w:color w:val="000000" w:themeColor="text1"/>
          <w:szCs w:val="32"/>
        </w:rPr>
        <w:t>年</w:t>
      </w:r>
      <w:r>
        <w:rPr>
          <w:rFonts w:hint="eastAsia"/>
          <w:color w:val="000000" w:themeColor="text1"/>
          <w:szCs w:val="32"/>
        </w:rPr>
        <w:t>12</w:t>
      </w:r>
      <w:r>
        <w:rPr>
          <w:rFonts w:hint="eastAsia"/>
          <w:color w:val="000000" w:themeColor="text1"/>
          <w:szCs w:val="32"/>
        </w:rPr>
        <w:t>月，开展资料收集和分析、</w:t>
      </w:r>
      <w:r>
        <w:rPr>
          <w:rFonts w:hint="eastAsia"/>
          <w:color w:val="000000" w:themeColor="text1"/>
          <w:szCs w:val="32"/>
        </w:rPr>
        <w:t>整理等工作</w:t>
      </w:r>
      <w:r>
        <w:rPr>
          <w:rFonts w:hint="eastAsia"/>
          <w:color w:val="000000" w:themeColor="text1"/>
          <w:szCs w:val="32"/>
        </w:rPr>
        <w:t>。收集</w:t>
      </w:r>
      <w:r>
        <w:rPr>
          <w:rFonts w:hint="eastAsia"/>
          <w:color w:val="000000" w:themeColor="text1"/>
          <w:szCs w:val="32"/>
        </w:rPr>
        <w:t>分析</w:t>
      </w:r>
      <w:r>
        <w:rPr>
          <w:rFonts w:hint="eastAsia"/>
          <w:color w:val="000000" w:themeColor="text1"/>
          <w:szCs w:val="32"/>
        </w:rPr>
        <w:t>了包括国家、</w:t>
      </w:r>
      <w:r>
        <w:rPr>
          <w:rFonts w:hint="eastAsia"/>
          <w:color w:val="000000" w:themeColor="text1"/>
          <w:szCs w:val="32"/>
        </w:rPr>
        <w:t>广东省、深圳市</w:t>
      </w:r>
      <w:r>
        <w:rPr>
          <w:rFonts w:hint="eastAsia"/>
          <w:color w:val="000000" w:themeColor="text1"/>
          <w:szCs w:val="32"/>
        </w:rPr>
        <w:t>出台</w:t>
      </w:r>
      <w:r>
        <w:rPr>
          <w:rFonts w:hint="eastAsia"/>
          <w:color w:val="000000" w:themeColor="text1"/>
          <w:szCs w:val="32"/>
        </w:rPr>
        <w:t>饮用水源保护区相关管理及批复文件，并整理</w:t>
      </w:r>
      <w:r>
        <w:rPr>
          <w:rFonts w:hint="eastAsia"/>
          <w:color w:val="000000" w:themeColor="text1"/>
          <w:szCs w:val="32"/>
        </w:rPr>
        <w:t>2018</w:t>
      </w:r>
      <w:r>
        <w:rPr>
          <w:rFonts w:hint="eastAsia"/>
          <w:color w:val="000000" w:themeColor="text1"/>
          <w:szCs w:val="32"/>
        </w:rPr>
        <w:t>年全市饮用水源保护区优化调整工作流程，</w:t>
      </w:r>
      <w:r>
        <w:rPr>
          <w:rFonts w:hint="eastAsia"/>
          <w:color w:val="000000" w:themeColor="text1"/>
          <w:szCs w:val="32"/>
        </w:rPr>
        <w:t>为</w:t>
      </w:r>
      <w:r>
        <w:rPr>
          <w:rFonts w:hint="eastAsia"/>
          <w:color w:val="000000" w:themeColor="text1"/>
          <w:szCs w:val="32"/>
        </w:rPr>
        <w:t>起草</w:t>
      </w:r>
      <w:r>
        <w:rPr>
          <w:rFonts w:ascii="仿宋_GB2312" w:hAnsi="仿宋_GB2312" w:cs="仿宋_GB2312" w:hint="eastAsia"/>
          <w:szCs w:val="40"/>
        </w:rPr>
        <w:t>工作规范</w:t>
      </w:r>
      <w:r>
        <w:rPr>
          <w:rFonts w:hint="eastAsia"/>
          <w:color w:val="000000" w:themeColor="text1"/>
          <w:szCs w:val="32"/>
        </w:rPr>
        <w:t>做了前期准备。</w:t>
      </w:r>
    </w:p>
    <w:p w:rsidR="00325B52" w:rsidRDefault="002C3F6C" w:rsidP="00EA2B7B">
      <w:pPr>
        <w:ind w:firstLine="632"/>
        <w:rPr>
          <w:color w:val="000000" w:themeColor="text1"/>
          <w:szCs w:val="32"/>
        </w:rPr>
      </w:pPr>
      <w:r>
        <w:rPr>
          <w:rFonts w:hint="eastAsia"/>
          <w:color w:val="000000" w:themeColor="text1"/>
          <w:szCs w:val="32"/>
        </w:rPr>
        <w:t>2020</w:t>
      </w:r>
      <w:r>
        <w:rPr>
          <w:rFonts w:hint="eastAsia"/>
          <w:color w:val="000000" w:themeColor="text1"/>
          <w:szCs w:val="32"/>
        </w:rPr>
        <w:t>年</w:t>
      </w:r>
      <w:r>
        <w:rPr>
          <w:rFonts w:hint="eastAsia"/>
          <w:color w:val="000000" w:themeColor="text1"/>
          <w:szCs w:val="32"/>
        </w:rPr>
        <w:t>12</w:t>
      </w:r>
      <w:r>
        <w:rPr>
          <w:rFonts w:hint="eastAsia"/>
          <w:color w:val="000000" w:themeColor="text1"/>
          <w:szCs w:val="32"/>
        </w:rPr>
        <w:t>月</w:t>
      </w:r>
      <w:r>
        <w:rPr>
          <w:rFonts w:hint="eastAsia"/>
          <w:color w:val="000000" w:themeColor="text1"/>
          <w:szCs w:val="32"/>
        </w:rPr>
        <w:t>底</w:t>
      </w:r>
      <w:r>
        <w:rPr>
          <w:rFonts w:hint="eastAsia"/>
          <w:color w:val="000000" w:themeColor="text1"/>
          <w:szCs w:val="32"/>
        </w:rPr>
        <w:t>-2021</w:t>
      </w:r>
      <w:r>
        <w:rPr>
          <w:rFonts w:hint="eastAsia"/>
          <w:color w:val="000000" w:themeColor="text1"/>
          <w:szCs w:val="32"/>
        </w:rPr>
        <w:t>年</w:t>
      </w:r>
      <w:r>
        <w:rPr>
          <w:rFonts w:hint="eastAsia"/>
          <w:color w:val="000000" w:themeColor="text1"/>
          <w:szCs w:val="32"/>
        </w:rPr>
        <w:t>1</w:t>
      </w:r>
      <w:r>
        <w:rPr>
          <w:rFonts w:hint="eastAsia"/>
          <w:color w:val="000000" w:themeColor="text1"/>
          <w:szCs w:val="32"/>
        </w:rPr>
        <w:t>月中旬，编制完成了工作规范初稿并组织研究，最终形成征求意见稿。</w:t>
      </w:r>
    </w:p>
    <w:p w:rsidR="00325B52" w:rsidRDefault="002C3F6C" w:rsidP="00EA2B7B">
      <w:pPr>
        <w:ind w:firstLine="632"/>
        <w:outlineLvl w:val="0"/>
        <w:rPr>
          <w:rFonts w:eastAsia="黑体"/>
          <w:color w:val="000000" w:themeColor="text1"/>
          <w:szCs w:val="32"/>
        </w:rPr>
      </w:pPr>
      <w:r>
        <w:rPr>
          <w:rFonts w:eastAsia="黑体" w:hint="eastAsia"/>
          <w:color w:val="000000" w:themeColor="text1"/>
          <w:szCs w:val="32"/>
        </w:rPr>
        <w:t>四</w:t>
      </w:r>
      <w:r>
        <w:rPr>
          <w:rFonts w:eastAsia="黑体"/>
          <w:color w:val="000000" w:themeColor="text1"/>
          <w:szCs w:val="32"/>
        </w:rPr>
        <w:t>、</w:t>
      </w:r>
      <w:r>
        <w:rPr>
          <w:rFonts w:ascii="黑体" w:eastAsia="黑体" w:hAnsi="黑体" w:hint="eastAsia"/>
          <w:color w:val="000000" w:themeColor="text1"/>
          <w:szCs w:val="32"/>
        </w:rPr>
        <w:t>工作规范</w:t>
      </w:r>
      <w:r>
        <w:rPr>
          <w:rFonts w:eastAsia="黑体" w:hint="eastAsia"/>
          <w:color w:val="000000" w:themeColor="text1"/>
          <w:szCs w:val="32"/>
        </w:rPr>
        <w:t>具体</w:t>
      </w:r>
      <w:r>
        <w:rPr>
          <w:rFonts w:eastAsia="黑体"/>
          <w:color w:val="000000" w:themeColor="text1"/>
          <w:szCs w:val="32"/>
        </w:rPr>
        <w:t>内容</w:t>
      </w:r>
    </w:p>
    <w:p w:rsidR="00325B52" w:rsidRDefault="002C3F6C" w:rsidP="00EA2B7B">
      <w:pPr>
        <w:ind w:firstLine="632"/>
        <w:rPr>
          <w:color w:val="000000" w:themeColor="text1"/>
        </w:rPr>
      </w:pPr>
      <w:r>
        <w:rPr>
          <w:color w:val="000000" w:themeColor="text1"/>
        </w:rPr>
        <w:t>目前</w:t>
      </w:r>
      <w:r>
        <w:rPr>
          <w:rFonts w:hint="eastAsia"/>
          <w:color w:val="000000" w:themeColor="text1"/>
        </w:rPr>
        <w:t>编制</w:t>
      </w:r>
      <w:r>
        <w:rPr>
          <w:color w:val="000000" w:themeColor="text1"/>
        </w:rPr>
        <w:t>的</w:t>
      </w:r>
      <w:r>
        <w:rPr>
          <w:rFonts w:hint="eastAsia"/>
          <w:color w:val="000000" w:themeColor="text1"/>
        </w:rPr>
        <w:t>工作规范</w:t>
      </w:r>
      <w:r>
        <w:rPr>
          <w:color w:val="000000" w:themeColor="text1"/>
        </w:rPr>
        <w:t>共</w:t>
      </w:r>
      <w:r>
        <w:rPr>
          <w:rFonts w:hint="eastAsia"/>
          <w:color w:val="000000" w:themeColor="text1"/>
        </w:rPr>
        <w:t>四部分</w:t>
      </w:r>
      <w:r>
        <w:rPr>
          <w:color w:val="000000" w:themeColor="text1"/>
        </w:rPr>
        <w:t>，</w:t>
      </w:r>
      <w:r>
        <w:rPr>
          <w:rFonts w:hint="eastAsia"/>
          <w:color w:val="000000" w:themeColor="text1"/>
        </w:rPr>
        <w:t>主要内容包含了适用范围、工作原则、工作程序和管理要求、工作要求，</w:t>
      </w:r>
      <w:r>
        <w:rPr>
          <w:rFonts w:hint="eastAsia"/>
          <w:color w:val="000000" w:themeColor="text1"/>
        </w:rPr>
        <w:t>具体内容</w:t>
      </w:r>
      <w:r>
        <w:rPr>
          <w:color w:val="000000" w:themeColor="text1"/>
        </w:rPr>
        <w:t>如下：</w:t>
      </w:r>
    </w:p>
    <w:p w:rsidR="00325B52" w:rsidRPr="00EA2B7B" w:rsidRDefault="002C3F6C" w:rsidP="00EA2B7B">
      <w:pPr>
        <w:ind w:firstLine="632"/>
        <w:outlineLvl w:val="1"/>
        <w:rPr>
          <w:rFonts w:ascii="楷体_GB2312" w:eastAsia="楷体_GB2312"/>
          <w:color w:val="000000" w:themeColor="text1"/>
          <w:szCs w:val="32"/>
        </w:rPr>
      </w:pPr>
      <w:r w:rsidRPr="00EA2B7B">
        <w:rPr>
          <w:rFonts w:ascii="楷体_GB2312" w:eastAsia="楷体_GB2312" w:hint="eastAsia"/>
          <w:color w:val="000000" w:themeColor="text1"/>
          <w:szCs w:val="32"/>
        </w:rPr>
        <w:t>（一）</w:t>
      </w:r>
      <w:r w:rsidRPr="00EA2B7B">
        <w:rPr>
          <w:rFonts w:ascii="楷体_GB2312" w:eastAsia="楷体_GB2312" w:hint="eastAsia"/>
          <w:color w:val="000000" w:themeColor="text1"/>
          <w:szCs w:val="32"/>
        </w:rPr>
        <w:t>适用范围</w:t>
      </w:r>
    </w:p>
    <w:p w:rsidR="00325B52" w:rsidRDefault="002C3F6C" w:rsidP="00EA2B7B">
      <w:pPr>
        <w:ind w:firstLine="632"/>
        <w:rPr>
          <w:rFonts w:ascii="仿宋_GB2312"/>
          <w:color w:val="000000" w:themeColor="text1"/>
          <w:szCs w:val="32"/>
        </w:rPr>
      </w:pPr>
      <w:r>
        <w:rPr>
          <w:rFonts w:ascii="仿宋_GB2312" w:hint="eastAsia"/>
          <w:color w:val="000000" w:themeColor="text1"/>
          <w:szCs w:val="32"/>
        </w:rPr>
        <w:t>此部分规定了本工作规范的适用范围，即我市范围内所有饮用水源保护区（</w:t>
      </w:r>
      <w:r>
        <w:rPr>
          <w:rFonts w:ascii="仿宋_GB2312" w:hAnsi="仿宋_GB2312" w:cs="仿宋_GB2312" w:hint="eastAsia"/>
          <w:szCs w:val="40"/>
          <w:lang w:bidi="ar"/>
        </w:rPr>
        <w:t>跨市或虽不跨市但造成跨市影响且有争议的</w:t>
      </w:r>
      <w:r>
        <w:rPr>
          <w:rFonts w:ascii="仿宋_GB2312" w:hAnsi="仿宋_GB2312" w:cs="仿宋_GB2312" w:hint="eastAsia"/>
          <w:szCs w:val="40"/>
          <w:lang w:bidi="ar"/>
        </w:rPr>
        <w:t>除外</w:t>
      </w:r>
      <w:r>
        <w:rPr>
          <w:rFonts w:ascii="仿宋_GB2312" w:hint="eastAsia"/>
          <w:color w:val="000000" w:themeColor="text1"/>
          <w:szCs w:val="32"/>
        </w:rPr>
        <w:t>）。</w:t>
      </w:r>
    </w:p>
    <w:p w:rsidR="00325B52" w:rsidRPr="00EA2B7B" w:rsidRDefault="002C3F6C" w:rsidP="00EA2B7B">
      <w:pPr>
        <w:ind w:firstLine="632"/>
        <w:outlineLvl w:val="1"/>
        <w:rPr>
          <w:rFonts w:ascii="楷体_GB2312" w:eastAsia="楷体_GB2312"/>
          <w:color w:val="000000" w:themeColor="text1"/>
          <w:szCs w:val="32"/>
        </w:rPr>
      </w:pPr>
      <w:r w:rsidRPr="00EA2B7B">
        <w:rPr>
          <w:rFonts w:ascii="楷体_GB2312" w:eastAsia="楷体_GB2312" w:hint="eastAsia"/>
          <w:color w:val="000000" w:themeColor="text1"/>
          <w:szCs w:val="32"/>
        </w:rPr>
        <w:t>（二）工作原则</w:t>
      </w:r>
    </w:p>
    <w:p w:rsidR="00325B52" w:rsidRDefault="002C3F6C" w:rsidP="00EA2B7B">
      <w:pPr>
        <w:ind w:firstLineChars="0" w:firstLine="0"/>
        <w:outlineLvl w:val="1"/>
        <w:rPr>
          <w:color w:val="000000" w:themeColor="text1"/>
          <w:szCs w:val="32"/>
        </w:rPr>
      </w:pPr>
      <w:r>
        <w:rPr>
          <w:rFonts w:ascii="楷体_GB2312" w:eastAsia="楷体_GB2312" w:hint="eastAsia"/>
          <w:b/>
          <w:color w:val="000000" w:themeColor="text1"/>
          <w:szCs w:val="32"/>
        </w:rPr>
        <w:t xml:space="preserve">     </w:t>
      </w:r>
      <w:r>
        <w:rPr>
          <w:rFonts w:hint="eastAsia"/>
          <w:color w:val="000000" w:themeColor="text1"/>
          <w:szCs w:val="32"/>
        </w:rPr>
        <w:t>规定了饮用水源保护区调整工作应遵循水质保障、区域统筹、科学规范、严格控制等原则。明确了水源保护区划分和调整，必须以加强水源保护、确保水源水质达标和用水安全为前提条件和根本目标；坚持整体谋划、充分考虑并结合相关规划，科学统</w:t>
      </w:r>
      <w:r>
        <w:rPr>
          <w:rFonts w:hint="eastAsia"/>
          <w:color w:val="000000" w:themeColor="text1"/>
          <w:szCs w:val="32"/>
        </w:rPr>
        <w:lastRenderedPageBreak/>
        <w:t>筹优化饮用水源保护区；严格按照国家、省和市相关技术规范和指引，科学规范划定水源保护区范围；各区、各部门要严格控制水源保护区的调整，除因确有供水规划调整、汇水条件发生变化等情形外，不得频繁申请调整水源保护区等。</w:t>
      </w:r>
    </w:p>
    <w:p w:rsidR="00325B52" w:rsidRPr="00EA2B7B" w:rsidRDefault="002C3F6C" w:rsidP="00EA2B7B">
      <w:pPr>
        <w:ind w:firstLine="632"/>
        <w:outlineLvl w:val="1"/>
        <w:rPr>
          <w:rFonts w:ascii="楷体_GB2312" w:eastAsia="楷体_GB2312"/>
          <w:color w:val="000000" w:themeColor="text1"/>
          <w:szCs w:val="32"/>
        </w:rPr>
      </w:pPr>
      <w:r w:rsidRPr="00EA2B7B">
        <w:rPr>
          <w:rFonts w:ascii="楷体_GB2312" w:eastAsia="楷体_GB2312" w:hint="eastAsia"/>
          <w:color w:val="000000" w:themeColor="text1"/>
          <w:szCs w:val="32"/>
        </w:rPr>
        <w:t>（三）</w:t>
      </w:r>
      <w:r w:rsidRPr="00EA2B7B">
        <w:rPr>
          <w:rFonts w:ascii="楷体_GB2312" w:eastAsia="楷体_GB2312" w:hint="eastAsia"/>
          <w:color w:val="000000" w:themeColor="text1"/>
          <w:szCs w:val="32"/>
        </w:rPr>
        <w:t>工作程序和管理要求</w:t>
      </w:r>
    </w:p>
    <w:p w:rsidR="00325B52" w:rsidRDefault="002C3F6C" w:rsidP="00EA2B7B">
      <w:pPr>
        <w:ind w:firstLine="632"/>
        <w:rPr>
          <w:color w:val="000000" w:themeColor="text1"/>
          <w:szCs w:val="32"/>
        </w:rPr>
      </w:pPr>
      <w:r>
        <w:rPr>
          <w:rFonts w:hint="eastAsia"/>
          <w:color w:val="000000" w:themeColor="text1"/>
          <w:szCs w:val="32"/>
        </w:rPr>
        <w:t>根据</w:t>
      </w:r>
      <w:r>
        <w:rPr>
          <w:rFonts w:hint="eastAsia"/>
          <w:color w:val="000000" w:themeColor="text1"/>
          <w:szCs w:val="32"/>
        </w:rPr>
        <w:t>2018</w:t>
      </w:r>
      <w:r>
        <w:rPr>
          <w:rFonts w:hint="eastAsia"/>
          <w:color w:val="000000" w:themeColor="text1"/>
          <w:szCs w:val="32"/>
        </w:rPr>
        <w:t>年我市开展的饮用水源保护区优化调整工作经验，以及国家、省、市等相关法律法规、政策文件，结合深圳市实际，创新性将水源保护区划分和调整分为新增、取消、调整三大类，其中调整又分为因水质保障工程调整、因线性工程调整和因汇水范围校核调整。工作程序从提出方案到批复、报备及下发通知</w:t>
      </w:r>
      <w:proofErr w:type="gramStart"/>
      <w:r>
        <w:rPr>
          <w:rFonts w:hint="eastAsia"/>
          <w:color w:val="000000" w:themeColor="text1"/>
          <w:szCs w:val="32"/>
        </w:rPr>
        <w:t>作出</w:t>
      </w:r>
      <w:proofErr w:type="gramEnd"/>
      <w:r>
        <w:rPr>
          <w:rFonts w:hint="eastAsia"/>
          <w:color w:val="000000" w:themeColor="text1"/>
          <w:szCs w:val="32"/>
        </w:rPr>
        <w:t>了全面的要求，明确各相关职能部门职责。最后对不同类型划分和调整提出了管理要求。</w:t>
      </w:r>
    </w:p>
    <w:p w:rsidR="00325B52" w:rsidRPr="00EA2B7B" w:rsidRDefault="002C3F6C" w:rsidP="00EA2B7B">
      <w:pPr>
        <w:ind w:firstLine="632"/>
        <w:outlineLvl w:val="1"/>
        <w:rPr>
          <w:rFonts w:ascii="楷体_GB2312" w:eastAsia="楷体_GB2312"/>
          <w:color w:val="000000" w:themeColor="text1"/>
          <w:szCs w:val="32"/>
        </w:rPr>
      </w:pPr>
      <w:r w:rsidRPr="00EA2B7B">
        <w:rPr>
          <w:rFonts w:ascii="楷体_GB2312" w:eastAsia="楷体_GB2312" w:hint="eastAsia"/>
          <w:color w:val="000000" w:themeColor="text1"/>
          <w:szCs w:val="32"/>
        </w:rPr>
        <w:t>（四）工作要求</w:t>
      </w:r>
    </w:p>
    <w:p w:rsidR="00325B52" w:rsidRDefault="002C3F6C" w:rsidP="00EA2B7B">
      <w:pPr>
        <w:ind w:firstLine="632"/>
        <w:rPr>
          <w:color w:val="000000" w:themeColor="text1"/>
          <w:szCs w:val="32"/>
        </w:rPr>
      </w:pPr>
      <w:r>
        <w:rPr>
          <w:rFonts w:hint="eastAsia"/>
          <w:color w:val="000000" w:themeColor="text1"/>
          <w:szCs w:val="32"/>
        </w:rPr>
        <w:t>从加强组织领导、严格控制调整、强化规范指导、深入研究论证等四方面严格要求。</w:t>
      </w:r>
    </w:p>
    <w:sectPr w:rsidR="00325B52">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418"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6C" w:rsidRDefault="002C3F6C" w:rsidP="008020AD">
      <w:pPr>
        <w:ind w:firstLine="640"/>
      </w:pPr>
      <w:r>
        <w:separator/>
      </w:r>
    </w:p>
  </w:endnote>
  <w:endnote w:type="continuationSeparator" w:id="0">
    <w:p w:rsidR="002C3F6C" w:rsidRDefault="002C3F6C" w:rsidP="008020A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52" w:rsidRDefault="002C3F6C">
    <w:pPr>
      <w:pStyle w:val="a5"/>
      <w:ind w:firstLine="56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52" w:rsidRDefault="002C3F6C">
    <w:pPr>
      <w:pStyle w:val="a5"/>
      <w:ind w:firstLine="56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A2B7B" w:rsidRPr="00EA2B7B">
      <w:rPr>
        <w:rFonts w:ascii="宋体" w:hAnsi="宋体"/>
        <w:noProof/>
        <w:sz w:val="28"/>
        <w:szCs w:val="28"/>
        <w:lang w:val="zh-CN"/>
      </w:rPr>
      <w:t>-</w:t>
    </w:r>
    <w:r w:rsidR="00EA2B7B">
      <w:rPr>
        <w:rFonts w:ascii="宋体" w:hAnsi="宋体"/>
        <w:noProof/>
        <w:sz w:val="28"/>
        <w:szCs w:val="28"/>
      </w:rPr>
      <w:t xml:space="preserve"> 3 -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52" w:rsidRDefault="00325B5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6C" w:rsidRDefault="002C3F6C" w:rsidP="008020AD">
      <w:pPr>
        <w:ind w:firstLine="640"/>
      </w:pPr>
      <w:r>
        <w:separator/>
      </w:r>
    </w:p>
  </w:footnote>
  <w:footnote w:type="continuationSeparator" w:id="0">
    <w:p w:rsidR="002C3F6C" w:rsidRDefault="002C3F6C" w:rsidP="008020AD">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52" w:rsidRDefault="00325B52">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52" w:rsidRDefault="00325B52">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52" w:rsidRDefault="00325B52">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C3F6C"/>
    <w:rsid w:val="00325B52"/>
    <w:rsid w:val="00350595"/>
    <w:rsid w:val="006D24E2"/>
    <w:rsid w:val="008020AD"/>
    <w:rsid w:val="0096600A"/>
    <w:rsid w:val="00D9779E"/>
    <w:rsid w:val="00EA2B7B"/>
    <w:rsid w:val="03D166C9"/>
    <w:rsid w:val="10E33193"/>
    <w:rsid w:val="15192F4F"/>
    <w:rsid w:val="1CAB5619"/>
    <w:rsid w:val="206633A1"/>
    <w:rsid w:val="326940BE"/>
    <w:rsid w:val="35131EBD"/>
    <w:rsid w:val="3892591F"/>
    <w:rsid w:val="3A5F6FFC"/>
    <w:rsid w:val="51742908"/>
    <w:rsid w:val="53E93BDE"/>
    <w:rsid w:val="64053094"/>
    <w:rsid w:val="6B70000B"/>
    <w:rsid w:val="7C824B72"/>
    <w:rsid w:val="7E59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ind w:firstLineChars="200" w:firstLine="200"/>
      <w:jc w:val="both"/>
    </w:pPr>
    <w:rPr>
      <w:rFonts w:eastAsia="仿宋_GB2312"/>
      <w:kern w:val="2"/>
      <w:sz w:val="32"/>
      <w:szCs w:val="24"/>
    </w:rPr>
  </w:style>
  <w:style w:type="paragraph" w:styleId="1">
    <w:name w:val="heading 1"/>
    <w:basedOn w:val="a"/>
    <w:next w:val="a"/>
    <w:link w:val="1Char1"/>
    <w:qFormat/>
    <w:pPr>
      <w:keepNext/>
      <w:keepLines/>
      <w:spacing w:before="400" w:after="200"/>
      <w:ind w:left="425" w:hanging="425"/>
      <w:outlineLvl w:val="0"/>
    </w:pPr>
    <w:rPr>
      <w:rFonts w:ascii="黑体" w:eastAsia="黑体"/>
      <w:kern w:val="44"/>
      <w:szCs w:val="30"/>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Calibri" w:eastAsia="宋体" w:hAnsi="Calibri"/>
    </w:rPr>
  </w:style>
  <w:style w:type="paragraph" w:styleId="a4">
    <w:name w:val="annotation text"/>
    <w:basedOn w:val="a"/>
    <w:uiPriority w:val="99"/>
    <w:unhideWhenUsed/>
    <w:qFormat/>
    <w:pPr>
      <w:jc w:val="left"/>
    </w:pPr>
  </w:style>
  <w:style w:type="paragraph" w:styleId="a5">
    <w:name w:val="footer"/>
    <w:basedOn w:val="a"/>
    <w:link w:val="Char"/>
    <w:uiPriority w:val="99"/>
    <w:unhideWhenUsed/>
    <w:qFormat/>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character" w:customStyle="1" w:styleId="1Char">
    <w:name w:val="标题 1 Char"/>
    <w:basedOn w:val="a1"/>
    <w:uiPriority w:val="9"/>
    <w:qFormat/>
    <w:rPr>
      <w:rFonts w:ascii="Times New Roman" w:eastAsia="仿宋_GB2312" w:hAnsi="Times New Roman" w:cs="Times New Roman"/>
      <w:b/>
      <w:bCs/>
      <w:kern w:val="44"/>
      <w:sz w:val="44"/>
      <w:szCs w:val="44"/>
    </w:rPr>
  </w:style>
  <w:style w:type="character" w:customStyle="1" w:styleId="1Char1">
    <w:name w:val="标题 1 Char1"/>
    <w:link w:val="1"/>
    <w:qFormat/>
    <w:rPr>
      <w:rFonts w:ascii="黑体" w:eastAsia="黑体" w:hAnsi="Times New Roman" w:cs="Times New Roman"/>
      <w:kern w:val="44"/>
      <w:sz w:val="32"/>
      <w:szCs w:val="30"/>
    </w:rPr>
  </w:style>
  <w:style w:type="character" w:customStyle="1" w:styleId="a7">
    <w:name w:val="页脚 字符"/>
    <w:uiPriority w:val="99"/>
    <w:qFormat/>
    <w:locked/>
    <w:rPr>
      <w:rFonts w:eastAsia="宋体"/>
      <w:kern w:val="2"/>
      <w:sz w:val="18"/>
      <w:szCs w:val="18"/>
      <w:lang w:val="en-US" w:eastAsia="zh-CN" w:bidi="ar-SA"/>
    </w:rPr>
  </w:style>
  <w:style w:type="character" w:customStyle="1" w:styleId="a8">
    <w:name w:val="页眉 字符"/>
    <w:qFormat/>
    <w:rPr>
      <w:rFonts w:eastAsia="宋体"/>
      <w:kern w:val="2"/>
      <w:sz w:val="18"/>
      <w:szCs w:val="18"/>
      <w:lang w:val="en-US" w:eastAsia="zh-CN" w:bidi="ar-SA"/>
    </w:rPr>
  </w:style>
  <w:style w:type="paragraph" w:customStyle="1" w:styleId="even">
    <w:name w:val="even_正文"/>
    <w:basedOn w:val="a"/>
    <w:link w:val="evenChar"/>
    <w:qFormat/>
    <w:pPr>
      <w:widowControl/>
      <w:spacing w:line="440" w:lineRule="exact"/>
      <w:ind w:firstLine="480"/>
    </w:pPr>
    <w:rPr>
      <w:rFonts w:ascii="宋体" w:eastAsia="宋体" w:hAnsi="宋体"/>
      <w:sz w:val="24"/>
      <w:szCs w:val="20"/>
    </w:rPr>
  </w:style>
  <w:style w:type="character" w:customStyle="1" w:styleId="evenChar">
    <w:name w:val="even_正文 Char"/>
    <w:link w:val="even"/>
    <w:qFormat/>
    <w:rPr>
      <w:rFonts w:ascii="宋体" w:eastAsia="宋体" w:hAnsi="宋体" w:cs="Times New Roman"/>
      <w:sz w:val="24"/>
      <w:szCs w:val="20"/>
    </w:rPr>
  </w:style>
  <w:style w:type="paragraph" w:customStyle="1" w:styleId="10">
    <w:name w:val="列出段落1"/>
    <w:basedOn w:val="a"/>
    <w:uiPriority w:val="99"/>
    <w:qFormat/>
    <w:pPr>
      <w:ind w:firstLine="420"/>
    </w:pPr>
  </w:style>
  <w:style w:type="paragraph" w:customStyle="1" w:styleId="Default">
    <w:name w:val="Default"/>
    <w:uiPriority w:val="99"/>
    <w:unhideWhenUsed/>
    <w:pPr>
      <w:widowControl w:val="0"/>
      <w:autoSpaceDE w:val="0"/>
      <w:autoSpaceDN w:val="0"/>
      <w:adjustRightInd w:val="0"/>
    </w:pPr>
    <w:rPr>
      <w:rFonts w:ascii="Arial Unicode MS" w:eastAsia="Arial Unicode MS" w:hAnsi="Arial Unicode MS" w:hint="eastAsi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ind w:firstLineChars="200" w:firstLine="200"/>
      <w:jc w:val="both"/>
    </w:pPr>
    <w:rPr>
      <w:rFonts w:eastAsia="仿宋_GB2312"/>
      <w:kern w:val="2"/>
      <w:sz w:val="32"/>
      <w:szCs w:val="24"/>
    </w:rPr>
  </w:style>
  <w:style w:type="paragraph" w:styleId="1">
    <w:name w:val="heading 1"/>
    <w:basedOn w:val="a"/>
    <w:next w:val="a"/>
    <w:link w:val="1Char1"/>
    <w:qFormat/>
    <w:pPr>
      <w:keepNext/>
      <w:keepLines/>
      <w:spacing w:before="400" w:after="200"/>
      <w:ind w:left="425" w:hanging="425"/>
      <w:outlineLvl w:val="0"/>
    </w:pPr>
    <w:rPr>
      <w:rFonts w:ascii="黑体" w:eastAsia="黑体"/>
      <w:kern w:val="44"/>
      <w:szCs w:val="30"/>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Calibri" w:eastAsia="宋体" w:hAnsi="Calibri"/>
    </w:rPr>
  </w:style>
  <w:style w:type="paragraph" w:styleId="a4">
    <w:name w:val="annotation text"/>
    <w:basedOn w:val="a"/>
    <w:uiPriority w:val="99"/>
    <w:unhideWhenUsed/>
    <w:qFormat/>
    <w:pPr>
      <w:jc w:val="left"/>
    </w:pPr>
  </w:style>
  <w:style w:type="paragraph" w:styleId="a5">
    <w:name w:val="footer"/>
    <w:basedOn w:val="a"/>
    <w:link w:val="Char"/>
    <w:uiPriority w:val="99"/>
    <w:unhideWhenUsed/>
    <w:qFormat/>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character" w:customStyle="1" w:styleId="1Char">
    <w:name w:val="标题 1 Char"/>
    <w:basedOn w:val="a1"/>
    <w:uiPriority w:val="9"/>
    <w:qFormat/>
    <w:rPr>
      <w:rFonts w:ascii="Times New Roman" w:eastAsia="仿宋_GB2312" w:hAnsi="Times New Roman" w:cs="Times New Roman"/>
      <w:b/>
      <w:bCs/>
      <w:kern w:val="44"/>
      <w:sz w:val="44"/>
      <w:szCs w:val="44"/>
    </w:rPr>
  </w:style>
  <w:style w:type="character" w:customStyle="1" w:styleId="1Char1">
    <w:name w:val="标题 1 Char1"/>
    <w:link w:val="1"/>
    <w:qFormat/>
    <w:rPr>
      <w:rFonts w:ascii="黑体" w:eastAsia="黑体" w:hAnsi="Times New Roman" w:cs="Times New Roman"/>
      <w:kern w:val="44"/>
      <w:sz w:val="32"/>
      <w:szCs w:val="30"/>
    </w:rPr>
  </w:style>
  <w:style w:type="character" w:customStyle="1" w:styleId="a7">
    <w:name w:val="页脚 字符"/>
    <w:uiPriority w:val="99"/>
    <w:qFormat/>
    <w:locked/>
    <w:rPr>
      <w:rFonts w:eastAsia="宋体"/>
      <w:kern w:val="2"/>
      <w:sz w:val="18"/>
      <w:szCs w:val="18"/>
      <w:lang w:val="en-US" w:eastAsia="zh-CN" w:bidi="ar-SA"/>
    </w:rPr>
  </w:style>
  <w:style w:type="character" w:customStyle="1" w:styleId="a8">
    <w:name w:val="页眉 字符"/>
    <w:qFormat/>
    <w:rPr>
      <w:rFonts w:eastAsia="宋体"/>
      <w:kern w:val="2"/>
      <w:sz w:val="18"/>
      <w:szCs w:val="18"/>
      <w:lang w:val="en-US" w:eastAsia="zh-CN" w:bidi="ar-SA"/>
    </w:rPr>
  </w:style>
  <w:style w:type="paragraph" w:customStyle="1" w:styleId="even">
    <w:name w:val="even_正文"/>
    <w:basedOn w:val="a"/>
    <w:link w:val="evenChar"/>
    <w:qFormat/>
    <w:pPr>
      <w:widowControl/>
      <w:spacing w:line="440" w:lineRule="exact"/>
      <w:ind w:firstLine="480"/>
    </w:pPr>
    <w:rPr>
      <w:rFonts w:ascii="宋体" w:eastAsia="宋体" w:hAnsi="宋体"/>
      <w:sz w:val="24"/>
      <w:szCs w:val="20"/>
    </w:rPr>
  </w:style>
  <w:style w:type="character" w:customStyle="1" w:styleId="evenChar">
    <w:name w:val="even_正文 Char"/>
    <w:link w:val="even"/>
    <w:qFormat/>
    <w:rPr>
      <w:rFonts w:ascii="宋体" w:eastAsia="宋体" w:hAnsi="宋体" w:cs="Times New Roman"/>
      <w:sz w:val="24"/>
      <w:szCs w:val="20"/>
    </w:rPr>
  </w:style>
  <w:style w:type="paragraph" w:customStyle="1" w:styleId="10">
    <w:name w:val="列出段落1"/>
    <w:basedOn w:val="a"/>
    <w:uiPriority w:val="99"/>
    <w:qFormat/>
    <w:pPr>
      <w:ind w:firstLine="420"/>
    </w:pPr>
  </w:style>
  <w:style w:type="paragraph" w:customStyle="1" w:styleId="Default">
    <w:name w:val="Default"/>
    <w:uiPriority w:val="99"/>
    <w:unhideWhenUsed/>
    <w:pPr>
      <w:widowControl w:val="0"/>
      <w:autoSpaceDE w:val="0"/>
      <w:autoSpaceDN w:val="0"/>
      <w:adjustRightInd w:val="0"/>
    </w:pPr>
    <w:rPr>
      <w:rFonts w:ascii="Arial Unicode MS" w:eastAsia="Arial Unicode MS" w:hAnsi="Arial Unicode M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景青锋</cp:lastModifiedBy>
  <cp:revision>6</cp:revision>
  <cp:lastPrinted>2021-01-20T09:36:00Z</cp:lastPrinted>
  <dcterms:created xsi:type="dcterms:W3CDTF">2020-07-23T22:29:00Z</dcterms:created>
  <dcterms:modified xsi:type="dcterms:W3CDTF">2021-01-21T03:10:00Z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