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ascii="仿宋" w:hAnsi="仿宋" w:eastAsia="仿宋"/>
          <w:bCs/>
          <w:szCs w:val="32"/>
        </w:rPr>
      </w:pPr>
    </w:p>
    <w:p>
      <w:pPr>
        <w:ind w:firstLine="0"/>
        <w:jc w:val="center"/>
        <w:rPr>
          <w:rFonts w:asciiTheme="majorEastAsia" w:hAnsiTheme="majorEastAsia" w:eastAsiaTheme="majorEastAsia"/>
          <w:b/>
          <w:bCs/>
          <w:sz w:val="44"/>
          <w:szCs w:val="44"/>
        </w:rPr>
      </w:pPr>
      <w:r>
        <w:rPr>
          <w:rFonts w:hint="eastAsia" w:asciiTheme="majorEastAsia" w:hAnsiTheme="majorEastAsia" w:eastAsiaTheme="majorEastAsia"/>
          <w:b/>
          <w:bCs/>
          <w:sz w:val="44"/>
          <w:szCs w:val="44"/>
        </w:rPr>
        <w:t>《深圳前海深港现代服务业合作区新兴产业发</w:t>
      </w:r>
      <w:r>
        <w:rPr>
          <w:rFonts w:asciiTheme="majorEastAsia" w:hAnsiTheme="majorEastAsia" w:eastAsiaTheme="majorEastAsia"/>
          <w:b/>
          <w:bCs/>
          <w:sz w:val="44"/>
          <w:szCs w:val="44"/>
        </w:rPr>
        <w:t>展</w:t>
      </w:r>
      <w:r>
        <w:rPr>
          <w:rFonts w:hint="eastAsia" w:asciiTheme="majorEastAsia" w:hAnsiTheme="majorEastAsia" w:eastAsiaTheme="majorEastAsia"/>
          <w:b/>
          <w:bCs/>
          <w:sz w:val="44"/>
          <w:szCs w:val="44"/>
        </w:rPr>
        <w:t>专项资金实施管理办法》</w:t>
      </w:r>
    </w:p>
    <w:p>
      <w:pPr>
        <w:ind w:firstLine="0"/>
        <w:jc w:val="center"/>
        <w:rPr>
          <w:rFonts w:asciiTheme="majorEastAsia" w:hAnsiTheme="majorEastAsia" w:eastAsiaTheme="majorEastAsia"/>
          <w:b/>
          <w:bCs/>
          <w:sz w:val="44"/>
          <w:szCs w:val="44"/>
        </w:rPr>
      </w:pPr>
      <w:r>
        <w:rPr>
          <w:rFonts w:hint="eastAsia" w:asciiTheme="majorEastAsia" w:hAnsiTheme="majorEastAsia" w:eastAsiaTheme="majorEastAsia"/>
          <w:b/>
          <w:bCs/>
          <w:sz w:val="44"/>
          <w:szCs w:val="44"/>
        </w:rPr>
        <w:t>起草说明</w:t>
      </w:r>
    </w:p>
    <w:p>
      <w:pPr>
        <w:ind w:firstLine="640" w:firstLineChars="200"/>
        <w:rPr>
          <w:rFonts w:ascii="仿宋" w:hAnsi="仿宋" w:eastAsia="仿宋"/>
          <w:bCs/>
          <w:szCs w:val="32"/>
        </w:rPr>
      </w:pPr>
    </w:p>
    <w:p>
      <w:pPr>
        <w:ind w:firstLine="640" w:firstLineChars="200"/>
        <w:rPr>
          <w:rFonts w:hAnsi="仿宋"/>
          <w:bCs/>
          <w:szCs w:val="32"/>
        </w:rPr>
      </w:pPr>
      <w:r>
        <w:rPr>
          <w:rFonts w:hint="eastAsia" w:hAnsi="仿宋"/>
          <w:bCs/>
          <w:szCs w:val="32"/>
        </w:rPr>
        <w:t>为深入贯彻落实习近平总书记出席深圳经济特区建立40周年庆祝大会和视察广东、深圳重要讲话、重要指示精神，坚定不移贯彻新发展理念，大力发展数字经济、新一代信息技术等新经济、新业态、新模式</w:t>
      </w:r>
      <w:r>
        <w:rPr>
          <w:rFonts w:hAnsi="仿宋"/>
          <w:bCs/>
          <w:szCs w:val="32"/>
        </w:rPr>
        <w:t>，全面</w:t>
      </w:r>
      <w:r>
        <w:rPr>
          <w:rFonts w:hint="eastAsia" w:hAnsi="仿宋"/>
          <w:bCs/>
          <w:szCs w:val="32"/>
        </w:rPr>
        <w:t>深化深港新兴产业领域合作，</w:t>
      </w:r>
      <w:r>
        <w:rPr>
          <w:rFonts w:hAnsi="仿宋"/>
          <w:bCs/>
          <w:szCs w:val="32"/>
        </w:rPr>
        <w:t>提升</w:t>
      </w:r>
      <w:r>
        <w:rPr>
          <w:rFonts w:hint="eastAsia" w:hAnsi="仿宋"/>
          <w:bCs/>
          <w:szCs w:val="32"/>
        </w:rPr>
        <w:t>前海</w:t>
      </w:r>
      <w:r>
        <w:rPr>
          <w:rFonts w:hAnsi="仿宋"/>
          <w:bCs/>
          <w:szCs w:val="32"/>
        </w:rPr>
        <w:t>新兴产业发展能级，我</w:t>
      </w:r>
      <w:r>
        <w:rPr>
          <w:rFonts w:hint="eastAsia" w:hAnsi="仿宋"/>
          <w:bCs/>
          <w:szCs w:val="32"/>
        </w:rPr>
        <w:t>局</w:t>
      </w:r>
      <w:r>
        <w:rPr>
          <w:rFonts w:hAnsi="仿宋"/>
          <w:bCs/>
          <w:szCs w:val="32"/>
        </w:rPr>
        <w:t>牵头起草了</w:t>
      </w:r>
      <w:r>
        <w:rPr>
          <w:rFonts w:hint="eastAsia" w:hAnsi="仿宋"/>
          <w:bCs/>
          <w:szCs w:val="32"/>
        </w:rPr>
        <w:t>《深圳前海深港现代服务业合作区新兴产业发展专项资金管理办法》（征求意见稿）（以下简称《管理办法》）</w:t>
      </w:r>
      <w:r>
        <w:rPr>
          <w:rFonts w:hAnsi="仿宋"/>
          <w:bCs/>
          <w:szCs w:val="32"/>
        </w:rPr>
        <w:t>。</w:t>
      </w:r>
      <w:r>
        <w:rPr>
          <w:rFonts w:hint="eastAsia" w:hAnsi="仿宋"/>
          <w:bCs/>
          <w:szCs w:val="32"/>
        </w:rPr>
        <w:t>现就相关情况说明如下：</w:t>
      </w:r>
    </w:p>
    <w:p>
      <w:pPr>
        <w:ind w:firstLine="640" w:firstLineChars="200"/>
        <w:rPr>
          <w:rFonts w:ascii="黑体" w:hAnsi="黑体" w:eastAsia="黑体"/>
          <w:bCs/>
          <w:szCs w:val="32"/>
        </w:rPr>
      </w:pPr>
      <w:r>
        <w:rPr>
          <w:rFonts w:hint="eastAsia" w:ascii="黑体" w:hAnsi="黑体" w:eastAsia="黑体"/>
          <w:bCs/>
          <w:szCs w:val="32"/>
        </w:rPr>
        <w:t>一、起草背景</w:t>
      </w:r>
    </w:p>
    <w:p>
      <w:pPr>
        <w:ind w:firstLine="640" w:firstLineChars="200"/>
        <w:rPr>
          <w:rFonts w:hAnsi="仿宋"/>
          <w:bCs/>
          <w:szCs w:val="32"/>
        </w:rPr>
      </w:pPr>
      <w:r>
        <w:rPr>
          <w:rFonts w:hint="eastAsia" w:hAnsi="仿宋"/>
          <w:bCs/>
          <w:szCs w:val="32"/>
        </w:rPr>
        <w:t>前海是习近平总书记亲自谋划、亲自部署、亲自推动的新时代国家改革开放战略平台。作为“特区中的特区”，前海承担着建设成为全国现代服务业的重要基地和具有强大辐射能力的生产性服务业中心，为我国构建对外开放新格局、转变经济发展方式发挥示范带动作用的重要使命。科技与信息服务业作为前海重点发展的四大产业之一，既是新兴产业的重要内容，又是深港合作的重点领域，发展空间和潜力巨大，制定配套政策</w:t>
      </w:r>
      <w:r>
        <w:rPr>
          <w:rFonts w:hAnsi="仿宋"/>
          <w:bCs/>
          <w:szCs w:val="32"/>
        </w:rPr>
        <w:t>进行</w:t>
      </w:r>
      <w:r>
        <w:rPr>
          <w:rFonts w:hint="eastAsia" w:hAnsi="仿宋"/>
          <w:bCs/>
          <w:szCs w:val="32"/>
        </w:rPr>
        <w:t>必要</w:t>
      </w:r>
      <w:r>
        <w:rPr>
          <w:rFonts w:hAnsi="仿宋"/>
          <w:bCs/>
          <w:szCs w:val="32"/>
        </w:rPr>
        <w:t>的</w:t>
      </w:r>
      <w:r>
        <w:rPr>
          <w:rFonts w:hint="eastAsia" w:hAnsi="仿宋"/>
          <w:bCs/>
          <w:szCs w:val="32"/>
        </w:rPr>
        <w:t>引导</w:t>
      </w:r>
      <w:r>
        <w:rPr>
          <w:rFonts w:hAnsi="仿宋"/>
          <w:bCs/>
          <w:szCs w:val="32"/>
        </w:rPr>
        <w:t>和</w:t>
      </w:r>
      <w:r>
        <w:rPr>
          <w:rFonts w:hint="eastAsia" w:hAnsi="仿宋"/>
          <w:bCs/>
          <w:szCs w:val="32"/>
        </w:rPr>
        <w:t>扶持意义</w:t>
      </w:r>
      <w:r>
        <w:rPr>
          <w:rFonts w:hAnsi="仿宋"/>
          <w:bCs/>
          <w:szCs w:val="32"/>
        </w:rPr>
        <w:t>重大。</w:t>
      </w:r>
    </w:p>
    <w:p>
      <w:pPr>
        <w:ind w:firstLine="640" w:firstLineChars="200"/>
        <w:rPr>
          <w:rFonts w:hAnsi="仿宋"/>
          <w:bCs/>
          <w:szCs w:val="32"/>
        </w:rPr>
      </w:pPr>
      <w:r>
        <w:rPr>
          <w:rFonts w:hint="eastAsia" w:hAnsi="仿宋"/>
          <w:bCs/>
          <w:szCs w:val="32"/>
        </w:rPr>
        <w:t>为此，根据《深圳经济特区前海深港现代服务业合作区条例</w:t>
      </w:r>
      <w:r>
        <w:rPr>
          <w:rFonts w:hAnsi="仿宋"/>
          <w:bCs/>
          <w:szCs w:val="32"/>
        </w:rPr>
        <w:t>》</w:t>
      </w:r>
      <w:r>
        <w:rPr>
          <w:rFonts w:hint="eastAsia" w:hAnsi="仿宋"/>
          <w:bCs/>
          <w:szCs w:val="32"/>
        </w:rPr>
        <w:t>和</w:t>
      </w:r>
      <w:r>
        <w:rPr>
          <w:rFonts w:hAnsi="仿宋"/>
          <w:bCs/>
          <w:szCs w:val="32"/>
        </w:rPr>
        <w:t>《深圳前海深港现代服务业合作区产业发展资金管理暂行办法》</w:t>
      </w:r>
      <w:r>
        <w:rPr>
          <w:rFonts w:hint="eastAsia" w:hAnsi="仿宋"/>
          <w:bCs/>
          <w:szCs w:val="32"/>
        </w:rPr>
        <w:t>，新兴产业处在广泛听取相关行业、协会、企业、专家意见的基础上，提出了前海支持新兴产业发展的政策措施，形成《管理办法》（征求意见稿）。</w:t>
      </w:r>
    </w:p>
    <w:p>
      <w:pPr>
        <w:ind w:firstLine="640" w:firstLineChars="200"/>
        <w:rPr>
          <w:rFonts w:ascii="黑体" w:hAnsi="黑体" w:eastAsia="黑体"/>
          <w:szCs w:val="32"/>
        </w:rPr>
      </w:pPr>
      <w:r>
        <w:rPr>
          <w:rFonts w:hint="eastAsia" w:ascii="黑体" w:hAnsi="黑体" w:eastAsia="黑体"/>
          <w:szCs w:val="32"/>
        </w:rPr>
        <w:t>三、主要内容</w:t>
      </w:r>
    </w:p>
    <w:p>
      <w:pPr>
        <w:ind w:firstLine="640" w:firstLineChars="200"/>
        <w:rPr>
          <w:rFonts w:hAnsi="仿宋"/>
          <w:szCs w:val="32"/>
        </w:rPr>
      </w:pPr>
      <w:r>
        <w:rPr>
          <w:rFonts w:hint="eastAsia" w:hAnsi="仿宋"/>
          <w:szCs w:val="32"/>
        </w:rPr>
        <w:t>《管理办法》共七章，三十</w:t>
      </w:r>
      <w:r>
        <w:rPr>
          <w:rFonts w:hint="eastAsia" w:hAnsi="仿宋"/>
          <w:szCs w:val="32"/>
          <w:lang w:eastAsia="zh-CN"/>
        </w:rPr>
        <w:t>七</w:t>
      </w:r>
      <w:r>
        <w:rPr>
          <w:rFonts w:hint="eastAsia" w:hAnsi="仿宋"/>
          <w:szCs w:val="32"/>
        </w:rPr>
        <w:t>条。第一章是总则，对目的和依据、主管部门、适用对象和扶持上限、港澳台资企业优先原则的内容给予说明。第二章、第三章、第四章为具体支持条件及支持内容，包括创新企业支持、创新生态支持以及粤港澳大湾</w:t>
      </w:r>
      <w:r>
        <w:rPr>
          <w:rFonts w:hAnsi="仿宋"/>
          <w:szCs w:val="32"/>
        </w:rPr>
        <w:t>区</w:t>
      </w:r>
      <w:r>
        <w:rPr>
          <w:rFonts w:hint="eastAsia" w:hAnsi="仿宋"/>
          <w:szCs w:val="32"/>
        </w:rPr>
        <w:t>协同创新支持。第五章明确《管理办法》的实施流程。第六章明确《管理办法》惩罚和监督机制。第七章为附则，包含了名词解释和政策有限期等内容。</w:t>
      </w:r>
    </w:p>
    <w:p>
      <w:pPr>
        <w:rPr>
          <w:rFonts w:hAnsi="仿宋"/>
          <w:szCs w:val="32"/>
        </w:rPr>
      </w:pPr>
      <w:r>
        <w:rPr>
          <w:rFonts w:hint="eastAsia" w:hAnsi="仿宋"/>
          <w:szCs w:val="32"/>
        </w:rPr>
        <w:t>其中，</w:t>
      </w:r>
      <w:r>
        <w:rPr>
          <w:rFonts w:hint="eastAsia" w:hAnsi="仿宋"/>
          <w:b/>
          <w:bCs/>
          <w:szCs w:val="32"/>
        </w:rPr>
        <w:t>创新企业支持</w:t>
      </w:r>
      <w:r>
        <w:rPr>
          <w:rFonts w:hint="eastAsia" w:hAnsi="仿宋"/>
          <w:szCs w:val="32"/>
        </w:rPr>
        <w:t>包括独角兽、瞪羚等创新型新锐企业支持、规模以上企业支持、贷款贴息支持、高新技术企业奖励、科技平台支持、科技立项支持、科技奖励支持等内容。</w:t>
      </w:r>
      <w:r>
        <w:rPr>
          <w:rFonts w:hint="eastAsia" w:hAnsi="仿宋"/>
          <w:b/>
          <w:bCs/>
          <w:szCs w:val="32"/>
        </w:rPr>
        <w:t>创新生态支持</w:t>
      </w:r>
      <w:r>
        <w:rPr>
          <w:rFonts w:hint="eastAsia" w:hAnsi="仿宋"/>
          <w:szCs w:val="32"/>
        </w:rPr>
        <w:t>包括知识产权支持、标准制定支持、行业协会支持、科技成果转化和技术转移支持、科技活动支持、云平台支持、企业上云支持等内容。</w:t>
      </w:r>
      <w:r>
        <w:rPr>
          <w:rFonts w:hint="eastAsia" w:hAnsi="仿宋"/>
          <w:b/>
          <w:bCs/>
          <w:szCs w:val="32"/>
        </w:rPr>
        <w:t>粤港澳大</w:t>
      </w:r>
      <w:r>
        <w:rPr>
          <w:rFonts w:hAnsi="仿宋"/>
          <w:b/>
          <w:bCs/>
          <w:szCs w:val="32"/>
        </w:rPr>
        <w:t>湾区</w:t>
      </w:r>
      <w:r>
        <w:rPr>
          <w:rFonts w:hint="eastAsia" w:hAnsi="仿宋"/>
          <w:b/>
          <w:bCs/>
          <w:szCs w:val="32"/>
        </w:rPr>
        <w:t>协同创新支持</w:t>
      </w:r>
      <w:r>
        <w:rPr>
          <w:rFonts w:hint="eastAsia" w:hAnsi="仿宋"/>
          <w:szCs w:val="32"/>
        </w:rPr>
        <w:t>包括深港协同创新培育支持、面向港澳团队的空间载体支持、港澳企业创业交流支持、粤港澳科技合作项目支持、科研设备进口支持等内容</w:t>
      </w:r>
      <w:r>
        <w:rPr>
          <w:rFonts w:hAnsi="仿宋"/>
          <w:szCs w:val="32"/>
        </w:rPr>
        <w:t>。</w:t>
      </w:r>
    </w:p>
    <w:p>
      <w:pPr>
        <w:widowControl w:val="0"/>
        <w:rPr>
          <w:rFonts w:ascii="黑体" w:hAnsi="黑体" w:eastAsia="黑体"/>
        </w:rPr>
      </w:pPr>
      <w:r>
        <w:rPr>
          <w:rFonts w:hint="eastAsia" w:ascii="黑体" w:hAnsi="黑体" w:eastAsia="黑体"/>
        </w:rPr>
        <w:t>三、主要创新点和亮点</w:t>
      </w:r>
    </w:p>
    <w:p>
      <w:pPr>
        <w:ind w:firstLine="640" w:firstLineChars="200"/>
        <w:rPr>
          <w:color w:val="000000"/>
          <w:spacing w:val="-2"/>
          <w:szCs w:val="32"/>
        </w:rPr>
      </w:pPr>
      <w:r>
        <w:rPr>
          <w:rFonts w:hint="eastAsia" w:ascii="楷体" w:hAnsi="楷体" w:eastAsia="楷体"/>
          <w:szCs w:val="32"/>
        </w:rPr>
        <w:t>（一）深化深港创新合作，破除要素流动障碍。一</w:t>
      </w:r>
      <w:r>
        <w:rPr>
          <w:rFonts w:ascii="楷体" w:hAnsi="楷体" w:eastAsia="楷体"/>
          <w:szCs w:val="32"/>
        </w:rPr>
        <w:t>是</w:t>
      </w:r>
      <w:r>
        <w:rPr>
          <w:rFonts w:hint="eastAsia"/>
          <w:color w:val="000000"/>
          <w:spacing w:val="-2"/>
          <w:szCs w:val="32"/>
        </w:rPr>
        <w:t>对港澳</w:t>
      </w:r>
      <w:r>
        <w:rPr>
          <w:color w:val="000000"/>
          <w:spacing w:val="-2"/>
          <w:szCs w:val="32"/>
        </w:rPr>
        <w:t>台</w:t>
      </w:r>
      <w:r>
        <w:rPr>
          <w:rFonts w:hint="eastAsia"/>
          <w:color w:val="000000"/>
          <w:spacing w:val="-2"/>
          <w:szCs w:val="32"/>
        </w:rPr>
        <w:t>资</w:t>
      </w:r>
      <w:r>
        <w:rPr>
          <w:color w:val="000000"/>
          <w:spacing w:val="-2"/>
          <w:szCs w:val="32"/>
        </w:rPr>
        <w:t>企业给予政策加码。</w:t>
      </w:r>
      <w:r>
        <w:rPr>
          <w:rFonts w:hint="eastAsia"/>
          <w:color w:val="000000"/>
          <w:spacing w:val="-2"/>
          <w:szCs w:val="32"/>
        </w:rPr>
        <w:t>港澳</w:t>
      </w:r>
      <w:r>
        <w:rPr>
          <w:color w:val="000000"/>
          <w:spacing w:val="-2"/>
          <w:szCs w:val="32"/>
        </w:rPr>
        <w:t>台</w:t>
      </w:r>
      <w:r>
        <w:rPr>
          <w:rFonts w:hint="eastAsia"/>
          <w:color w:val="000000"/>
          <w:spacing w:val="-2"/>
          <w:szCs w:val="32"/>
        </w:rPr>
        <w:t>资企业按内</w:t>
      </w:r>
      <w:r>
        <w:rPr>
          <w:color w:val="000000"/>
          <w:spacing w:val="-2"/>
          <w:szCs w:val="32"/>
        </w:rPr>
        <w:t>资企业</w:t>
      </w:r>
      <w:r>
        <w:rPr>
          <w:rFonts w:hint="eastAsia"/>
          <w:color w:val="000000"/>
          <w:spacing w:val="-2"/>
          <w:szCs w:val="32"/>
        </w:rPr>
        <w:t>扶持标准和</w:t>
      </w:r>
      <w:r>
        <w:rPr>
          <w:color w:val="000000"/>
          <w:spacing w:val="-2"/>
          <w:szCs w:val="32"/>
        </w:rPr>
        <w:t>上限</w:t>
      </w:r>
      <w:r>
        <w:rPr>
          <w:rFonts w:hint="eastAsia"/>
          <w:color w:val="000000"/>
          <w:spacing w:val="-2"/>
          <w:szCs w:val="32"/>
        </w:rPr>
        <w:t>的</w:t>
      </w:r>
      <w:r>
        <w:rPr>
          <w:color w:val="000000"/>
          <w:spacing w:val="-2"/>
          <w:szCs w:val="32"/>
        </w:rPr>
        <w:t>1.3</w:t>
      </w:r>
      <w:r>
        <w:rPr>
          <w:rFonts w:hint="eastAsia"/>
          <w:color w:val="000000"/>
          <w:spacing w:val="-2"/>
          <w:szCs w:val="32"/>
        </w:rPr>
        <w:t>倍予以核定和执行（第</w:t>
      </w:r>
      <w:r>
        <w:rPr>
          <w:rFonts w:hint="eastAsia"/>
          <w:color w:val="000000"/>
          <w:spacing w:val="-2"/>
          <w:szCs w:val="32"/>
          <w:lang w:eastAsia="zh-CN"/>
        </w:rPr>
        <w:t>八</w:t>
      </w:r>
      <w:r>
        <w:rPr>
          <w:color w:val="000000"/>
          <w:spacing w:val="-2"/>
          <w:szCs w:val="32"/>
        </w:rPr>
        <w:t>条）</w:t>
      </w:r>
      <w:r>
        <w:rPr>
          <w:rFonts w:hint="eastAsia"/>
          <w:color w:val="000000"/>
          <w:spacing w:val="-2"/>
          <w:szCs w:val="32"/>
        </w:rPr>
        <w:t>；</w:t>
      </w:r>
      <w:r>
        <w:rPr>
          <w:rFonts w:hint="eastAsia" w:ascii="仿宋" w:hAnsi="仿宋" w:eastAsia="仿宋" w:cs="仿宋_GB2312"/>
          <w:b/>
          <w:szCs w:val="32"/>
        </w:rPr>
        <w:t>二是</w:t>
      </w:r>
      <w:r>
        <w:rPr>
          <w:rFonts w:hint="eastAsia"/>
          <w:color w:val="000000"/>
          <w:spacing w:val="-2"/>
          <w:szCs w:val="32"/>
        </w:rPr>
        <w:t>鼓励香港科创企业赴前海投资兴业、扩大市场，对与申报单位具有关联关系的香港公司获得港府相关产业资助的，给予配套支持，促进深港产业创新融合（第二十</w:t>
      </w:r>
      <w:r>
        <w:rPr>
          <w:rFonts w:hint="eastAsia"/>
          <w:color w:val="000000"/>
          <w:spacing w:val="-2"/>
          <w:szCs w:val="32"/>
          <w:lang w:eastAsia="zh-CN"/>
        </w:rPr>
        <w:t>三</w:t>
      </w:r>
      <w:r>
        <w:rPr>
          <w:rFonts w:hint="eastAsia"/>
          <w:color w:val="000000"/>
          <w:spacing w:val="-2"/>
          <w:szCs w:val="32"/>
        </w:rPr>
        <w:t>条）；三</w:t>
      </w:r>
      <w:r>
        <w:rPr>
          <w:rFonts w:hint="eastAsia" w:ascii="楷体" w:hAnsi="楷体" w:eastAsia="楷体"/>
          <w:szCs w:val="32"/>
        </w:rPr>
        <w:t>是</w:t>
      </w:r>
      <w:r>
        <w:rPr>
          <w:rFonts w:hint="eastAsia"/>
          <w:color w:val="000000"/>
          <w:spacing w:val="-2"/>
          <w:szCs w:val="32"/>
        </w:rPr>
        <w:t>支持香港、澳门高校和科研机构在前海合作区设立分支机构或创新平台，开展科技创新，鼓励合作共建科技研发、成果转化、企业孵化等协同创新的产学研平台，境外</w:t>
      </w:r>
      <w:r>
        <w:rPr>
          <w:color w:val="000000"/>
          <w:spacing w:val="-2"/>
          <w:szCs w:val="32"/>
        </w:rPr>
        <w:t>重大创新资源</w:t>
      </w:r>
      <w:r>
        <w:rPr>
          <w:rFonts w:hint="eastAsia"/>
          <w:color w:val="000000"/>
          <w:spacing w:val="-2"/>
          <w:szCs w:val="32"/>
        </w:rPr>
        <w:t>在</w:t>
      </w:r>
      <w:r>
        <w:rPr>
          <w:color w:val="000000"/>
          <w:spacing w:val="-2"/>
          <w:szCs w:val="32"/>
        </w:rPr>
        <w:t>前海落地更加便利</w:t>
      </w:r>
      <w:r>
        <w:rPr>
          <w:rFonts w:hint="eastAsia"/>
          <w:color w:val="000000"/>
          <w:spacing w:val="-2"/>
          <w:szCs w:val="32"/>
        </w:rPr>
        <w:t>（第二十</w:t>
      </w:r>
      <w:r>
        <w:rPr>
          <w:rFonts w:hint="eastAsia"/>
          <w:color w:val="000000"/>
          <w:spacing w:val="-2"/>
          <w:szCs w:val="32"/>
          <w:lang w:eastAsia="zh-CN"/>
        </w:rPr>
        <w:t>四</w:t>
      </w:r>
      <w:r>
        <w:rPr>
          <w:rFonts w:hint="eastAsia"/>
          <w:color w:val="000000"/>
          <w:spacing w:val="-2"/>
          <w:szCs w:val="32"/>
        </w:rPr>
        <w:t>条、第二十</w:t>
      </w:r>
      <w:r>
        <w:rPr>
          <w:rFonts w:hint="eastAsia"/>
          <w:color w:val="000000"/>
          <w:spacing w:val="-2"/>
          <w:szCs w:val="32"/>
          <w:lang w:eastAsia="zh-CN"/>
        </w:rPr>
        <w:t>六</w:t>
      </w:r>
      <w:r>
        <w:rPr>
          <w:rFonts w:hint="eastAsia"/>
          <w:color w:val="000000"/>
          <w:spacing w:val="-2"/>
          <w:szCs w:val="32"/>
        </w:rPr>
        <w:t>条）。</w:t>
      </w:r>
      <w:r>
        <w:rPr>
          <w:rFonts w:hint="eastAsia" w:ascii="仿宋" w:hAnsi="仿宋" w:eastAsia="仿宋"/>
          <w:b/>
          <w:szCs w:val="32"/>
        </w:rPr>
        <w:t>四是</w:t>
      </w:r>
      <w:r>
        <w:rPr>
          <w:rFonts w:hint="eastAsia"/>
          <w:color w:val="000000"/>
          <w:spacing w:val="-2"/>
          <w:szCs w:val="32"/>
        </w:rPr>
        <w:t>支持企业购买港澳台及海外设备，探索解决设备跨境使用困难（第二十</w:t>
      </w:r>
      <w:r>
        <w:rPr>
          <w:rFonts w:hint="eastAsia"/>
          <w:color w:val="000000"/>
          <w:spacing w:val="-2"/>
          <w:szCs w:val="32"/>
          <w:lang w:eastAsia="zh-CN"/>
        </w:rPr>
        <w:t>七</w:t>
      </w:r>
      <w:r>
        <w:rPr>
          <w:rFonts w:hint="eastAsia"/>
          <w:color w:val="000000"/>
          <w:spacing w:val="-2"/>
          <w:szCs w:val="32"/>
        </w:rPr>
        <w:t>条）。</w:t>
      </w:r>
      <w:r>
        <w:rPr>
          <w:rFonts w:hint="eastAsia" w:ascii="仿宋" w:hAnsi="仿宋" w:eastAsia="仿宋"/>
          <w:b/>
          <w:szCs w:val="32"/>
        </w:rPr>
        <w:t>五是</w:t>
      </w:r>
      <w:r>
        <w:rPr>
          <w:rFonts w:hint="eastAsia"/>
          <w:color w:val="000000"/>
          <w:spacing w:val="-2"/>
          <w:szCs w:val="32"/>
        </w:rPr>
        <w:t>引导前海港澳青年创办企业积极参与创新创业大赛，给予创赛奖金配套支持（第二十</w:t>
      </w:r>
      <w:r>
        <w:rPr>
          <w:rFonts w:hint="eastAsia"/>
          <w:color w:val="000000"/>
          <w:spacing w:val="-2"/>
          <w:szCs w:val="32"/>
          <w:lang w:eastAsia="zh-CN"/>
        </w:rPr>
        <w:t>五</w:t>
      </w:r>
      <w:r>
        <w:rPr>
          <w:rFonts w:hint="eastAsia"/>
          <w:color w:val="000000"/>
          <w:spacing w:val="-2"/>
          <w:szCs w:val="32"/>
        </w:rPr>
        <w:t>条）。</w:t>
      </w:r>
    </w:p>
    <w:p>
      <w:pPr>
        <w:ind w:firstLine="640" w:firstLineChars="200"/>
        <w:rPr>
          <w:color w:val="000000"/>
          <w:spacing w:val="-2"/>
          <w:szCs w:val="32"/>
        </w:rPr>
      </w:pPr>
      <w:r>
        <w:rPr>
          <w:rFonts w:hint="eastAsia" w:ascii="楷体" w:hAnsi="楷体" w:eastAsia="楷体"/>
          <w:szCs w:val="32"/>
        </w:rPr>
        <w:t>（二）做大做强新兴产业，形成多层次招商举措。</w:t>
      </w:r>
      <w:r>
        <w:rPr>
          <w:color w:val="000000"/>
          <w:spacing w:val="-2"/>
          <w:szCs w:val="32"/>
        </w:rPr>
        <w:t>从新兴产业企业不同发展阶段</w:t>
      </w:r>
      <w:r>
        <w:rPr>
          <w:rFonts w:hint="eastAsia"/>
          <w:color w:val="000000"/>
          <w:spacing w:val="-2"/>
          <w:szCs w:val="32"/>
        </w:rPr>
        <w:t>和发展形态出发，制定差异化认定条件和多层次支持额度，全面覆盖行业龙头、高成长性企业、创新型企业等新兴产业链中的优质主体，为产业引导提供有效政策供给（第</w:t>
      </w:r>
      <w:r>
        <w:rPr>
          <w:color w:val="000000"/>
          <w:spacing w:val="-2"/>
          <w:szCs w:val="32"/>
        </w:rPr>
        <w:t>九条、</w:t>
      </w:r>
      <w:r>
        <w:rPr>
          <w:rFonts w:hint="eastAsia"/>
          <w:color w:val="000000"/>
          <w:spacing w:val="-2"/>
          <w:szCs w:val="32"/>
        </w:rPr>
        <w:t>第十条、第十一条</w:t>
      </w:r>
      <w:r>
        <w:rPr>
          <w:rFonts w:hint="eastAsia"/>
          <w:color w:val="000000"/>
          <w:spacing w:val="-2"/>
          <w:szCs w:val="32"/>
          <w:lang w:eastAsia="zh-CN"/>
        </w:rPr>
        <w:t>、第十二条</w:t>
      </w:r>
      <w:r>
        <w:rPr>
          <w:rFonts w:hint="eastAsia"/>
          <w:color w:val="000000"/>
          <w:spacing w:val="-2"/>
          <w:szCs w:val="32"/>
        </w:rPr>
        <w:t>）。</w:t>
      </w:r>
    </w:p>
    <w:p>
      <w:pPr>
        <w:ind w:firstLine="640" w:firstLineChars="200"/>
        <w:rPr>
          <w:rFonts w:ascii="楷体" w:hAnsi="楷体" w:eastAsia="楷体"/>
          <w:szCs w:val="32"/>
        </w:rPr>
      </w:pPr>
      <w:r>
        <w:rPr>
          <w:rFonts w:hint="eastAsia" w:ascii="楷体" w:hAnsi="楷体" w:eastAsia="楷体"/>
          <w:szCs w:val="32"/>
        </w:rPr>
        <w:t>（三）着力培育创新动力，构筑开放式创新业态。</w:t>
      </w:r>
      <w:r>
        <w:rPr>
          <w:rFonts w:ascii="仿宋" w:hAnsi="仿宋" w:eastAsia="仿宋"/>
          <w:b/>
          <w:szCs w:val="32"/>
        </w:rPr>
        <w:t>一是</w:t>
      </w:r>
      <w:r>
        <w:rPr>
          <w:color w:val="000000"/>
          <w:spacing w:val="-2"/>
          <w:szCs w:val="32"/>
        </w:rPr>
        <w:t>聚焦技术创新</w:t>
      </w:r>
      <w:r>
        <w:rPr>
          <w:rFonts w:hint="eastAsia"/>
          <w:color w:val="000000"/>
          <w:spacing w:val="-2"/>
          <w:szCs w:val="32"/>
        </w:rPr>
        <w:t>、</w:t>
      </w:r>
      <w:r>
        <w:rPr>
          <w:color w:val="000000"/>
          <w:spacing w:val="-2"/>
          <w:szCs w:val="32"/>
        </w:rPr>
        <w:t>应用创新和产业创新</w:t>
      </w:r>
      <w:r>
        <w:rPr>
          <w:rFonts w:hint="eastAsia"/>
          <w:color w:val="000000"/>
          <w:spacing w:val="-2"/>
          <w:szCs w:val="32"/>
        </w:rPr>
        <w:t>，引领</w:t>
      </w:r>
      <w:r>
        <w:rPr>
          <w:color w:val="000000"/>
          <w:spacing w:val="-2"/>
          <w:szCs w:val="32"/>
        </w:rPr>
        <w:t>各类创新主体</w:t>
      </w:r>
      <w:r>
        <w:rPr>
          <w:rFonts w:hint="eastAsia"/>
          <w:color w:val="000000"/>
          <w:spacing w:val="-2"/>
          <w:szCs w:val="32"/>
        </w:rPr>
        <w:t>加速</w:t>
      </w:r>
      <w:r>
        <w:rPr>
          <w:color w:val="000000"/>
          <w:spacing w:val="-2"/>
          <w:szCs w:val="32"/>
        </w:rPr>
        <w:t>集聚</w:t>
      </w:r>
      <w:r>
        <w:rPr>
          <w:rFonts w:hint="eastAsia"/>
          <w:color w:val="000000"/>
          <w:spacing w:val="-2"/>
          <w:szCs w:val="32"/>
        </w:rPr>
        <w:t>（第十三条、第十四条</w:t>
      </w:r>
      <w:r>
        <w:rPr>
          <w:rFonts w:hint="eastAsia"/>
          <w:color w:val="000000"/>
          <w:spacing w:val="-2"/>
          <w:szCs w:val="32"/>
          <w:lang w:eastAsia="zh-CN"/>
        </w:rPr>
        <w:t>、第十五条</w:t>
      </w:r>
      <w:r>
        <w:rPr>
          <w:rFonts w:hint="eastAsia"/>
          <w:color w:val="000000"/>
          <w:spacing w:val="-2"/>
          <w:szCs w:val="32"/>
        </w:rPr>
        <w:t>）。</w:t>
      </w:r>
      <w:r>
        <w:rPr>
          <w:rFonts w:hint="eastAsia" w:ascii="仿宋" w:hAnsi="仿宋" w:eastAsia="仿宋"/>
          <w:b/>
          <w:szCs w:val="32"/>
        </w:rPr>
        <w:t>二是</w:t>
      </w:r>
      <w:r>
        <w:rPr>
          <w:rFonts w:hint="eastAsia"/>
          <w:color w:val="000000"/>
          <w:spacing w:val="-2"/>
          <w:szCs w:val="32"/>
        </w:rPr>
        <w:t>围绕自主创新、协同创新鼓励申报科技项目和知识产权，鼓励企业主导</w:t>
      </w:r>
      <w:r>
        <w:rPr>
          <w:color w:val="000000"/>
          <w:spacing w:val="-2"/>
          <w:szCs w:val="32"/>
        </w:rPr>
        <w:t>或</w:t>
      </w:r>
      <w:r>
        <w:rPr>
          <w:rFonts w:hint="eastAsia"/>
          <w:color w:val="000000"/>
          <w:spacing w:val="-2"/>
          <w:szCs w:val="32"/>
        </w:rPr>
        <w:t>参与</w:t>
      </w:r>
      <w:r>
        <w:rPr>
          <w:color w:val="000000"/>
          <w:spacing w:val="-2"/>
          <w:szCs w:val="32"/>
        </w:rPr>
        <w:t>行业标准制定</w:t>
      </w:r>
      <w:r>
        <w:rPr>
          <w:rFonts w:hint="eastAsia"/>
          <w:color w:val="000000"/>
          <w:spacing w:val="-2"/>
          <w:szCs w:val="32"/>
        </w:rPr>
        <w:t>，引领制度</w:t>
      </w:r>
      <w:r>
        <w:rPr>
          <w:color w:val="000000"/>
          <w:spacing w:val="-2"/>
          <w:szCs w:val="32"/>
        </w:rPr>
        <w:t>创新</w:t>
      </w:r>
      <w:r>
        <w:rPr>
          <w:rFonts w:hint="eastAsia"/>
          <w:color w:val="000000"/>
          <w:spacing w:val="-2"/>
          <w:szCs w:val="32"/>
        </w:rPr>
        <w:t>（</w:t>
      </w:r>
      <w:r>
        <w:rPr>
          <w:color w:val="000000"/>
          <w:spacing w:val="-2"/>
          <w:szCs w:val="32"/>
        </w:rPr>
        <w:t>第</w:t>
      </w:r>
      <w:r>
        <w:rPr>
          <w:rFonts w:hint="eastAsia"/>
          <w:color w:val="000000"/>
          <w:spacing w:val="-2"/>
          <w:szCs w:val="32"/>
        </w:rPr>
        <w:t>十六</w:t>
      </w:r>
      <w:r>
        <w:rPr>
          <w:color w:val="000000"/>
          <w:spacing w:val="-2"/>
          <w:szCs w:val="32"/>
        </w:rPr>
        <w:t>条</w:t>
      </w:r>
      <w:r>
        <w:rPr>
          <w:rFonts w:hint="eastAsia"/>
          <w:color w:val="000000"/>
          <w:spacing w:val="-2"/>
          <w:szCs w:val="32"/>
          <w:lang w:eastAsia="zh-CN"/>
        </w:rPr>
        <w:t>、第十七条</w:t>
      </w:r>
      <w:r>
        <w:rPr>
          <w:rFonts w:hint="eastAsia"/>
          <w:color w:val="000000"/>
          <w:spacing w:val="-2"/>
          <w:szCs w:val="32"/>
        </w:rPr>
        <w:t>）。</w:t>
      </w:r>
    </w:p>
    <w:p>
      <w:pPr>
        <w:ind w:firstLine="640" w:firstLineChars="200"/>
        <w:rPr>
          <w:color w:val="000000"/>
          <w:spacing w:val="-2"/>
          <w:szCs w:val="32"/>
        </w:rPr>
      </w:pPr>
      <w:r>
        <w:rPr>
          <w:rFonts w:hint="eastAsia" w:ascii="楷体" w:hAnsi="楷体" w:eastAsia="楷体"/>
          <w:szCs w:val="32"/>
        </w:rPr>
        <w:t>（四）持续完善产业生态，打造现代服务业高地。</w:t>
      </w:r>
      <w:r>
        <w:rPr>
          <w:rFonts w:hint="eastAsia" w:ascii="仿宋" w:hAnsi="仿宋" w:eastAsia="仿宋"/>
          <w:b/>
          <w:szCs w:val="32"/>
        </w:rPr>
        <w:t>一是</w:t>
      </w:r>
      <w:r>
        <w:rPr>
          <w:rFonts w:hint="eastAsia"/>
          <w:color w:val="000000"/>
          <w:spacing w:val="-2"/>
          <w:szCs w:val="32"/>
        </w:rPr>
        <w:t>发挥市场力量完善科技创新服务业体系，支持新兴产业行业协会为</w:t>
      </w:r>
      <w:r>
        <w:rPr>
          <w:color w:val="000000"/>
          <w:spacing w:val="-2"/>
          <w:szCs w:val="32"/>
        </w:rPr>
        <w:t>前海</w:t>
      </w:r>
      <w:r>
        <w:rPr>
          <w:rFonts w:hint="eastAsia"/>
          <w:szCs w:val="32"/>
        </w:rPr>
        <w:t>引入优质国高企业</w:t>
      </w:r>
      <w:r>
        <w:rPr>
          <w:rFonts w:hint="eastAsia"/>
          <w:color w:val="000000"/>
          <w:spacing w:val="-2"/>
          <w:szCs w:val="32"/>
        </w:rPr>
        <w:t>（第十</w:t>
      </w:r>
      <w:r>
        <w:rPr>
          <w:rFonts w:hint="eastAsia"/>
          <w:color w:val="000000"/>
          <w:spacing w:val="-2"/>
          <w:szCs w:val="32"/>
          <w:lang w:eastAsia="zh-CN"/>
        </w:rPr>
        <w:t>八</w:t>
      </w:r>
      <w:r>
        <w:rPr>
          <w:rFonts w:hint="eastAsia"/>
          <w:color w:val="000000"/>
          <w:spacing w:val="-2"/>
          <w:szCs w:val="32"/>
        </w:rPr>
        <w:t>条），鼓励开展技术转移和成果转化（第十</w:t>
      </w:r>
      <w:r>
        <w:rPr>
          <w:rFonts w:hint="eastAsia"/>
          <w:color w:val="000000"/>
          <w:spacing w:val="-2"/>
          <w:szCs w:val="32"/>
          <w:lang w:eastAsia="zh-CN"/>
        </w:rPr>
        <w:t>九</w:t>
      </w:r>
      <w:r>
        <w:rPr>
          <w:rFonts w:hint="eastAsia"/>
          <w:color w:val="000000"/>
          <w:spacing w:val="-2"/>
          <w:szCs w:val="32"/>
        </w:rPr>
        <w:t>条）。</w:t>
      </w:r>
      <w:r>
        <w:rPr>
          <w:rFonts w:hint="eastAsia" w:ascii="仿宋" w:hAnsi="仿宋" w:eastAsia="仿宋"/>
          <w:szCs w:val="32"/>
        </w:rPr>
        <w:t>二</w:t>
      </w:r>
      <w:r>
        <w:rPr>
          <w:rFonts w:hint="eastAsia" w:ascii="仿宋" w:hAnsi="仿宋" w:eastAsia="仿宋"/>
          <w:b/>
          <w:szCs w:val="32"/>
        </w:rPr>
        <w:t>是</w:t>
      </w:r>
      <w:r>
        <w:rPr>
          <w:rFonts w:hint="eastAsia"/>
          <w:color w:val="000000"/>
          <w:spacing w:val="-2"/>
          <w:szCs w:val="32"/>
        </w:rPr>
        <w:t>鼓励举办学术论坛、技术交流会等公益活动，营造前海创新创业氛围，优化产业发展生态（第</w:t>
      </w:r>
      <w:r>
        <w:rPr>
          <w:rFonts w:hint="eastAsia"/>
          <w:color w:val="000000"/>
          <w:spacing w:val="-2"/>
          <w:szCs w:val="32"/>
          <w:lang w:eastAsia="zh-CN"/>
        </w:rPr>
        <w:t>二十</w:t>
      </w:r>
      <w:r>
        <w:rPr>
          <w:rFonts w:hint="eastAsia"/>
          <w:color w:val="000000"/>
          <w:spacing w:val="-2"/>
          <w:szCs w:val="32"/>
        </w:rPr>
        <w:t>条）。</w:t>
      </w:r>
    </w:p>
    <w:p>
      <w:pPr>
        <w:ind w:firstLine="632" w:firstLineChars="200"/>
        <w:rPr>
          <w:color w:val="000000"/>
          <w:spacing w:val="-2"/>
          <w:szCs w:val="32"/>
        </w:rPr>
      </w:pPr>
      <w:r>
        <w:rPr>
          <w:rFonts w:hint="eastAsia"/>
          <w:color w:val="000000"/>
          <w:spacing w:val="-2"/>
          <w:szCs w:val="32"/>
        </w:rPr>
        <w:t>特此说明。</w:t>
      </w:r>
      <w:bookmarkStart w:id="0" w:name="_GoBack"/>
      <w:bookmarkEnd w:id="0"/>
    </w:p>
    <w:p>
      <w:pPr>
        <w:ind w:firstLine="632" w:firstLineChars="200"/>
        <w:rPr>
          <w:color w:val="000000"/>
          <w:spacing w:val="-2"/>
          <w:szCs w:val="32"/>
        </w:rPr>
      </w:pPr>
    </w:p>
    <w:sectPr>
      <w:footerReference r:id="rId5" w:type="default"/>
      <w:pgSz w:w="11906" w:h="16838"/>
      <w:pgMar w:top="1440" w:right="1797" w:bottom="1440" w:left="1797" w:header="851" w:footer="992"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Kalinga">
    <w:panose1 w:val="020B0502040204020203"/>
    <w:charset w:val="00"/>
    <w:family w:val="swiss"/>
    <w:pitch w:val="default"/>
    <w:sig w:usb0="00080003"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3404562"/>
    </w:sdtPr>
    <w:sdtContent>
      <w:p>
        <w:pPr>
          <w:pStyle w:val="3"/>
          <w:jc w:val="center"/>
        </w:pPr>
        <w:r>
          <w:fldChar w:fldCharType="begin"/>
        </w:r>
        <w:r>
          <w:instrText xml:space="preserve">PAGE   \* MERGEFORMAT</w:instrText>
        </w:r>
        <w:r>
          <w:fldChar w:fldCharType="separate"/>
        </w:r>
        <w:r>
          <w:rPr>
            <w:lang w:val="zh-CN"/>
          </w:rPr>
          <w:t>6</w:t>
        </w:r>
        <w:r>
          <w:fldChar w:fldCharType="end"/>
        </w:r>
      </w:p>
    </w:sdtContent>
  </w:sdt>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831"/>
    <w:rsid w:val="00004010"/>
    <w:rsid w:val="00076313"/>
    <w:rsid w:val="000810EE"/>
    <w:rsid w:val="000A50E4"/>
    <w:rsid w:val="000B5B11"/>
    <w:rsid w:val="00121729"/>
    <w:rsid w:val="00124033"/>
    <w:rsid w:val="00151F03"/>
    <w:rsid w:val="001900F9"/>
    <w:rsid w:val="001962EB"/>
    <w:rsid w:val="001C22D1"/>
    <w:rsid w:val="001D4984"/>
    <w:rsid w:val="001D7DE6"/>
    <w:rsid w:val="002144ED"/>
    <w:rsid w:val="00216EF4"/>
    <w:rsid w:val="0024077B"/>
    <w:rsid w:val="00262885"/>
    <w:rsid w:val="00291868"/>
    <w:rsid w:val="00296EBC"/>
    <w:rsid w:val="002A3100"/>
    <w:rsid w:val="002E43D8"/>
    <w:rsid w:val="00332ED8"/>
    <w:rsid w:val="003502B0"/>
    <w:rsid w:val="003A7996"/>
    <w:rsid w:val="003D21B9"/>
    <w:rsid w:val="003E3945"/>
    <w:rsid w:val="003F4A4E"/>
    <w:rsid w:val="00401AED"/>
    <w:rsid w:val="004346D9"/>
    <w:rsid w:val="00446EBC"/>
    <w:rsid w:val="00495207"/>
    <w:rsid w:val="004B65A6"/>
    <w:rsid w:val="004C0E3F"/>
    <w:rsid w:val="004C22FC"/>
    <w:rsid w:val="004C717D"/>
    <w:rsid w:val="004D0159"/>
    <w:rsid w:val="004D1ADE"/>
    <w:rsid w:val="005174AB"/>
    <w:rsid w:val="0052037A"/>
    <w:rsid w:val="00582604"/>
    <w:rsid w:val="005878E4"/>
    <w:rsid w:val="005A34BA"/>
    <w:rsid w:val="00607971"/>
    <w:rsid w:val="00622BDF"/>
    <w:rsid w:val="00664FED"/>
    <w:rsid w:val="006A4915"/>
    <w:rsid w:val="006B34E6"/>
    <w:rsid w:val="007105EB"/>
    <w:rsid w:val="00743FB6"/>
    <w:rsid w:val="007603CB"/>
    <w:rsid w:val="0077094B"/>
    <w:rsid w:val="00773DB2"/>
    <w:rsid w:val="007A3789"/>
    <w:rsid w:val="007B33E1"/>
    <w:rsid w:val="007C369A"/>
    <w:rsid w:val="007C706F"/>
    <w:rsid w:val="00815EE9"/>
    <w:rsid w:val="00822831"/>
    <w:rsid w:val="008324E1"/>
    <w:rsid w:val="00883F57"/>
    <w:rsid w:val="008B23BD"/>
    <w:rsid w:val="008B5FD1"/>
    <w:rsid w:val="008E598B"/>
    <w:rsid w:val="008F1EF0"/>
    <w:rsid w:val="00900AD2"/>
    <w:rsid w:val="009012BB"/>
    <w:rsid w:val="00944574"/>
    <w:rsid w:val="0097040E"/>
    <w:rsid w:val="009B4DF0"/>
    <w:rsid w:val="009C5981"/>
    <w:rsid w:val="009F0DEA"/>
    <w:rsid w:val="00A03146"/>
    <w:rsid w:val="00A23A0B"/>
    <w:rsid w:val="00A24752"/>
    <w:rsid w:val="00A2658A"/>
    <w:rsid w:val="00A4093E"/>
    <w:rsid w:val="00A5749A"/>
    <w:rsid w:val="00AB5D44"/>
    <w:rsid w:val="00AF2AD5"/>
    <w:rsid w:val="00AF5DC6"/>
    <w:rsid w:val="00B00E60"/>
    <w:rsid w:val="00B15F8F"/>
    <w:rsid w:val="00B16620"/>
    <w:rsid w:val="00B32390"/>
    <w:rsid w:val="00BF0A61"/>
    <w:rsid w:val="00C00A90"/>
    <w:rsid w:val="00C173A7"/>
    <w:rsid w:val="00C41608"/>
    <w:rsid w:val="00C45C02"/>
    <w:rsid w:val="00C51CD6"/>
    <w:rsid w:val="00C64166"/>
    <w:rsid w:val="00C7515C"/>
    <w:rsid w:val="00C77124"/>
    <w:rsid w:val="00CB1F70"/>
    <w:rsid w:val="00D05FD5"/>
    <w:rsid w:val="00D1325B"/>
    <w:rsid w:val="00D2134A"/>
    <w:rsid w:val="00D5070D"/>
    <w:rsid w:val="00D6211C"/>
    <w:rsid w:val="00D70AD0"/>
    <w:rsid w:val="00D83917"/>
    <w:rsid w:val="00D84E87"/>
    <w:rsid w:val="00D9348C"/>
    <w:rsid w:val="00D945BF"/>
    <w:rsid w:val="00DC1A31"/>
    <w:rsid w:val="00E128D8"/>
    <w:rsid w:val="00E3075D"/>
    <w:rsid w:val="00E46E5C"/>
    <w:rsid w:val="00E75B13"/>
    <w:rsid w:val="00E76E2A"/>
    <w:rsid w:val="00F2611C"/>
    <w:rsid w:val="00F43CE7"/>
    <w:rsid w:val="00FC36B2"/>
    <w:rsid w:val="00FD6EAB"/>
    <w:rsid w:val="00FD7410"/>
    <w:rsid w:val="00FE765D"/>
    <w:rsid w:val="00FF3E59"/>
    <w:rsid w:val="00FF7E1E"/>
    <w:rsid w:val="0B137C13"/>
    <w:rsid w:val="3A681A5C"/>
    <w:rsid w:val="72EE5E97"/>
  </w:rsids>
  <m:mathPr>
    <m:mathFont m:val="Cambria Math"/>
    <m:brkBin m:val="before"/>
    <m:brkBinSub m:val="--"/>
    <m:smallFrac m:val="0"/>
    <m:dispDef/>
    <m:lMargin m:val="0"/>
    <m:rMargin m:val="0"/>
    <m:defJc m:val="centerGroup"/>
    <m:wrapIndent m:val="1440"/>
    <m:intLim m:val="subSup"/>
    <m:naryLim m:val="undOvr"/>
  </m:mathPr>
  <w:themeFontLang w:val="en-US" w:eastAsia="zh-CN" w:bidi="or-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Times New Roman"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658"/>
      <w:jc w:val="both"/>
    </w:pPr>
    <w:rPr>
      <w:rFonts w:ascii="仿宋_GB2312" w:hAnsi="Times New Roman" w:eastAsia="仿宋_GB2312" w:cstheme="minorBidi"/>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pPr>
      <w:spacing w:line="240" w:lineRule="auto"/>
    </w:pPr>
    <w:rPr>
      <w:sz w:val="18"/>
      <w:szCs w:val="18"/>
    </w:rPr>
  </w:style>
  <w:style w:type="paragraph" w:styleId="3">
    <w:name w:val="footer"/>
    <w:basedOn w:val="1"/>
    <w:link w:val="9"/>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unhideWhenUsed/>
    <w:qFormat/>
    <w:uiPriority w:val="99"/>
    <w:pPr>
      <w:spacing w:before="100" w:beforeAutospacing="1" w:after="100" w:afterAutospacing="1" w:line="240" w:lineRule="auto"/>
      <w:ind w:firstLine="0"/>
      <w:jc w:val="left"/>
    </w:pPr>
    <w:rPr>
      <w:rFonts w:ascii="宋体" w:hAnsi="宋体" w:eastAsia="宋体" w:cs="宋体"/>
      <w:kern w:val="0"/>
      <w:sz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styleId="10">
    <w:name w:val="List Paragraph"/>
    <w:basedOn w:val="1"/>
    <w:qFormat/>
    <w:uiPriority w:val="34"/>
    <w:pPr>
      <w:widowControl w:val="0"/>
      <w:spacing w:line="240" w:lineRule="auto"/>
      <w:ind w:firstLine="420" w:firstLineChars="200"/>
    </w:pPr>
    <w:rPr>
      <w:rFonts w:asciiTheme="minorHAnsi" w:hAnsiTheme="minorHAnsi" w:eastAsiaTheme="minorEastAsia"/>
      <w:sz w:val="21"/>
      <w:szCs w:val="22"/>
    </w:r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256</Words>
  <Characters>1461</Characters>
  <Lines>12</Lines>
  <Paragraphs>3</Paragraphs>
  <TotalTime>69</TotalTime>
  <ScaleCrop>false</ScaleCrop>
  <LinksUpToDate>false</LinksUpToDate>
  <CharactersWithSpaces>1714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2021-03-10T05:22:00Z</dcterms:created>
  <dc:creator>芮凯</dc:creator>
  <cp:lastModifiedBy>林瑗</cp:lastModifiedBy>
  <cp:lastPrinted>2021-03-10T06:40:00Z</cp:lastPrinted>
  <dcterms:modified xsi:type="dcterms:W3CDTF">2021-04-14T06:47:19Z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D0114DC15D274FC090A3712091FF3F5D</vt:lpwstr>
  </property>
</Properties>
</file>