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jc w:val="left"/>
        <w:rPr>
          <w:rFonts w:ascii="黑体" w:hAnsi="黑体" w:eastAsia="黑体"/>
          <w:bCs/>
          <w:sz w:val="32"/>
          <w:szCs w:val="32"/>
        </w:rPr>
      </w:pPr>
      <w:r>
        <w:rPr>
          <w:rFonts w:hint="eastAsia" w:ascii="黑体" w:hAnsi="黑体" w:eastAsia="黑体"/>
          <w:bCs/>
          <w:sz w:val="32"/>
          <w:szCs w:val="32"/>
        </w:rPr>
        <w:t>附件1</w:t>
      </w:r>
    </w:p>
    <w:p>
      <w:pPr>
        <w:overflowPunct w:val="0"/>
        <w:spacing w:line="600" w:lineRule="exact"/>
        <w:jc w:val="center"/>
        <w:rPr>
          <w:b/>
          <w:bCs/>
          <w:sz w:val="40"/>
          <w:szCs w:val="40"/>
        </w:rPr>
      </w:pPr>
    </w:p>
    <w:p>
      <w:pPr>
        <w:overflowPunct w:val="0"/>
        <w:spacing w:line="600" w:lineRule="exact"/>
        <w:jc w:val="center"/>
        <w:rPr>
          <w:b/>
          <w:bCs/>
          <w:sz w:val="40"/>
          <w:szCs w:val="40"/>
        </w:rPr>
      </w:pPr>
      <w:r>
        <w:rPr>
          <w:rFonts w:hint="eastAsia"/>
          <w:b/>
          <w:bCs/>
          <w:sz w:val="40"/>
          <w:szCs w:val="40"/>
        </w:rPr>
        <w:t>深圳市发展和改革委员会战略性新兴产业</w:t>
      </w:r>
      <w:r>
        <w:rPr>
          <w:b/>
          <w:bCs/>
          <w:sz w:val="40"/>
          <w:szCs w:val="40"/>
        </w:rPr>
        <w:br w:type="textWrapping"/>
      </w:r>
      <w:r>
        <w:rPr>
          <w:rFonts w:hint="eastAsia"/>
          <w:b/>
          <w:bCs/>
          <w:sz w:val="40"/>
          <w:szCs w:val="40"/>
        </w:rPr>
        <w:t>扶持计划项目验收服务工作指引</w:t>
      </w:r>
    </w:p>
    <w:p>
      <w:pPr>
        <w:overflowPunct w:val="0"/>
        <w:spacing w:line="600" w:lineRule="exact"/>
        <w:jc w:val="center"/>
        <w:rPr>
          <w:rFonts w:ascii="仿宋_GB2312" w:hAnsi="宋体" w:eastAsia="仿宋_GB2312" w:cs="方正小标宋_GBK"/>
          <w:b/>
          <w:bCs/>
          <w:color w:val="000000"/>
          <w:sz w:val="32"/>
          <w:szCs w:val="32"/>
        </w:rPr>
      </w:pPr>
      <w:r>
        <w:rPr>
          <w:rFonts w:hint="eastAsia" w:ascii="仿宋_GB2312" w:hAnsi="宋体" w:eastAsia="仿宋_GB2312" w:cs="方正小标宋_GBK"/>
          <w:b/>
          <w:bCs/>
          <w:color w:val="000000"/>
          <w:sz w:val="32"/>
          <w:szCs w:val="32"/>
        </w:rPr>
        <w:t>（征求意见稿）</w:t>
      </w:r>
    </w:p>
    <w:p>
      <w:pPr>
        <w:overflowPunct w:val="0"/>
        <w:spacing w:line="600" w:lineRule="exact"/>
        <w:jc w:val="center"/>
        <w:rPr>
          <w:b/>
          <w:bCs/>
          <w:sz w:val="44"/>
          <w:szCs w:val="44"/>
        </w:rPr>
      </w:pPr>
    </w:p>
    <w:p>
      <w:pPr>
        <w:overflowPunct w:val="0"/>
        <w:adjustRightInd w:val="0"/>
        <w:snapToGrid w:val="0"/>
        <w:spacing w:after="109" w:afterLines="35" w:line="600" w:lineRule="exact"/>
        <w:jc w:val="center"/>
        <w:rPr>
          <w:rFonts w:ascii="黑体" w:hAnsi="宋体" w:eastAsia="黑体"/>
          <w:color w:val="000000"/>
          <w:sz w:val="32"/>
          <w:szCs w:val="32"/>
        </w:rPr>
      </w:pPr>
      <w:r>
        <w:rPr>
          <w:rFonts w:hint="eastAsia" w:ascii="黑体" w:hAnsi="宋体" w:eastAsia="黑体"/>
          <w:color w:val="000000"/>
          <w:sz w:val="32"/>
          <w:szCs w:val="32"/>
        </w:rPr>
        <w:t>第一章  总  则</w:t>
      </w:r>
    </w:p>
    <w:p>
      <w:pPr>
        <w:overflowPunct w:val="0"/>
        <w:spacing w:line="600" w:lineRule="exact"/>
        <w:ind w:firstLine="643" w:firstLineChars="200"/>
        <w:rPr>
          <w:rFonts w:ascii="仿宋_GB2312" w:hAnsi="Times New Roman" w:eastAsia="仿宋_GB2312"/>
          <w:color w:val="000000"/>
          <w:sz w:val="32"/>
          <w:szCs w:val="32"/>
        </w:rPr>
      </w:pPr>
      <w:r>
        <w:rPr>
          <w:rFonts w:hint="eastAsia" w:ascii="仿宋_GB2312" w:hAnsi="Times New Roman" w:eastAsia="仿宋_GB2312"/>
          <w:b/>
          <w:color w:val="000000"/>
          <w:sz w:val="32"/>
          <w:szCs w:val="32"/>
        </w:rPr>
        <w:t xml:space="preserve">第一条 </w:t>
      </w:r>
      <w:r>
        <w:rPr>
          <w:rFonts w:hint="eastAsia" w:ascii="仿宋_GB2312" w:hAnsi="Times New Roman" w:eastAsia="仿宋_GB2312"/>
          <w:color w:val="000000"/>
          <w:sz w:val="32"/>
          <w:szCs w:val="32"/>
        </w:rPr>
        <w:t>为进一步加强深圳市发展和改革委员会（以下简称市发展改革委）战略性新兴产业扶持计划项目验收服务工作，确保验收服务工作的专业性、公正性和规范性，根据《深圳市发展和改革委员会专项资金新兴产业扶持计划项目验收管理办法》（深发改规〔2019〕3号）等文件规定，制定本指引。</w:t>
      </w:r>
    </w:p>
    <w:p>
      <w:pPr>
        <w:overflowPunct w:val="0"/>
        <w:spacing w:line="600" w:lineRule="exact"/>
        <w:ind w:firstLine="643" w:firstLineChars="200"/>
        <w:rPr>
          <w:rFonts w:ascii="仿宋_GB2312" w:hAnsi="Times New Roman" w:eastAsia="仿宋_GB2312"/>
          <w:color w:val="000000"/>
          <w:sz w:val="32"/>
          <w:szCs w:val="32"/>
        </w:rPr>
      </w:pPr>
      <w:r>
        <w:rPr>
          <w:rFonts w:hint="eastAsia" w:ascii="仿宋_GB2312" w:hAnsi="Times New Roman" w:eastAsia="仿宋_GB2312"/>
          <w:b/>
          <w:color w:val="000000"/>
          <w:sz w:val="32"/>
          <w:szCs w:val="32"/>
        </w:rPr>
        <w:t>第二条</w:t>
      </w:r>
      <w:r>
        <w:rPr>
          <w:rFonts w:hint="eastAsia" w:ascii="仿宋_GB2312" w:hAnsi="Times New Roman" w:eastAsia="仿宋_GB2312"/>
          <w:color w:val="000000"/>
          <w:sz w:val="32"/>
          <w:szCs w:val="32"/>
        </w:rPr>
        <w:t xml:space="preserve"> 本指引适用于市发展改革委战略性新兴产业扶持计划项目（以下简称项目）的验收服务工作，涵盖以下类别：</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（一）市级工程研究中心、市级工程实验室；</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（二）市级产业技术公共服务平台；</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（三）前沿领域中试、产业化股权资助（事前资助）；</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（四）产业化事后补助、产业化股权资助（事后资助）；</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（五）融资贴息资助；</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（六）“创新链+产业链”融合资助；</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（七）学科建设；</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（八）国家/省项目配套；</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（九）信用贷款、担保贷款、设备融资租赁。</w:t>
      </w:r>
    </w:p>
    <w:p>
      <w:pPr>
        <w:overflowPunct w:val="0"/>
        <w:spacing w:line="600" w:lineRule="exact"/>
        <w:ind w:firstLine="643" w:firstLineChars="200"/>
        <w:rPr>
          <w:rFonts w:ascii="仿宋_GB2312" w:hAnsi="Times New Roman" w:eastAsia="仿宋_GB2312"/>
          <w:color w:val="000000"/>
          <w:sz w:val="32"/>
          <w:szCs w:val="32"/>
          <w:shd w:val="clear" w:color="auto" w:fill="92D050"/>
        </w:rPr>
      </w:pPr>
      <w:r>
        <w:rPr>
          <w:rFonts w:hint="eastAsia" w:ascii="仿宋_GB2312" w:hAnsi="Times New Roman" w:eastAsia="仿宋_GB2312"/>
          <w:b/>
          <w:color w:val="000000"/>
          <w:sz w:val="32"/>
          <w:szCs w:val="32"/>
        </w:rPr>
        <w:t>第三条</w:t>
      </w:r>
      <w:r>
        <w:rPr>
          <w:rFonts w:hint="eastAsia" w:ascii="仿宋_GB2312" w:hAnsi="Times New Roman" w:eastAsia="仿宋_GB2312"/>
          <w:color w:val="000000"/>
          <w:sz w:val="32"/>
          <w:szCs w:val="32"/>
        </w:rPr>
        <w:t xml:space="preserve"> 本指引所称验收服务是指：项目验收服务机构受市发展改革委委托，组织验收专家组对项目实施情况进行验收评价并形成专家组验收意见，项目验收服务机构根据专家组验收意见和项目专项审计报告等验收资料编制项目验收意见书并报市发展改革委审核的活动。</w:t>
      </w:r>
    </w:p>
    <w:p>
      <w:pPr>
        <w:overflowPunct w:val="0"/>
        <w:spacing w:line="600" w:lineRule="exact"/>
        <w:ind w:firstLine="643" w:firstLineChars="200"/>
        <w:rPr>
          <w:rFonts w:ascii="仿宋_GB2312" w:hAnsi="Times New Roman" w:eastAsia="仿宋_GB2312"/>
          <w:color w:val="000000"/>
          <w:sz w:val="32"/>
          <w:szCs w:val="32"/>
        </w:rPr>
      </w:pPr>
      <w:r>
        <w:rPr>
          <w:rFonts w:hint="eastAsia" w:ascii="仿宋_GB2312" w:hAnsi="Times New Roman" w:eastAsia="仿宋_GB2312"/>
          <w:b/>
          <w:bCs/>
          <w:color w:val="000000"/>
          <w:sz w:val="32"/>
          <w:szCs w:val="32"/>
        </w:rPr>
        <w:t>第四条</w:t>
      </w:r>
      <w:r>
        <w:rPr>
          <w:rFonts w:hint="eastAsia" w:ascii="仿宋_GB2312" w:hAnsi="Times New Roman" w:eastAsia="仿宋_GB2312"/>
          <w:color w:val="000000"/>
          <w:sz w:val="32"/>
          <w:szCs w:val="32"/>
        </w:rPr>
        <w:t xml:space="preserve"> 坚持实事求是、科学规范、客观公开、注重质量、讲求实效的原则，充分发挥专家和专业机构的作用，保证验收服务工作的专业性、公正性和规范性。</w:t>
      </w:r>
    </w:p>
    <w:p>
      <w:pPr>
        <w:overflowPunct w:val="0"/>
        <w:spacing w:line="600" w:lineRule="exact"/>
        <w:ind w:firstLine="640" w:firstLineChars="200"/>
        <w:rPr>
          <w:rFonts w:ascii="仿宋_GB2312" w:hAnsi="Times New Roman" w:eastAsia="仿宋_GB2312"/>
          <w:color w:val="000000"/>
          <w:sz w:val="32"/>
          <w:szCs w:val="32"/>
        </w:rPr>
      </w:pPr>
    </w:p>
    <w:p>
      <w:pPr>
        <w:overflowPunct w:val="0"/>
        <w:adjustRightInd w:val="0"/>
        <w:snapToGrid w:val="0"/>
        <w:spacing w:after="109" w:afterLines="35" w:line="600" w:lineRule="exact"/>
        <w:jc w:val="center"/>
        <w:rPr>
          <w:rFonts w:ascii="黑体" w:hAnsi="宋体" w:eastAsia="黑体"/>
          <w:color w:val="000000"/>
          <w:sz w:val="32"/>
          <w:szCs w:val="32"/>
        </w:rPr>
      </w:pPr>
      <w:r>
        <w:rPr>
          <w:rFonts w:hint="eastAsia" w:ascii="黑体" w:hAnsi="宋体" w:eastAsia="黑体"/>
          <w:color w:val="000000"/>
          <w:sz w:val="32"/>
          <w:szCs w:val="32"/>
        </w:rPr>
        <w:t>第二章  职责分工</w:t>
      </w:r>
    </w:p>
    <w:p>
      <w:pPr>
        <w:overflowPunct w:val="0"/>
        <w:spacing w:line="600" w:lineRule="exact"/>
        <w:ind w:firstLine="643" w:firstLineChars="200"/>
        <w:rPr>
          <w:rFonts w:ascii="仿宋_GB2312" w:hAnsi="Times New Roman" w:eastAsia="仿宋_GB2312"/>
          <w:color w:val="000000"/>
          <w:sz w:val="32"/>
          <w:szCs w:val="32"/>
        </w:rPr>
      </w:pPr>
      <w:r>
        <w:rPr>
          <w:rFonts w:hint="eastAsia" w:ascii="仿宋_GB2312" w:hAnsi="Times New Roman" w:eastAsia="仿宋_GB2312"/>
          <w:b/>
          <w:bCs/>
          <w:color w:val="000000"/>
          <w:sz w:val="32"/>
          <w:szCs w:val="32"/>
        </w:rPr>
        <w:t>第五条</w:t>
      </w:r>
      <w:r>
        <w:rPr>
          <w:rFonts w:hint="eastAsia" w:ascii="仿宋_GB2312" w:hAnsi="Times New Roman" w:eastAsia="仿宋_GB2312"/>
          <w:color w:val="000000"/>
          <w:sz w:val="32"/>
          <w:szCs w:val="32"/>
        </w:rPr>
        <w:t xml:space="preserve"> 市发展改革委统筹管理项目验收服务工作，其基本职责：</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（一）负责制定项目验收管理、战略性新兴产业扶持计划项目验收专家库（以下简称专家库）管理等相关制度；</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（二）按照政府采购相关规定，确定项目验收服务机构，委托项目验收服务机构承担项目具体验收工作，受理对项目验收服务机构的投诉、举报，对项目验收服务机构的验收服务工作进行监督、指导及日常管理；</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（三）建立、维护和管理专家库，受理对验收专家的投诉、举报，对验收专家的验收服务工作进行监督、指导及日常管理；</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（四）受理项目验收申请材料并进行初审；</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（五）审核项目验收服务机构编报的验收意见书，形成验收结论，并向项目单位书面下达验收文件。</w:t>
      </w:r>
    </w:p>
    <w:p>
      <w:pPr>
        <w:overflowPunct w:val="0"/>
        <w:spacing w:line="600" w:lineRule="exact"/>
        <w:ind w:firstLine="643" w:firstLineChars="200"/>
        <w:rPr>
          <w:rFonts w:ascii="仿宋_GB2312" w:hAnsi="Times New Roman" w:eastAsia="仿宋_GB2312"/>
          <w:color w:val="000000"/>
          <w:sz w:val="32"/>
          <w:szCs w:val="32"/>
        </w:rPr>
      </w:pPr>
      <w:r>
        <w:rPr>
          <w:rFonts w:hint="eastAsia" w:ascii="仿宋_GB2312" w:hAnsi="Times New Roman" w:eastAsia="仿宋_GB2312"/>
          <w:b/>
          <w:bCs/>
          <w:color w:val="000000"/>
          <w:sz w:val="32"/>
          <w:szCs w:val="32"/>
        </w:rPr>
        <w:t>第六条</w:t>
      </w:r>
      <w:r>
        <w:rPr>
          <w:rFonts w:hint="eastAsia" w:ascii="仿宋_GB2312" w:hAnsi="Times New Roman" w:eastAsia="仿宋_GB2312"/>
          <w:color w:val="000000"/>
          <w:sz w:val="32"/>
          <w:szCs w:val="32"/>
        </w:rPr>
        <w:t xml:space="preserve"> 项目验收服务机构是受市发展改革委委托，承担具体组织实施项目验收的专业机构，其基本职责：</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（一）进一步核查项目验收材料，确保验收材料的完整性和规范性；</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（二）抽选项目验收专家，组成验收专家组；</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（三）拟定项目现场验收工作方案，组织项目现场验收评审会议；</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（四）拍摄、录制并保存项目验收现场照片、音视频材料等；</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（五）加强对专家现场验收服务工作的组织、管理与监督；</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（六）根据专家组验收意见和项目专项审计报告等验收材料编写项目验收意见书，报市发展改革委审核；</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（七）整理汇总项目验收材料，送市发展改革委存档；</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（八）协助市发展改革委开展专家库的建设与维护，协助市发展改革委处理针对验收专家的投诉、举报；</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（九）接受市发展改革委的监督和管理，对本机构工作人员和验收专家开展廉洁和反腐败教育，督促本机构工作人员和验收专家廉洁从业。</w:t>
      </w:r>
    </w:p>
    <w:p>
      <w:pPr>
        <w:overflowPunct w:val="0"/>
        <w:spacing w:line="600" w:lineRule="exact"/>
        <w:ind w:firstLine="643" w:firstLineChars="200"/>
        <w:rPr>
          <w:rFonts w:ascii="仿宋_GB2312" w:hAnsi="Times New Roman" w:eastAsia="仿宋_GB2312"/>
          <w:color w:val="000000"/>
          <w:sz w:val="32"/>
          <w:szCs w:val="32"/>
        </w:rPr>
      </w:pPr>
      <w:r>
        <w:rPr>
          <w:rFonts w:hint="eastAsia" w:ascii="仿宋_GB2312" w:hAnsi="Times New Roman" w:eastAsia="仿宋_GB2312"/>
          <w:b/>
          <w:bCs/>
          <w:color w:val="000000"/>
          <w:sz w:val="32"/>
          <w:szCs w:val="32"/>
        </w:rPr>
        <w:t>第七条</w:t>
      </w:r>
      <w:r>
        <w:rPr>
          <w:rFonts w:hint="eastAsia" w:ascii="仿宋_GB2312" w:hAnsi="Times New Roman" w:eastAsia="仿宋_GB2312"/>
          <w:color w:val="000000"/>
          <w:sz w:val="32"/>
          <w:szCs w:val="32"/>
        </w:rPr>
        <w:t xml:space="preserve"> 验收专家是具有一定专业技术水平和资历，受验收服务机构邀请参与项目验收工作的专业人员，其基本职责：</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（一）在遵循回避原则的前提下，根据自身专业、能力等，接受项目验收服务机构的邀请；</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（二）积极配合项目验收工作安排并按时参加项目验收工作；</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（三）严格按照规定程序、评分标准和评分细则，在认真审核项目验收资料和详细核查项目实际建设完成情况的基础上，独立、客观、公正地发表专业意见，并进行综合评议打分；</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（四）接受市发展改革委和验收服务机构开展的廉洁和反腐败教育，做到廉洁从业。</w:t>
      </w:r>
    </w:p>
    <w:p>
      <w:pPr>
        <w:overflowPunct w:val="0"/>
        <w:spacing w:line="600" w:lineRule="exact"/>
        <w:ind w:firstLine="640" w:firstLineChars="200"/>
        <w:rPr>
          <w:rFonts w:ascii="仿宋_GB2312" w:hAnsi="Times New Roman" w:eastAsia="仿宋_GB2312"/>
          <w:color w:val="000000"/>
          <w:sz w:val="32"/>
          <w:szCs w:val="32"/>
        </w:rPr>
      </w:pPr>
    </w:p>
    <w:p>
      <w:pPr>
        <w:overflowPunct w:val="0"/>
        <w:adjustRightInd w:val="0"/>
        <w:snapToGrid w:val="0"/>
        <w:spacing w:after="109" w:afterLines="35" w:line="600" w:lineRule="exact"/>
        <w:jc w:val="center"/>
        <w:rPr>
          <w:rFonts w:ascii="黑体" w:hAnsi="宋体" w:eastAsia="黑体"/>
          <w:color w:val="000000"/>
          <w:sz w:val="32"/>
          <w:szCs w:val="32"/>
        </w:rPr>
      </w:pPr>
      <w:r>
        <w:rPr>
          <w:rFonts w:hint="eastAsia" w:ascii="黑体" w:hAnsi="宋体" w:eastAsia="黑体"/>
          <w:color w:val="000000"/>
          <w:sz w:val="32"/>
          <w:szCs w:val="32"/>
        </w:rPr>
        <w:t>第三章  资质要求</w:t>
      </w:r>
    </w:p>
    <w:p>
      <w:pPr>
        <w:overflowPunct w:val="0"/>
        <w:spacing w:line="600" w:lineRule="exact"/>
        <w:ind w:firstLine="643" w:firstLineChars="200"/>
        <w:rPr>
          <w:rFonts w:ascii="仿宋_GB2312" w:hAnsi="Times New Roman" w:eastAsia="仿宋_GB2312"/>
          <w:color w:val="000000"/>
          <w:sz w:val="32"/>
          <w:szCs w:val="32"/>
        </w:rPr>
      </w:pPr>
      <w:r>
        <w:rPr>
          <w:rFonts w:hint="eastAsia" w:ascii="仿宋_GB2312" w:hAnsi="Times New Roman" w:eastAsia="仿宋_GB2312"/>
          <w:b/>
          <w:bCs/>
          <w:color w:val="000000"/>
          <w:sz w:val="32"/>
          <w:szCs w:val="32"/>
        </w:rPr>
        <w:t>第八条</w:t>
      </w:r>
      <w:r>
        <w:rPr>
          <w:rFonts w:hint="eastAsia" w:ascii="仿宋_GB2312" w:hAnsi="Times New Roman" w:eastAsia="仿宋_GB2312"/>
          <w:color w:val="000000"/>
          <w:sz w:val="32"/>
          <w:szCs w:val="32"/>
        </w:rPr>
        <w:t xml:space="preserve"> 项目验收服务机构须具有独立承担民事责任能力，具备财政专项资金项目验收、管理、评审、绩效评价、审计等业绩之一，满足以下要求：</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（一）项目验收团队。保证15名（含）以上专职人员负责项目验收工作，且项目验收总负责人具有正高级职称或注册会计师证书；</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（二）验收管理制度。已制定验收相关制度规范，包括验收流程规范、验收工作管理办法等各类用以保障验收工作有序开展的制度文件；</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（三）验收软硬件设施。拥有可对验收过程进行全流程录制的音视频设备、系统；</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（四）近三年内未参与过项目单位有关项目的立项评审或专项审计工作。</w:t>
      </w:r>
    </w:p>
    <w:p>
      <w:pPr>
        <w:overflowPunct w:val="0"/>
        <w:spacing w:line="600" w:lineRule="exact"/>
        <w:ind w:firstLine="643" w:firstLineChars="200"/>
        <w:rPr>
          <w:rFonts w:ascii="仿宋_GB2312" w:hAnsi="Times New Roman" w:eastAsia="仿宋_GB2312"/>
          <w:color w:val="000000"/>
          <w:sz w:val="32"/>
          <w:szCs w:val="32"/>
        </w:rPr>
      </w:pPr>
      <w:r>
        <w:rPr>
          <w:rFonts w:hint="eastAsia" w:ascii="仿宋_GB2312" w:hAnsi="Times New Roman" w:eastAsia="仿宋_GB2312"/>
          <w:b/>
          <w:bCs/>
          <w:color w:val="000000"/>
          <w:sz w:val="32"/>
          <w:szCs w:val="32"/>
        </w:rPr>
        <w:t>第九条</w:t>
      </w:r>
      <w:r>
        <w:rPr>
          <w:rFonts w:hint="eastAsia" w:ascii="仿宋_GB2312" w:hAnsi="Times New Roman" w:eastAsia="仿宋_GB2312"/>
          <w:color w:val="000000"/>
          <w:sz w:val="32"/>
          <w:szCs w:val="32"/>
        </w:rPr>
        <w:t xml:space="preserve"> 验收专家主要来源于高等院校、科研机构、企业、会计师事务所等单位，应当符合以下条件：</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（一）遵守国家法律，廉洁自律，无违法犯罪记录；</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（二）身体健康，年龄一般不超过65 周岁，国家科学技术奖获得者、中国科学院院士、中国工程院院士等高层次人才可适当放宽年龄限制；</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（三）具有良好的职业道德和社会公德，客观公正，信誉良好，无不良科研诚信记录；</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（四）具有严谨的科学态度、较高的专业技术水平和较强的分析判断能力，熟悉相关领域或行业的技术研发、成果转化及国内外科技创新与产业发展动态，了解相关法律、法规、政策规范；</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（五）技术专家应具有高级专业技术资格、或博士学位、或担任企事业单位高级技术管理职务，且在相关领域工作3 年以上；</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（六）财务专家应具备注册会计师证书，且在相关领域工作3年以上。</w:t>
      </w:r>
    </w:p>
    <w:p>
      <w:pPr>
        <w:overflowPunct w:val="0"/>
        <w:spacing w:line="600" w:lineRule="exact"/>
        <w:ind w:firstLine="640" w:firstLineChars="200"/>
        <w:rPr>
          <w:rFonts w:ascii="仿宋_GB2312" w:hAnsi="Times New Roman" w:eastAsia="仿宋_GB2312"/>
          <w:color w:val="000000"/>
          <w:sz w:val="32"/>
          <w:szCs w:val="32"/>
        </w:rPr>
      </w:pPr>
    </w:p>
    <w:p>
      <w:pPr>
        <w:overflowPunct w:val="0"/>
        <w:adjustRightInd w:val="0"/>
        <w:snapToGrid w:val="0"/>
        <w:spacing w:after="109" w:afterLines="35" w:line="600" w:lineRule="exact"/>
        <w:jc w:val="center"/>
        <w:rPr>
          <w:rFonts w:ascii="黑体" w:hAnsi="宋体" w:eastAsia="黑体"/>
          <w:color w:val="000000"/>
          <w:sz w:val="32"/>
          <w:szCs w:val="32"/>
        </w:rPr>
      </w:pPr>
      <w:r>
        <w:rPr>
          <w:rFonts w:hint="eastAsia" w:ascii="黑体" w:hAnsi="宋体" w:eastAsia="黑体"/>
          <w:color w:val="000000"/>
          <w:sz w:val="32"/>
          <w:szCs w:val="32"/>
        </w:rPr>
        <w:t>第四章  专家抽选</w:t>
      </w:r>
    </w:p>
    <w:p>
      <w:pPr>
        <w:overflowPunct w:val="0"/>
        <w:spacing w:line="600" w:lineRule="exact"/>
        <w:ind w:firstLine="643" w:firstLineChars="200"/>
        <w:rPr>
          <w:rFonts w:ascii="仿宋_GB2312" w:hAnsi="Times New Roman" w:eastAsia="仿宋_GB2312"/>
          <w:b/>
          <w:bCs/>
          <w:color w:val="000000"/>
          <w:sz w:val="32"/>
          <w:szCs w:val="32"/>
        </w:rPr>
      </w:pPr>
      <w:r>
        <w:rPr>
          <w:rFonts w:hint="eastAsia" w:ascii="仿宋_GB2312" w:hAnsi="Times New Roman" w:eastAsia="仿宋_GB2312"/>
          <w:b/>
          <w:bCs/>
          <w:color w:val="000000"/>
          <w:sz w:val="32"/>
          <w:szCs w:val="32"/>
        </w:rPr>
        <w:t>第十条</w:t>
      </w:r>
      <w:r>
        <w:rPr>
          <w:rFonts w:hint="eastAsia" w:ascii="仿宋_GB2312" w:hAnsi="Times New Roman" w:eastAsia="仿宋_GB2312"/>
          <w:color w:val="000000"/>
          <w:sz w:val="32"/>
          <w:szCs w:val="32"/>
        </w:rPr>
        <w:t xml:space="preserve"> 项目验收服务机构根据项目所属细分产业领域或研究领域，设定专家的类型、领域、资历、数量等遴选条件后，采用随机遴选方式从专家库中抽取专家组成员。若有专家临时无法参加验收或需要回避的，应再次通过随机遴选方式进行补充。原则上应选取活跃在科研、产业一线的专家，来自同一单位的专家不超过1名。</w:t>
      </w:r>
    </w:p>
    <w:p>
      <w:pPr>
        <w:overflowPunct w:val="0"/>
        <w:spacing w:line="600" w:lineRule="exact"/>
        <w:ind w:firstLine="643" w:firstLineChars="200"/>
        <w:rPr>
          <w:rFonts w:ascii="仿宋_GB2312" w:hAnsi="Times New Roman" w:eastAsia="仿宋_GB2312"/>
          <w:color w:val="000000"/>
          <w:sz w:val="32"/>
          <w:szCs w:val="32"/>
        </w:rPr>
      </w:pPr>
      <w:r>
        <w:rPr>
          <w:rFonts w:hint="eastAsia" w:ascii="仿宋_GB2312" w:hAnsi="Times New Roman" w:eastAsia="仿宋_GB2312"/>
          <w:b/>
          <w:bCs/>
          <w:color w:val="000000"/>
          <w:sz w:val="32"/>
          <w:szCs w:val="32"/>
        </w:rPr>
        <w:t>第十一条</w:t>
      </w:r>
      <w:r>
        <w:rPr>
          <w:rFonts w:hint="eastAsia" w:ascii="仿宋_GB2312" w:hAnsi="Times New Roman" w:eastAsia="仿宋_GB2312"/>
          <w:color w:val="000000"/>
          <w:sz w:val="32"/>
          <w:szCs w:val="32"/>
        </w:rPr>
        <w:t xml:space="preserve"> 项目验收服务机构应根据有关要求组建验收专家组，验收专家组成员原则上须满足以下要求：</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（一）与项目单位不存在经济利益、法律纠纷或其他利益关联；</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（二）近三年内未在项目单位任职；</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（三）同一专家每年参加市发展改革委项目验收服务工作原则上不超过12个项目；</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（四）验收专家组由不少于1名财务专家和不少于4名技术专家组成，其中来自企业的技术专家不少于1名。</w:t>
      </w:r>
    </w:p>
    <w:p>
      <w:pPr>
        <w:overflowPunct w:val="0"/>
        <w:spacing w:line="600" w:lineRule="exact"/>
        <w:ind w:firstLine="643" w:firstLineChars="200"/>
        <w:rPr>
          <w:rFonts w:ascii="仿宋_GB2312" w:hAnsi="Times New Roman" w:eastAsia="仿宋_GB2312"/>
          <w:color w:val="000000"/>
          <w:sz w:val="32"/>
          <w:szCs w:val="32"/>
        </w:rPr>
      </w:pPr>
      <w:r>
        <w:rPr>
          <w:rFonts w:hint="eastAsia" w:ascii="仿宋_GB2312" w:hAnsi="Times New Roman" w:eastAsia="仿宋_GB2312"/>
          <w:b/>
          <w:bCs/>
          <w:color w:val="000000"/>
          <w:sz w:val="32"/>
          <w:szCs w:val="32"/>
        </w:rPr>
        <w:t>第十二条</w:t>
      </w:r>
      <w:r>
        <w:rPr>
          <w:rFonts w:hint="eastAsia" w:ascii="仿宋_GB2312" w:hAnsi="Times New Roman" w:eastAsia="仿宋_GB2312"/>
          <w:color w:val="000000"/>
          <w:sz w:val="32"/>
          <w:szCs w:val="32"/>
        </w:rPr>
        <w:t xml:space="preserve"> 如项目申请第二次验收，则该项目第二次验收专家组成员中，参加过该项目第一次验收工作的专家数量不得超过1名。</w:t>
      </w:r>
    </w:p>
    <w:p>
      <w:pPr>
        <w:overflowPunct w:val="0"/>
        <w:spacing w:line="600" w:lineRule="exact"/>
        <w:ind w:firstLine="643" w:firstLineChars="200"/>
        <w:rPr>
          <w:rFonts w:ascii="仿宋_GB2312" w:hAnsi="Times New Roman" w:eastAsia="仿宋_GB2312"/>
          <w:color w:val="000000"/>
          <w:sz w:val="32"/>
          <w:szCs w:val="32"/>
        </w:rPr>
      </w:pPr>
      <w:r>
        <w:rPr>
          <w:rFonts w:hint="eastAsia" w:ascii="仿宋_GB2312" w:hAnsi="Times New Roman" w:eastAsia="仿宋_GB2312"/>
          <w:b/>
          <w:bCs/>
          <w:color w:val="000000"/>
          <w:sz w:val="32"/>
          <w:szCs w:val="32"/>
        </w:rPr>
        <w:t>第十三条</w:t>
      </w:r>
      <w:r>
        <w:rPr>
          <w:rFonts w:hint="eastAsia" w:ascii="仿宋_GB2312" w:hAnsi="Times New Roman" w:eastAsia="仿宋_GB2312"/>
          <w:color w:val="000000"/>
          <w:sz w:val="32"/>
          <w:szCs w:val="32"/>
        </w:rPr>
        <w:t xml:space="preserve"> 项目验收服务机构可在专家库中设置急用专家名单，当且仅当出现受邀专家在验收现场发现需要回避的情况时，项目验收服务机构才可根据响应及时性和专业符合性等要求，从急用专家名单中补充抽选专家参与现场验收工作。</w:t>
      </w:r>
    </w:p>
    <w:p>
      <w:pPr>
        <w:overflowPunct w:val="0"/>
        <w:spacing w:line="600" w:lineRule="exact"/>
        <w:ind w:firstLine="640" w:firstLineChars="200"/>
        <w:rPr>
          <w:rFonts w:ascii="仿宋_GB2312" w:hAnsi="Times New Roman" w:eastAsia="仿宋_GB2312"/>
          <w:color w:val="000000"/>
          <w:sz w:val="32"/>
          <w:szCs w:val="32"/>
        </w:rPr>
      </w:pPr>
    </w:p>
    <w:p>
      <w:pPr>
        <w:overflowPunct w:val="0"/>
        <w:adjustRightInd w:val="0"/>
        <w:snapToGrid w:val="0"/>
        <w:spacing w:after="109" w:afterLines="35" w:line="600" w:lineRule="exact"/>
        <w:jc w:val="center"/>
        <w:rPr>
          <w:rFonts w:ascii="黑体" w:hAnsi="宋体" w:eastAsia="黑体"/>
          <w:color w:val="000000"/>
          <w:sz w:val="32"/>
          <w:szCs w:val="32"/>
        </w:rPr>
      </w:pPr>
      <w:r>
        <w:rPr>
          <w:rFonts w:hint="eastAsia" w:ascii="黑体" w:hAnsi="宋体" w:eastAsia="黑体"/>
          <w:color w:val="000000"/>
          <w:sz w:val="32"/>
          <w:szCs w:val="32"/>
        </w:rPr>
        <w:t>第五章  验收准备</w:t>
      </w:r>
    </w:p>
    <w:p>
      <w:pPr>
        <w:overflowPunct w:val="0"/>
        <w:spacing w:line="600" w:lineRule="exact"/>
        <w:ind w:firstLine="643" w:firstLineChars="200"/>
        <w:rPr>
          <w:rFonts w:ascii="仿宋_GB2312" w:hAnsi="Times New Roman" w:eastAsia="仿宋_GB2312"/>
          <w:b/>
          <w:bCs/>
          <w:color w:val="000000"/>
          <w:sz w:val="32"/>
          <w:szCs w:val="32"/>
        </w:rPr>
      </w:pPr>
      <w:r>
        <w:rPr>
          <w:rFonts w:ascii="仿宋_GB2312" w:hAnsi="Times New Roman" w:eastAsia="仿宋_GB2312"/>
          <w:b/>
          <w:bCs/>
          <w:color w:val="000000"/>
          <w:sz w:val="32"/>
          <w:szCs w:val="32"/>
        </w:rPr>
        <w:t>第</w:t>
      </w:r>
      <w:r>
        <w:rPr>
          <w:rFonts w:hint="eastAsia" w:ascii="仿宋_GB2312" w:hAnsi="Times New Roman" w:eastAsia="仿宋_GB2312"/>
          <w:b/>
          <w:bCs/>
          <w:color w:val="000000"/>
          <w:sz w:val="32"/>
          <w:szCs w:val="32"/>
        </w:rPr>
        <w:t>十四</w:t>
      </w:r>
      <w:r>
        <w:rPr>
          <w:rFonts w:ascii="仿宋_GB2312" w:hAnsi="Times New Roman" w:eastAsia="仿宋_GB2312"/>
          <w:b/>
          <w:bCs/>
          <w:color w:val="000000"/>
          <w:sz w:val="32"/>
          <w:szCs w:val="32"/>
        </w:rPr>
        <w:t>条</w:t>
      </w:r>
      <w:r>
        <w:rPr>
          <w:rFonts w:hint="eastAsia" w:ascii="仿宋_GB2312" w:hAnsi="Times New Roman" w:eastAsia="仿宋_GB2312"/>
          <w:b/>
          <w:bCs/>
          <w:color w:val="000000"/>
          <w:sz w:val="32"/>
          <w:szCs w:val="32"/>
        </w:rPr>
        <w:t xml:space="preserve"> </w:t>
      </w:r>
      <w:r>
        <w:rPr>
          <w:rFonts w:ascii="仿宋_GB2312" w:hAnsi="Times New Roman" w:eastAsia="仿宋_GB2312"/>
          <w:color w:val="000000"/>
          <w:sz w:val="32"/>
          <w:szCs w:val="32"/>
        </w:rPr>
        <w:t>项目验收</w:t>
      </w:r>
      <w:r>
        <w:rPr>
          <w:rFonts w:hint="eastAsia" w:ascii="仿宋_GB2312" w:hAnsi="Times New Roman" w:eastAsia="仿宋_GB2312"/>
          <w:color w:val="000000"/>
          <w:sz w:val="32"/>
          <w:szCs w:val="32"/>
        </w:rPr>
        <w:t>服务机构受市发展改革委委托，</w:t>
      </w:r>
      <w:r>
        <w:rPr>
          <w:rFonts w:ascii="仿宋_GB2312" w:hAnsi="Times New Roman" w:eastAsia="仿宋_GB2312"/>
          <w:color w:val="000000"/>
          <w:sz w:val="32"/>
          <w:szCs w:val="32"/>
        </w:rPr>
        <w:t>依据以下文件开展</w:t>
      </w:r>
      <w:r>
        <w:rPr>
          <w:rFonts w:hint="eastAsia" w:ascii="仿宋_GB2312" w:hAnsi="Times New Roman" w:eastAsia="仿宋_GB2312"/>
          <w:color w:val="000000"/>
          <w:sz w:val="32"/>
          <w:szCs w:val="32"/>
        </w:rPr>
        <w:t>项目验收</w:t>
      </w:r>
      <w:r>
        <w:rPr>
          <w:rFonts w:ascii="仿宋_GB2312" w:hAnsi="Times New Roman" w:eastAsia="仿宋_GB2312"/>
          <w:color w:val="000000"/>
          <w:sz w:val="32"/>
          <w:szCs w:val="32"/>
        </w:rPr>
        <w:t>：</w:t>
      </w:r>
      <w:r>
        <w:rPr>
          <w:rFonts w:ascii="仿宋_GB2312" w:hAnsi="Times New Roman" w:eastAsia="仿宋_GB2312"/>
          <w:b/>
          <w:bCs/>
          <w:color w:val="000000"/>
          <w:sz w:val="32"/>
          <w:szCs w:val="32"/>
        </w:rPr>
        <w:t xml:space="preserve"> </w:t>
      </w:r>
    </w:p>
    <w:p>
      <w:pPr>
        <w:overflowPunct w:val="0"/>
        <w:spacing w:line="600" w:lineRule="exact"/>
        <w:ind w:firstLine="640" w:firstLineChars="200"/>
        <w:rPr>
          <w:rFonts w:ascii="仿宋_GB2312" w:hAnsi="Times New Roman" w:eastAsia="仿宋_GB2312"/>
          <w:color w:val="000000"/>
          <w:sz w:val="32"/>
          <w:szCs w:val="32"/>
        </w:rPr>
      </w:pPr>
      <w:r>
        <w:rPr>
          <w:rFonts w:ascii="仿宋_GB2312" w:hAnsi="Times New Roman" w:eastAsia="仿宋_GB2312"/>
          <w:color w:val="000000"/>
          <w:sz w:val="32"/>
          <w:szCs w:val="32"/>
        </w:rPr>
        <w:t>（一）市发展改革委关于下达战略性新兴产业扶持计划的文件</w:t>
      </w:r>
      <w:r>
        <w:rPr>
          <w:rFonts w:hint="eastAsia" w:ascii="仿宋_GB2312" w:hAnsi="Times New Roman" w:eastAsia="仿宋_GB2312"/>
          <w:color w:val="000000"/>
          <w:sz w:val="32"/>
          <w:szCs w:val="32"/>
        </w:rPr>
        <w:t>；</w:t>
      </w:r>
      <w:r>
        <w:rPr>
          <w:rFonts w:ascii="仿宋_GB2312" w:hAnsi="Times New Roman" w:eastAsia="仿宋_GB2312"/>
          <w:color w:val="000000"/>
          <w:sz w:val="32"/>
          <w:szCs w:val="32"/>
        </w:rPr>
        <w:t xml:space="preserve"> </w:t>
      </w:r>
    </w:p>
    <w:p>
      <w:pPr>
        <w:overflowPunct w:val="0"/>
        <w:spacing w:line="600" w:lineRule="exact"/>
        <w:ind w:firstLine="640" w:firstLineChars="200"/>
        <w:rPr>
          <w:rFonts w:ascii="仿宋_GB2312" w:hAnsi="Times New Roman" w:eastAsia="仿宋_GB2312"/>
          <w:color w:val="000000"/>
          <w:sz w:val="32"/>
          <w:szCs w:val="32"/>
        </w:rPr>
      </w:pPr>
      <w:r>
        <w:rPr>
          <w:rFonts w:ascii="仿宋_GB2312" w:hAnsi="Times New Roman" w:eastAsia="仿宋_GB2312"/>
          <w:color w:val="000000"/>
          <w:sz w:val="32"/>
          <w:szCs w:val="32"/>
        </w:rPr>
        <w:t>（二）市发展改革委关于项目资金申请报告的批复文件或市发展改革委与项目单位签署的项目</w:t>
      </w:r>
      <w:r>
        <w:rPr>
          <w:rFonts w:hint="eastAsia" w:ascii="仿宋_GB2312" w:hAnsi="Times New Roman" w:eastAsia="仿宋_GB2312"/>
          <w:color w:val="000000"/>
          <w:sz w:val="32"/>
          <w:szCs w:val="32"/>
        </w:rPr>
        <w:t>合同书；</w:t>
      </w:r>
      <w:r>
        <w:rPr>
          <w:rFonts w:ascii="仿宋_GB2312" w:hAnsi="Times New Roman" w:eastAsia="仿宋_GB2312"/>
          <w:color w:val="000000"/>
          <w:sz w:val="32"/>
          <w:szCs w:val="32"/>
        </w:rPr>
        <w:t xml:space="preserve"> </w:t>
      </w:r>
    </w:p>
    <w:p>
      <w:pPr>
        <w:overflowPunct w:val="0"/>
        <w:spacing w:line="600" w:lineRule="exact"/>
        <w:ind w:firstLine="640" w:firstLineChars="200"/>
        <w:rPr>
          <w:rFonts w:ascii="仿宋_GB2312" w:hAnsi="Times New Roman" w:eastAsia="仿宋_GB2312"/>
          <w:color w:val="000000"/>
          <w:sz w:val="32"/>
          <w:szCs w:val="32"/>
        </w:rPr>
      </w:pPr>
      <w:r>
        <w:rPr>
          <w:rFonts w:ascii="仿宋_GB2312" w:hAnsi="Times New Roman" w:eastAsia="仿宋_GB2312"/>
          <w:color w:val="000000"/>
          <w:sz w:val="32"/>
          <w:szCs w:val="32"/>
        </w:rPr>
        <w:t>（三）经市发展改革委批准的项目资金申请报告</w:t>
      </w:r>
      <w:r>
        <w:rPr>
          <w:rFonts w:hint="eastAsia" w:ascii="仿宋_GB2312" w:hAnsi="Times New Roman" w:eastAsia="仿宋_GB2312"/>
          <w:color w:val="000000"/>
          <w:sz w:val="32"/>
          <w:szCs w:val="32"/>
        </w:rPr>
        <w:t>；</w:t>
      </w:r>
      <w:r>
        <w:rPr>
          <w:rFonts w:ascii="仿宋_GB2312" w:hAnsi="Times New Roman" w:eastAsia="仿宋_GB2312"/>
          <w:color w:val="000000"/>
          <w:sz w:val="32"/>
          <w:szCs w:val="32"/>
        </w:rPr>
        <w:t xml:space="preserve"> </w:t>
      </w:r>
    </w:p>
    <w:p>
      <w:pPr>
        <w:overflowPunct w:val="0"/>
        <w:spacing w:line="600" w:lineRule="exact"/>
        <w:ind w:firstLine="640" w:firstLineChars="200"/>
        <w:rPr>
          <w:rFonts w:ascii="仿宋_GB2312" w:hAnsi="Times New Roman" w:eastAsia="仿宋_GB2312"/>
          <w:color w:val="000000"/>
          <w:sz w:val="32"/>
          <w:szCs w:val="32"/>
        </w:rPr>
      </w:pPr>
      <w:r>
        <w:rPr>
          <w:rFonts w:ascii="仿宋_GB2312" w:hAnsi="Times New Roman" w:eastAsia="仿宋_GB2312"/>
          <w:color w:val="000000"/>
          <w:sz w:val="32"/>
          <w:szCs w:val="32"/>
        </w:rPr>
        <w:t>（四）市发展改革委关于项目建设内容、建设期等调整的批复文件（如项目未作调整无需此项）</w:t>
      </w:r>
      <w:r>
        <w:rPr>
          <w:rFonts w:hint="eastAsia" w:ascii="仿宋_GB2312" w:hAnsi="Times New Roman" w:eastAsia="仿宋_GB2312"/>
          <w:color w:val="000000"/>
          <w:sz w:val="32"/>
          <w:szCs w:val="32"/>
        </w:rPr>
        <w:t>；</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（五）项目专项审计报告；</w:t>
      </w:r>
    </w:p>
    <w:p>
      <w:pPr>
        <w:overflowPunct w:val="0"/>
        <w:spacing w:line="600" w:lineRule="exact"/>
        <w:ind w:firstLine="640" w:firstLineChars="200"/>
        <w:rPr>
          <w:rFonts w:ascii="仿宋_GB2312" w:hAnsi="Times New Roman" w:eastAsia="仿宋_GB2312"/>
          <w:color w:val="000000"/>
          <w:sz w:val="32"/>
          <w:szCs w:val="32"/>
        </w:rPr>
      </w:pPr>
      <w:r>
        <w:rPr>
          <w:rFonts w:ascii="仿宋_GB2312" w:hAnsi="Times New Roman" w:eastAsia="仿宋_GB2312"/>
          <w:color w:val="000000"/>
          <w:sz w:val="32"/>
          <w:szCs w:val="32"/>
        </w:rPr>
        <w:t>（</w:t>
      </w:r>
      <w:r>
        <w:rPr>
          <w:rFonts w:hint="eastAsia" w:ascii="仿宋_GB2312" w:hAnsi="Times New Roman" w:eastAsia="仿宋_GB2312"/>
          <w:color w:val="000000"/>
          <w:sz w:val="32"/>
          <w:szCs w:val="32"/>
        </w:rPr>
        <w:t>六</w:t>
      </w:r>
      <w:r>
        <w:rPr>
          <w:rFonts w:ascii="仿宋_GB2312" w:hAnsi="Times New Roman" w:eastAsia="仿宋_GB2312"/>
          <w:color w:val="000000"/>
          <w:sz w:val="32"/>
          <w:szCs w:val="32"/>
        </w:rPr>
        <w:t xml:space="preserve">）其他相关文件。 </w:t>
      </w:r>
    </w:p>
    <w:p>
      <w:pPr>
        <w:overflowPunct w:val="0"/>
        <w:spacing w:line="600" w:lineRule="exact"/>
        <w:ind w:firstLine="643" w:firstLineChars="200"/>
        <w:rPr>
          <w:rFonts w:ascii="仿宋_GB2312" w:hAnsi="Times New Roman" w:eastAsia="仿宋_GB2312"/>
          <w:color w:val="000000"/>
          <w:sz w:val="32"/>
          <w:szCs w:val="32"/>
        </w:rPr>
      </w:pPr>
      <w:r>
        <w:rPr>
          <w:rFonts w:hint="eastAsia" w:ascii="仿宋_GB2312" w:hAnsi="Times New Roman" w:eastAsia="仿宋_GB2312"/>
          <w:b/>
          <w:bCs/>
          <w:color w:val="000000"/>
          <w:sz w:val="32"/>
          <w:szCs w:val="32"/>
        </w:rPr>
        <w:t>第十五条</w:t>
      </w:r>
      <w:r>
        <w:rPr>
          <w:rFonts w:hint="eastAsia" w:ascii="仿宋_GB2312" w:hAnsi="Times New Roman" w:eastAsia="仿宋_GB2312"/>
          <w:color w:val="000000"/>
          <w:sz w:val="32"/>
          <w:szCs w:val="32"/>
        </w:rPr>
        <w:t xml:space="preserve"> 项目验收服务机构通过市发展改革委战略性新兴产业项目验收管理系统（以下简称项目验收管理系统）接收项目验收材料，逐一核查项目验收申请表、项目验收自评价报告、项目经费决算报告、项目验收专项审计报告以及与项目建设情况有关的佐证材料等，确保项目验收材料完备、规范，其中与项目建设情况有关的佐证材料主要包括：</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（一）支出凭证（主要设备购置发票、转账凭证、采购合同、利息支出凭证）等项目投入的佐证材料，采用公开招标方式购置设备的还需补充提供相关招投标文件；</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（二）第三方检测（测试）报告、用户使用报告、技术成果转移转化合同等技术指标佐证材料； </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（三）企业年度审计报告或财务报表、销售发票、销售合同等经济指标佐证材料； </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（四）发表论文、专利证书、软件著作权证书、人才培养等成果指标佐证材料。</w:t>
      </w:r>
    </w:p>
    <w:p>
      <w:pPr>
        <w:overflowPunct w:val="0"/>
        <w:spacing w:line="600" w:lineRule="exact"/>
        <w:ind w:firstLine="643" w:firstLineChars="200"/>
        <w:rPr>
          <w:rFonts w:ascii="仿宋_GB2312" w:hAnsi="Times New Roman" w:eastAsia="仿宋_GB2312"/>
          <w:color w:val="000000"/>
          <w:sz w:val="32"/>
          <w:szCs w:val="32"/>
        </w:rPr>
      </w:pPr>
      <w:r>
        <w:rPr>
          <w:rFonts w:hint="eastAsia" w:ascii="仿宋_GB2312" w:hAnsi="Times New Roman" w:eastAsia="仿宋_GB2312"/>
          <w:b/>
          <w:bCs/>
          <w:color w:val="000000"/>
          <w:sz w:val="32"/>
          <w:szCs w:val="32"/>
        </w:rPr>
        <w:t>第十六条</w:t>
      </w:r>
      <w:r>
        <w:rPr>
          <w:rFonts w:hint="eastAsia" w:ascii="仿宋_GB2312" w:hAnsi="Times New Roman" w:eastAsia="仿宋_GB2312"/>
          <w:color w:val="000000"/>
          <w:sz w:val="32"/>
          <w:szCs w:val="32"/>
        </w:rPr>
        <w:t xml:space="preserve"> 项目验收服务机构需与项目单位就项目验收事宜保持沟通协调，提前了解项目现场情况，并协调确定项目现场验收会议的时间、地点和会议相关设施配置等。</w:t>
      </w:r>
    </w:p>
    <w:p>
      <w:pPr>
        <w:overflowPunct w:val="0"/>
        <w:spacing w:line="600" w:lineRule="exact"/>
        <w:ind w:firstLine="643" w:firstLineChars="200"/>
        <w:rPr>
          <w:rFonts w:ascii="仿宋_GB2312" w:hAnsi="Times New Roman" w:eastAsia="仿宋_GB2312"/>
          <w:color w:val="000000"/>
          <w:sz w:val="32"/>
          <w:szCs w:val="32"/>
        </w:rPr>
      </w:pPr>
      <w:r>
        <w:rPr>
          <w:rFonts w:hint="eastAsia" w:ascii="仿宋_GB2312" w:hAnsi="Times New Roman" w:eastAsia="仿宋_GB2312"/>
          <w:b/>
          <w:bCs/>
          <w:color w:val="000000"/>
          <w:sz w:val="32"/>
          <w:szCs w:val="32"/>
        </w:rPr>
        <w:t>第十七条</w:t>
      </w:r>
      <w:r>
        <w:rPr>
          <w:rFonts w:hint="eastAsia" w:ascii="仿宋_GB2312" w:hAnsi="Times New Roman" w:eastAsia="仿宋_GB2312"/>
          <w:color w:val="000000"/>
          <w:sz w:val="32"/>
          <w:szCs w:val="32"/>
        </w:rPr>
        <w:t xml:space="preserve"> 项目验收服务机构应根据市发展改革委的初审意见、专项审计报告披露情况和前期沟通情况等提前拟定验收评价重点问题，并制定项目具体验收工作方案。</w:t>
      </w:r>
    </w:p>
    <w:p>
      <w:pPr>
        <w:overflowPunct w:val="0"/>
        <w:spacing w:line="600" w:lineRule="exact"/>
        <w:ind w:firstLine="643" w:firstLineChars="200"/>
        <w:rPr>
          <w:rFonts w:ascii="仿宋_GB2312" w:hAnsi="Times New Roman" w:eastAsia="仿宋_GB2312"/>
          <w:color w:val="000000"/>
          <w:sz w:val="32"/>
          <w:szCs w:val="32"/>
        </w:rPr>
      </w:pPr>
      <w:r>
        <w:rPr>
          <w:rFonts w:hint="eastAsia" w:ascii="仿宋_GB2312" w:hAnsi="Times New Roman" w:eastAsia="仿宋_GB2312"/>
          <w:b/>
          <w:bCs/>
          <w:color w:val="000000"/>
          <w:sz w:val="32"/>
          <w:szCs w:val="32"/>
        </w:rPr>
        <w:t>第十八条</w:t>
      </w:r>
      <w:r>
        <w:rPr>
          <w:rFonts w:hint="eastAsia" w:ascii="仿宋_GB2312" w:hAnsi="Times New Roman" w:eastAsia="仿宋_GB2312"/>
          <w:color w:val="000000"/>
          <w:sz w:val="32"/>
          <w:szCs w:val="32"/>
        </w:rPr>
        <w:t xml:space="preserve"> 现场验收前，项目验收服务机构不得向项目单位泄露验收专家信息，不得向验收专家泄露项目单位有关信息。</w:t>
      </w:r>
    </w:p>
    <w:p>
      <w:pPr>
        <w:overflowPunct w:val="0"/>
        <w:spacing w:line="600" w:lineRule="exact"/>
        <w:ind w:firstLine="640" w:firstLineChars="200"/>
        <w:rPr>
          <w:rFonts w:ascii="仿宋_GB2312" w:hAnsi="Times New Roman" w:eastAsia="仿宋_GB2312"/>
          <w:color w:val="000000"/>
          <w:sz w:val="32"/>
          <w:szCs w:val="32"/>
        </w:rPr>
      </w:pPr>
    </w:p>
    <w:p>
      <w:pPr>
        <w:overflowPunct w:val="0"/>
        <w:adjustRightInd w:val="0"/>
        <w:snapToGrid w:val="0"/>
        <w:spacing w:after="109" w:afterLines="35" w:line="600" w:lineRule="exact"/>
        <w:jc w:val="center"/>
        <w:rPr>
          <w:rFonts w:ascii="黑体" w:hAnsi="宋体" w:eastAsia="黑体"/>
          <w:color w:val="000000"/>
          <w:sz w:val="32"/>
          <w:szCs w:val="32"/>
        </w:rPr>
      </w:pPr>
      <w:r>
        <w:rPr>
          <w:rFonts w:hint="eastAsia" w:ascii="黑体" w:hAnsi="宋体" w:eastAsia="黑体"/>
          <w:color w:val="000000"/>
          <w:sz w:val="32"/>
          <w:szCs w:val="32"/>
        </w:rPr>
        <w:t>第六章  现场验收</w:t>
      </w:r>
    </w:p>
    <w:p>
      <w:pPr>
        <w:overflowPunct w:val="0"/>
        <w:spacing w:line="600" w:lineRule="exact"/>
        <w:ind w:firstLine="643" w:firstLineChars="200"/>
        <w:rPr>
          <w:rFonts w:ascii="仿宋_GB2312" w:hAnsi="Times New Roman" w:eastAsia="仿宋_GB2312"/>
          <w:color w:val="000000"/>
          <w:sz w:val="32"/>
          <w:szCs w:val="32"/>
        </w:rPr>
      </w:pPr>
      <w:r>
        <w:rPr>
          <w:rFonts w:hint="eastAsia" w:ascii="仿宋_GB2312" w:hAnsi="Times New Roman" w:eastAsia="仿宋_GB2312"/>
          <w:b/>
          <w:bCs/>
          <w:color w:val="000000"/>
          <w:sz w:val="32"/>
          <w:szCs w:val="32"/>
        </w:rPr>
        <w:t>第十九条</w:t>
      </w:r>
      <w:r>
        <w:rPr>
          <w:rFonts w:hint="eastAsia" w:ascii="仿宋_GB2312" w:hAnsi="Times New Roman" w:eastAsia="仿宋_GB2312"/>
          <w:color w:val="000000"/>
          <w:sz w:val="32"/>
          <w:szCs w:val="32"/>
        </w:rPr>
        <w:t xml:space="preserve"> 项目验收服务机构工作人员须拍摄现场验收照片和录制全过程音视频材料，做好会议组织保障及有关资料保存工作。</w:t>
      </w:r>
    </w:p>
    <w:p>
      <w:pPr>
        <w:overflowPunct w:val="0"/>
        <w:spacing w:line="600" w:lineRule="exact"/>
        <w:ind w:firstLine="643" w:firstLineChars="200"/>
        <w:rPr>
          <w:rFonts w:ascii="仿宋_GB2312" w:hAnsi="Times New Roman" w:eastAsia="仿宋_GB2312"/>
          <w:color w:val="000000"/>
          <w:sz w:val="32"/>
          <w:szCs w:val="32"/>
        </w:rPr>
      </w:pPr>
      <w:r>
        <w:rPr>
          <w:rFonts w:hint="eastAsia" w:ascii="仿宋_GB2312" w:hAnsi="Times New Roman" w:eastAsia="仿宋_GB2312"/>
          <w:b/>
          <w:bCs/>
          <w:color w:val="000000"/>
          <w:sz w:val="32"/>
          <w:szCs w:val="32"/>
        </w:rPr>
        <w:t>第二十条</w:t>
      </w:r>
      <w:r>
        <w:rPr>
          <w:rFonts w:hint="eastAsia" w:ascii="仿宋_GB2312" w:hAnsi="Times New Roman" w:eastAsia="仿宋_GB2312"/>
          <w:color w:val="000000"/>
          <w:sz w:val="32"/>
          <w:szCs w:val="32"/>
        </w:rPr>
        <w:t xml:space="preserve"> 验收专家组须推选一名技术专家担任验收专家组组长，由验收专家组组长主持现场验收会议。</w:t>
      </w:r>
    </w:p>
    <w:p>
      <w:pPr>
        <w:overflowPunct w:val="0"/>
        <w:spacing w:line="600" w:lineRule="exact"/>
        <w:ind w:firstLine="643" w:firstLineChars="200"/>
        <w:rPr>
          <w:rFonts w:ascii="仿宋_GB2312" w:hAnsi="Times New Roman" w:eastAsia="仿宋_GB2312"/>
          <w:color w:val="000000"/>
          <w:sz w:val="32"/>
          <w:szCs w:val="32"/>
        </w:rPr>
      </w:pPr>
      <w:r>
        <w:rPr>
          <w:rFonts w:hint="eastAsia" w:ascii="仿宋_GB2312" w:hAnsi="Times New Roman" w:eastAsia="仿宋_GB2312"/>
          <w:b/>
          <w:bCs/>
          <w:color w:val="000000"/>
          <w:sz w:val="32"/>
          <w:szCs w:val="32"/>
        </w:rPr>
        <w:t>第二十一条</w:t>
      </w:r>
      <w:r>
        <w:rPr>
          <w:rFonts w:hint="eastAsia" w:ascii="仿宋_GB2312" w:hAnsi="Times New Roman" w:eastAsia="仿宋_GB2312"/>
          <w:color w:val="000000"/>
          <w:sz w:val="32"/>
          <w:szCs w:val="32"/>
        </w:rPr>
        <w:t xml:space="preserve"> 验收专家组各成员在听取项目建设情况汇报和查阅验收资料后，就项目各项建设内容完成情况，项目技术、经济指标完成情况，项目建设管理、财务管理和财政资助资金使用情况等逐一进行质询，不应缺漏重要技术性、工程性内容。</w:t>
      </w:r>
    </w:p>
    <w:p>
      <w:pPr>
        <w:overflowPunct w:val="0"/>
        <w:spacing w:line="600" w:lineRule="exact"/>
        <w:ind w:firstLine="643" w:firstLineChars="200"/>
        <w:rPr>
          <w:rFonts w:ascii="仿宋_GB2312" w:hAnsi="Times New Roman" w:eastAsia="仿宋_GB2312"/>
          <w:color w:val="000000"/>
          <w:sz w:val="32"/>
          <w:szCs w:val="32"/>
        </w:rPr>
      </w:pPr>
      <w:r>
        <w:rPr>
          <w:rFonts w:hint="eastAsia" w:ascii="仿宋_GB2312" w:hAnsi="Times New Roman" w:eastAsia="仿宋_GB2312"/>
          <w:b/>
          <w:bCs/>
          <w:color w:val="000000"/>
          <w:sz w:val="32"/>
          <w:szCs w:val="32"/>
        </w:rPr>
        <w:t>第二十二条</w:t>
      </w:r>
      <w:r>
        <w:rPr>
          <w:rFonts w:hint="eastAsia" w:ascii="仿宋_GB2312" w:hAnsi="Times New Roman" w:eastAsia="仿宋_GB2312"/>
          <w:color w:val="000000"/>
          <w:sz w:val="32"/>
          <w:szCs w:val="32"/>
        </w:rPr>
        <w:t xml:space="preserve"> 在现场核查项目设备仪器和生产（研发）流程时，验收专家组技术专家应核查项目单位所购设备仪器与获批建设内容和目标的相关性，并检查设备仪器现场配置、使用记录、运行状况等。</w:t>
      </w:r>
    </w:p>
    <w:p>
      <w:pPr>
        <w:overflowPunct w:val="0"/>
        <w:spacing w:line="600" w:lineRule="exact"/>
        <w:ind w:firstLine="643" w:firstLineChars="200"/>
        <w:rPr>
          <w:rFonts w:ascii="仿宋_GB2312" w:hAnsi="Times New Roman" w:eastAsia="仿宋_GB2312"/>
          <w:color w:val="000000"/>
          <w:sz w:val="32"/>
          <w:szCs w:val="32"/>
        </w:rPr>
      </w:pPr>
      <w:r>
        <w:rPr>
          <w:rFonts w:hint="eastAsia" w:ascii="仿宋_GB2312" w:hAnsi="Times New Roman" w:eastAsia="仿宋_GB2312"/>
          <w:b/>
          <w:bCs/>
          <w:color w:val="000000"/>
          <w:sz w:val="32"/>
          <w:szCs w:val="32"/>
        </w:rPr>
        <w:t>第二十三条</w:t>
      </w:r>
      <w:r>
        <w:rPr>
          <w:rFonts w:hint="eastAsia" w:ascii="仿宋_GB2312" w:hAnsi="Times New Roman" w:eastAsia="仿宋_GB2312"/>
          <w:color w:val="000000"/>
          <w:sz w:val="32"/>
          <w:szCs w:val="32"/>
        </w:rPr>
        <w:t xml:space="preserve"> 在现场核查项目支出凭证时，验收专家组财务专家应抽查凭证编号、发票号码等，如发现项目财务票据等存在问题，须及时将情况告知验收专家组其他成员和项目验收服务机构工作人员。</w:t>
      </w:r>
    </w:p>
    <w:p>
      <w:pPr>
        <w:overflowPunct w:val="0"/>
        <w:spacing w:line="600" w:lineRule="exact"/>
        <w:ind w:firstLine="643" w:firstLineChars="200"/>
        <w:rPr>
          <w:rFonts w:ascii="仿宋_GB2312" w:hAnsi="Times New Roman" w:eastAsia="仿宋_GB2312"/>
          <w:color w:val="000000"/>
          <w:sz w:val="32"/>
          <w:szCs w:val="32"/>
        </w:rPr>
      </w:pPr>
      <w:r>
        <w:rPr>
          <w:rFonts w:hint="eastAsia" w:ascii="仿宋_GB2312" w:hAnsi="Times New Roman" w:eastAsia="仿宋_GB2312"/>
          <w:b/>
          <w:bCs/>
          <w:color w:val="000000"/>
          <w:sz w:val="32"/>
          <w:szCs w:val="32"/>
        </w:rPr>
        <w:t>第二十四条</w:t>
      </w:r>
      <w:r>
        <w:rPr>
          <w:rFonts w:hint="eastAsia" w:ascii="仿宋_GB2312" w:hAnsi="Times New Roman" w:eastAsia="仿宋_GB2312"/>
          <w:color w:val="000000"/>
          <w:sz w:val="32"/>
          <w:szCs w:val="32"/>
        </w:rPr>
        <w:t xml:space="preserve"> 验收专家组应根据项目扶持类别、获批建设内容和目标，选择采取下列方法对项目实施情况进行评价：</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（一）根据项目单位所提供产能佐证材料的不同，采用对应的不同方法评价项目产品年产能：</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1.如项目单位提供项目产品整年出入库单据，则通过查验该单据和相应的销售合同、销售发票，核实项目年产能；</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如项目单位提供项目生产高峰期连续30天的项目产品出入库单据，则通过查验该单据和相应的销售合同、销售发票，核实项目生产高峰期连续30天的项目产品实际产量，并以此30天实际产量的12倍测算项目年产能；</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如项目单位提供由国家级行业协会或国家认证认可监督管理委员会批准并经中国合格评定国家认可委员会认可的认证机构出具的项目产品产能评估报告，则以评估报告认可的项目产品年产能确定项目产品年产能。</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（二）通过核查项目输出产品、技术、服务的销售发票、销售合同、完税证明等，评估项目实际经济效益。</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（三）通过查看设备仪器的现场配置、使用时长、耗材耗用、运行状况等，评价生产（研发）线实际运转情况。</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（四）通过核查项目房屋租赁合同、房屋所有权证、土地使用证等，评价项目实际新建（改扩建）场地规模是否满足批复文件或项目合同书的有关要求。</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（五）通过查验购置发票、银行流水、费用单据等支出凭证，复核项目实际总投资中建设投资、研发费用、铺底流动资金的占比情况。</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（六）通过核查项目招投标文件、购置合同、购置发票、银行流水等有关材料，评价项目实际购置设备等财政资助资金使用合规情况。</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（七）通过查阅项目验收材料中所列论文的摘要、关键字、作者排序及所属工作单位等，评价其是否达到批复文件或项目合同书的有关要求。</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（八）通过查看第三方检测（测试）报告或使用（试用）报告，评价项目产品（技术）参数或指标是否达到批复文件或项目合同书的有关要求。</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（九）通过查阅项目验收材料所列知识产权证明文件、标准出版物等，评价项目知识产权取得、标准制定情况是否达到批复文件或项目合同书的有关要求。</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（十）通过核查项目成果转化或技术转移的有偿转让收益、委托方验收评价等，评估项目成果转化与技术转移的效益。</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（十一）通过查验培养对象毕业证书、劳动合同、社保缴费明细等，评价项目人才培养情况。</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（十二）通过查验对外培训证明、咨询协议等，评估项目对外提供科技服务情况。</w:t>
      </w:r>
    </w:p>
    <w:p>
      <w:pPr>
        <w:overflowPunct w:val="0"/>
        <w:spacing w:line="600" w:lineRule="exact"/>
        <w:ind w:firstLine="643" w:firstLineChars="200"/>
        <w:rPr>
          <w:rFonts w:ascii="仿宋_GB2312" w:hAnsi="Times New Roman" w:eastAsia="仿宋_GB2312"/>
          <w:color w:val="000000"/>
          <w:sz w:val="32"/>
          <w:szCs w:val="32"/>
        </w:rPr>
      </w:pPr>
      <w:r>
        <w:rPr>
          <w:rFonts w:hint="eastAsia" w:ascii="仿宋_GB2312" w:hAnsi="Times New Roman" w:eastAsia="仿宋_GB2312"/>
          <w:b/>
          <w:bCs/>
          <w:color w:val="000000"/>
          <w:sz w:val="32"/>
          <w:szCs w:val="32"/>
        </w:rPr>
        <w:t>第二十五条</w:t>
      </w:r>
      <w:r>
        <w:rPr>
          <w:rFonts w:hint="eastAsia" w:ascii="仿宋_GB2312" w:hAnsi="Times New Roman" w:eastAsia="仿宋_GB2312"/>
          <w:color w:val="000000"/>
          <w:sz w:val="32"/>
          <w:szCs w:val="32"/>
        </w:rPr>
        <w:t xml:space="preserve"> 验收专家组就形成项目验收意见进行闭门讨论时，验收专家组各成员独立发表个人意见，不受任何组织或个人干预，验收专家组各成员对其所发表意见的专业性、公正性、客观性负责。鼓励持质疑立场的专家先行发表个人意见，验收专家组组长应最后发表个人意见并就项目实施情况提议验收专家组全体表决是否进行综合评议打分。</w:t>
      </w:r>
    </w:p>
    <w:p>
      <w:pPr>
        <w:overflowPunct w:val="0"/>
        <w:spacing w:line="600" w:lineRule="exact"/>
        <w:ind w:firstLine="643" w:firstLineChars="200"/>
        <w:rPr>
          <w:rFonts w:ascii="仿宋_GB2312" w:hAnsi="Times New Roman" w:eastAsia="仿宋_GB2312"/>
          <w:color w:val="000000"/>
          <w:sz w:val="32"/>
          <w:szCs w:val="32"/>
        </w:rPr>
      </w:pPr>
      <w:r>
        <w:rPr>
          <w:rFonts w:hint="eastAsia" w:ascii="仿宋_GB2312" w:hAnsi="Times New Roman" w:eastAsia="仿宋_GB2312"/>
          <w:b/>
          <w:bCs/>
          <w:color w:val="000000"/>
          <w:sz w:val="32"/>
          <w:szCs w:val="32"/>
        </w:rPr>
        <w:t>第二十六条</w:t>
      </w:r>
      <w:r>
        <w:rPr>
          <w:rFonts w:hint="eastAsia" w:ascii="仿宋_GB2312" w:hAnsi="Times New Roman" w:eastAsia="仿宋_GB2312"/>
          <w:color w:val="000000"/>
          <w:sz w:val="32"/>
          <w:szCs w:val="32"/>
        </w:rPr>
        <w:t xml:space="preserve"> 验收专家组发现项目单位存在下列情况之一的，可不予综合评议打分，直接出具项目验收不合格意见：</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（一）提供虚假验收材料；</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（二）存在截留、挤占、挪用财政资助资金等任何一种严重违规行为；</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（三）项目实际生产或研发的产品、技术与批复文件或项目合同书的相应规定严重不符；</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（四）财政资助资金用于研发费用支出金额相较批复文件或项目合同书有所增加，且增加金额超过资助总金额的20%，又未按规定程序向市发展改革委申请调整或申请未获批复；</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（五）超过批复资助资金设备购置总金额的40%的资助资金被用于购置批复文件或项目合同书规定的设备购置清单范围以外的设备，且未按规定程序向市发展改革委申请调整或申请未获批复；</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（六）项目实际总投资额未达到批复文件或项目合同书规定的计划总投资额的80%；</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（七）项目实际建设投资额占实际总投资额比例未达到申报指南规定的最低比例要求；</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（八）项目单位未获市发展改革委批准将项目实际建设地址搬迁到深圳市（含深汕特别合作区）以外；</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（九）项目资助资金使用未单独核算；</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（十）项目单位存在与本项目申报、建设实施、验收直接相关的其他严重违法、违规行为。</w:t>
      </w:r>
    </w:p>
    <w:p>
      <w:pPr>
        <w:overflowPunct w:val="0"/>
        <w:spacing w:line="600" w:lineRule="exact"/>
        <w:ind w:firstLine="643" w:firstLineChars="200"/>
        <w:rPr>
          <w:rFonts w:ascii="仿宋_GB2312" w:hAnsi="Times New Roman" w:eastAsia="仿宋_GB2312"/>
          <w:color w:val="000000"/>
          <w:sz w:val="32"/>
          <w:szCs w:val="32"/>
        </w:rPr>
      </w:pPr>
      <w:r>
        <w:rPr>
          <w:rFonts w:hint="eastAsia" w:ascii="仿宋_GB2312" w:hAnsi="Times New Roman" w:eastAsia="仿宋_GB2312"/>
          <w:b/>
          <w:bCs/>
          <w:color w:val="000000"/>
          <w:sz w:val="32"/>
          <w:szCs w:val="32"/>
        </w:rPr>
        <w:t>第二十七条</w:t>
      </w:r>
      <w:r>
        <w:rPr>
          <w:rFonts w:hint="eastAsia" w:ascii="仿宋_GB2312" w:hAnsi="Times New Roman" w:eastAsia="仿宋_GB2312"/>
          <w:color w:val="000000"/>
          <w:sz w:val="32"/>
          <w:szCs w:val="32"/>
        </w:rPr>
        <w:t xml:space="preserve"> 如验收专家组就是否进行综合评议打分的表决结果为验收专家组全体同意予以打分或只有1名专家认为不应予以打分，则验收专家组全体成员应对项目进行综合评议打分。验收专家组各成员按综合评议打分表（见附件1-7）规定的评分标准各自对项目进行量化打分，以验收专家组各成员打分的算术平均值作为项目综合得分，按综合评价标准（见附件8）确定项目验收综合评价等级。验收专家组撰写专家组验收意见，对综合得分低于60分的不合格项目须说明项目不合格具体原因，专家组验收意见须经验收专家组全体签核确认。</w:t>
      </w:r>
    </w:p>
    <w:p>
      <w:pPr>
        <w:overflowPunct w:val="0"/>
        <w:spacing w:line="600" w:lineRule="exact"/>
        <w:ind w:firstLine="643" w:firstLineChars="200"/>
        <w:rPr>
          <w:rFonts w:ascii="仿宋_GB2312" w:hAnsi="Times New Roman" w:eastAsia="仿宋_GB2312"/>
          <w:color w:val="000000"/>
          <w:sz w:val="32"/>
          <w:szCs w:val="32"/>
        </w:rPr>
      </w:pPr>
      <w:r>
        <w:rPr>
          <w:rFonts w:hint="eastAsia" w:ascii="仿宋_GB2312" w:hAnsi="Times New Roman" w:eastAsia="仿宋_GB2312"/>
          <w:b/>
          <w:bCs/>
          <w:color w:val="000000"/>
          <w:sz w:val="32"/>
          <w:szCs w:val="32"/>
        </w:rPr>
        <w:t>第二十八条</w:t>
      </w:r>
      <w:r>
        <w:rPr>
          <w:rFonts w:hint="eastAsia" w:ascii="仿宋_GB2312" w:hAnsi="Times New Roman" w:eastAsia="仿宋_GB2312"/>
          <w:color w:val="000000"/>
          <w:sz w:val="32"/>
          <w:szCs w:val="32"/>
        </w:rPr>
        <w:t xml:space="preserve"> 如验收专家组就是否进行综合评议打分的表决结果为2名及以上专家认为不应予以打分，则验收专家组全体成员不对项目进行综合评议打分，视项目验收不合格，并撰写专家组验收意见，且须说明项目不合格具体原因。专家组验收意见须经验收专家组全体签名，验收专家组各成员可将其个人意见写入综合评议打分表专家意见栏内。</w:t>
      </w:r>
    </w:p>
    <w:p>
      <w:pPr>
        <w:overflowPunct w:val="0"/>
        <w:spacing w:line="600" w:lineRule="exact"/>
        <w:ind w:firstLine="643" w:firstLineChars="200"/>
        <w:rPr>
          <w:rFonts w:ascii="仿宋_GB2312" w:hAnsi="Times New Roman" w:eastAsia="仿宋_GB2312"/>
          <w:color w:val="000000"/>
          <w:sz w:val="32"/>
          <w:szCs w:val="32"/>
        </w:rPr>
      </w:pPr>
      <w:r>
        <w:rPr>
          <w:rFonts w:hint="eastAsia" w:ascii="仿宋_GB2312" w:hAnsi="Times New Roman" w:eastAsia="仿宋_GB2312"/>
          <w:b/>
          <w:bCs/>
          <w:color w:val="000000"/>
          <w:sz w:val="32"/>
          <w:szCs w:val="32"/>
        </w:rPr>
        <w:t>第二十九条</w:t>
      </w:r>
      <w:r>
        <w:rPr>
          <w:rFonts w:hint="eastAsia" w:ascii="仿宋_GB2312" w:hAnsi="Times New Roman" w:eastAsia="仿宋_GB2312"/>
          <w:color w:val="000000"/>
          <w:sz w:val="32"/>
          <w:szCs w:val="32"/>
        </w:rPr>
        <w:t xml:space="preserve"> 如项目第一次验收不合格，市发展改革委应对项目单位下达项目整改通知，项目单位按通知要求进行整改，整改完成后可申请第二次验收，整改期限不超过三个月。</w:t>
      </w:r>
    </w:p>
    <w:p>
      <w:pPr>
        <w:overflowPunct w:val="0"/>
        <w:spacing w:line="600" w:lineRule="exact"/>
        <w:ind w:firstLine="643" w:firstLineChars="200"/>
        <w:rPr>
          <w:rFonts w:ascii="仿宋_GB2312" w:hAnsi="Times New Roman" w:eastAsia="仿宋_GB2312"/>
          <w:color w:val="000000"/>
          <w:sz w:val="32"/>
          <w:szCs w:val="32"/>
        </w:rPr>
      </w:pPr>
      <w:r>
        <w:rPr>
          <w:rFonts w:hint="eastAsia" w:ascii="仿宋_GB2312" w:hAnsi="Times New Roman" w:eastAsia="仿宋_GB2312"/>
          <w:b/>
          <w:bCs/>
          <w:color w:val="000000"/>
          <w:sz w:val="32"/>
          <w:szCs w:val="32"/>
        </w:rPr>
        <w:t>第三十条</w:t>
      </w:r>
      <w:r>
        <w:rPr>
          <w:rFonts w:hint="eastAsia" w:ascii="仿宋_GB2312" w:hAnsi="Times New Roman" w:eastAsia="仿宋_GB2312"/>
          <w:color w:val="000000"/>
          <w:sz w:val="32"/>
          <w:szCs w:val="32"/>
        </w:rPr>
        <w:t xml:space="preserve"> 对项目开展第二次验收时，项目验收服务机构应向参加第二次验收的验收专家组各成员提供第一次验收的专家组验收意见。</w:t>
      </w:r>
    </w:p>
    <w:p>
      <w:pPr>
        <w:overflowPunct w:val="0"/>
        <w:spacing w:line="600" w:lineRule="exact"/>
        <w:ind w:firstLine="640" w:firstLineChars="200"/>
        <w:rPr>
          <w:rFonts w:ascii="仿宋_GB2312" w:hAnsi="Times New Roman" w:eastAsia="仿宋_GB2312"/>
          <w:color w:val="000000"/>
          <w:sz w:val="32"/>
          <w:szCs w:val="32"/>
        </w:rPr>
      </w:pPr>
    </w:p>
    <w:p>
      <w:pPr>
        <w:overflowPunct w:val="0"/>
        <w:adjustRightInd w:val="0"/>
        <w:snapToGrid w:val="0"/>
        <w:spacing w:after="109" w:afterLines="35" w:line="600" w:lineRule="exact"/>
        <w:jc w:val="center"/>
        <w:rPr>
          <w:rFonts w:ascii="黑体" w:hAnsi="宋体" w:eastAsia="黑体"/>
          <w:color w:val="000000"/>
          <w:sz w:val="32"/>
          <w:szCs w:val="32"/>
        </w:rPr>
      </w:pPr>
      <w:r>
        <w:rPr>
          <w:rFonts w:hint="eastAsia" w:ascii="黑体" w:hAnsi="宋体" w:eastAsia="黑体"/>
          <w:color w:val="000000"/>
          <w:sz w:val="32"/>
          <w:szCs w:val="32"/>
        </w:rPr>
        <w:t>第七章  结果提交</w:t>
      </w:r>
    </w:p>
    <w:p>
      <w:pPr>
        <w:overflowPunct w:val="0"/>
        <w:spacing w:line="600" w:lineRule="exact"/>
        <w:ind w:firstLine="643" w:firstLineChars="200"/>
        <w:rPr>
          <w:rFonts w:ascii="仿宋_GB2312" w:hAnsi="Times New Roman" w:eastAsia="仿宋_GB2312"/>
          <w:color w:val="000000"/>
          <w:sz w:val="32"/>
          <w:szCs w:val="32"/>
        </w:rPr>
      </w:pPr>
      <w:r>
        <w:rPr>
          <w:rFonts w:hint="eastAsia" w:ascii="仿宋_GB2312" w:hAnsi="Times New Roman" w:eastAsia="仿宋_GB2312"/>
          <w:b/>
          <w:bCs/>
          <w:color w:val="000000"/>
          <w:sz w:val="32"/>
          <w:szCs w:val="32"/>
        </w:rPr>
        <w:t>第三十一条</w:t>
      </w:r>
      <w:r>
        <w:rPr>
          <w:rFonts w:hint="eastAsia" w:ascii="仿宋_GB2312" w:hAnsi="Times New Roman" w:eastAsia="仿宋_GB2312"/>
          <w:color w:val="000000"/>
          <w:sz w:val="32"/>
          <w:szCs w:val="32"/>
        </w:rPr>
        <w:t xml:space="preserve"> 项目经验收专家组现场验收后，项目验收服务机构须根据专家组验收意见、项目专项审计报告和其他项目验收资料等编制项目验收意见书，报市发展改革委审核。</w:t>
      </w:r>
    </w:p>
    <w:p>
      <w:pPr>
        <w:overflowPunct w:val="0"/>
        <w:spacing w:line="600" w:lineRule="exact"/>
        <w:ind w:firstLine="643" w:firstLineChars="200"/>
        <w:rPr>
          <w:rFonts w:ascii="仿宋_GB2312" w:hAnsi="Times New Roman" w:eastAsia="仿宋_GB2312"/>
          <w:color w:val="000000"/>
          <w:sz w:val="32"/>
          <w:szCs w:val="32"/>
        </w:rPr>
      </w:pPr>
      <w:r>
        <w:rPr>
          <w:rFonts w:hint="eastAsia" w:ascii="仿宋_GB2312" w:hAnsi="Times New Roman" w:eastAsia="仿宋_GB2312"/>
          <w:b/>
          <w:bCs/>
          <w:color w:val="000000"/>
          <w:sz w:val="32"/>
          <w:szCs w:val="32"/>
        </w:rPr>
        <w:t>第三十二条</w:t>
      </w:r>
      <w:r>
        <w:rPr>
          <w:rFonts w:hint="eastAsia" w:ascii="仿宋_GB2312" w:hAnsi="Times New Roman" w:eastAsia="仿宋_GB2312"/>
          <w:color w:val="000000"/>
          <w:sz w:val="32"/>
          <w:szCs w:val="32"/>
        </w:rPr>
        <w:t xml:space="preserve"> 对项目资助资金存在结余或项目实际总投资额低于批复文件或项目合同书规定的计划总投资额导致已拨付资助金额超过应资助金额的情况，项目验收服务机构须在项目验收意见书中明确项目单位应退回资助资金的具体金额。</w:t>
      </w:r>
    </w:p>
    <w:p>
      <w:pPr>
        <w:overflowPunct w:val="0"/>
        <w:spacing w:line="600" w:lineRule="exact"/>
        <w:ind w:firstLine="643" w:firstLineChars="200"/>
        <w:rPr>
          <w:rFonts w:ascii="仿宋_GB2312" w:hAnsi="Times New Roman" w:eastAsia="仿宋_GB2312"/>
          <w:color w:val="000000"/>
          <w:sz w:val="32"/>
          <w:szCs w:val="32"/>
        </w:rPr>
      </w:pPr>
      <w:r>
        <w:rPr>
          <w:rFonts w:hint="eastAsia" w:ascii="仿宋_GB2312" w:hAnsi="Times New Roman" w:eastAsia="仿宋_GB2312"/>
          <w:b/>
          <w:bCs/>
          <w:color w:val="000000"/>
          <w:sz w:val="32"/>
          <w:szCs w:val="32"/>
        </w:rPr>
        <w:t>第三十三条</w:t>
      </w:r>
      <w:r>
        <w:rPr>
          <w:rFonts w:hint="eastAsia" w:ascii="仿宋_GB2312" w:hAnsi="Times New Roman" w:eastAsia="仿宋_GB2312"/>
          <w:color w:val="000000"/>
          <w:sz w:val="32"/>
          <w:szCs w:val="32"/>
        </w:rPr>
        <w:t xml:space="preserve"> 项目验收服务机构在验收结束后，须将项目验收意见书、专项审计报告、专家组验收意见、专家组各成员综合评议打分表和验收申请材料等整理汇总，形成电子版和纸质版各一份，报送市发展改革委存档。</w:t>
      </w:r>
    </w:p>
    <w:p>
      <w:pPr>
        <w:overflowPunct w:val="0"/>
        <w:spacing w:line="600" w:lineRule="exact"/>
        <w:ind w:firstLine="643" w:firstLineChars="200"/>
        <w:rPr>
          <w:rFonts w:ascii="仿宋_GB2312" w:hAnsi="Times New Roman" w:eastAsia="仿宋_GB2312"/>
          <w:color w:val="000000"/>
          <w:sz w:val="32"/>
          <w:szCs w:val="32"/>
        </w:rPr>
      </w:pPr>
      <w:r>
        <w:rPr>
          <w:rFonts w:hint="eastAsia" w:ascii="仿宋_GB2312" w:hAnsi="Times New Roman" w:eastAsia="仿宋_GB2312"/>
          <w:b/>
          <w:bCs/>
          <w:color w:val="000000"/>
          <w:sz w:val="32"/>
          <w:szCs w:val="32"/>
        </w:rPr>
        <w:t>第三十四条</w:t>
      </w:r>
      <w:r>
        <w:rPr>
          <w:rFonts w:hint="eastAsia" w:ascii="仿宋_GB2312" w:hAnsi="Times New Roman" w:eastAsia="仿宋_GB2312"/>
          <w:color w:val="000000"/>
          <w:sz w:val="32"/>
          <w:szCs w:val="32"/>
        </w:rPr>
        <w:t xml:space="preserve"> 项目验收服务机构应保存现场验收照片和音视频材料等验收过程档案，以备查验。</w:t>
      </w:r>
    </w:p>
    <w:p>
      <w:pPr>
        <w:overflowPunct w:val="0"/>
        <w:spacing w:line="600" w:lineRule="exact"/>
        <w:ind w:firstLine="643" w:firstLineChars="200"/>
        <w:rPr>
          <w:rFonts w:ascii="仿宋_GB2312" w:hAnsi="Times New Roman" w:eastAsia="仿宋_GB2312"/>
          <w:color w:val="000000"/>
          <w:sz w:val="32"/>
          <w:szCs w:val="32"/>
        </w:rPr>
      </w:pPr>
      <w:r>
        <w:rPr>
          <w:rFonts w:hint="eastAsia" w:ascii="仿宋_GB2312" w:hAnsi="Times New Roman" w:eastAsia="仿宋_GB2312"/>
          <w:b/>
          <w:bCs/>
          <w:color w:val="000000"/>
          <w:sz w:val="32"/>
          <w:szCs w:val="32"/>
        </w:rPr>
        <w:t>第三十五条</w:t>
      </w:r>
      <w:r>
        <w:rPr>
          <w:rFonts w:hint="eastAsia" w:ascii="仿宋_GB2312" w:hAnsi="Times New Roman" w:eastAsia="仿宋_GB2312"/>
          <w:color w:val="000000"/>
          <w:sz w:val="32"/>
          <w:szCs w:val="32"/>
        </w:rPr>
        <w:t xml:space="preserve"> 项目验收服务机构对项目验收意见书和验收过程档案等材料的真实性、完整性、规范性负责。</w:t>
      </w:r>
    </w:p>
    <w:p>
      <w:pPr>
        <w:overflowPunct w:val="0"/>
        <w:spacing w:line="600" w:lineRule="exact"/>
        <w:ind w:firstLine="640" w:firstLineChars="200"/>
        <w:rPr>
          <w:rFonts w:ascii="仿宋_GB2312" w:hAnsi="Times New Roman" w:eastAsia="仿宋_GB2312"/>
          <w:color w:val="000000"/>
          <w:sz w:val="32"/>
          <w:szCs w:val="32"/>
        </w:rPr>
      </w:pPr>
    </w:p>
    <w:p>
      <w:pPr>
        <w:overflowPunct w:val="0"/>
        <w:adjustRightInd w:val="0"/>
        <w:snapToGrid w:val="0"/>
        <w:spacing w:after="109" w:afterLines="35" w:line="600" w:lineRule="exact"/>
        <w:jc w:val="center"/>
        <w:rPr>
          <w:rFonts w:ascii="黑体" w:hAnsi="宋体" w:eastAsia="黑体"/>
          <w:color w:val="000000"/>
          <w:sz w:val="32"/>
          <w:szCs w:val="32"/>
        </w:rPr>
      </w:pPr>
      <w:r>
        <w:rPr>
          <w:rFonts w:hint="eastAsia" w:ascii="黑体" w:hAnsi="宋体" w:eastAsia="黑体"/>
          <w:color w:val="000000"/>
          <w:sz w:val="32"/>
          <w:szCs w:val="32"/>
        </w:rPr>
        <w:t>第八章  监督管理</w:t>
      </w:r>
    </w:p>
    <w:p>
      <w:pPr>
        <w:overflowPunct w:val="0"/>
        <w:spacing w:line="600" w:lineRule="exact"/>
        <w:ind w:firstLine="643" w:firstLineChars="200"/>
        <w:rPr>
          <w:rFonts w:ascii="仿宋_GB2312" w:hAnsi="Times New Roman" w:eastAsia="仿宋_GB2312"/>
          <w:color w:val="000000"/>
          <w:sz w:val="32"/>
          <w:szCs w:val="32"/>
        </w:rPr>
      </w:pPr>
      <w:r>
        <w:rPr>
          <w:rFonts w:hint="eastAsia" w:ascii="仿宋_GB2312" w:hAnsi="Times New Roman" w:eastAsia="仿宋_GB2312"/>
          <w:b/>
          <w:bCs/>
          <w:color w:val="000000"/>
          <w:sz w:val="32"/>
          <w:szCs w:val="32"/>
        </w:rPr>
        <w:t>第三十六条</w:t>
      </w:r>
      <w:r>
        <w:rPr>
          <w:rFonts w:hint="eastAsia" w:ascii="仿宋_GB2312" w:hAnsi="Times New Roman" w:eastAsia="仿宋_GB2312"/>
          <w:color w:val="000000"/>
          <w:sz w:val="32"/>
          <w:szCs w:val="32"/>
        </w:rPr>
        <w:t xml:space="preserve"> 项目验收服务机构工作人员和验收专家应严格遵守保密规定，保守验收过程中知悉的项目单位商业和技术秘密。未经权利人许可，不得披露、使用或允许他人使用、转让其秘密。对擅自披露、使用或者向他人提供、转让项目单位商业或技术秘密的，将依法追究当事人责任。涉及国家秘密的，依照《中华人民共和国保守国家秘密法》处理。</w:t>
      </w:r>
    </w:p>
    <w:p>
      <w:pPr>
        <w:overflowPunct w:val="0"/>
        <w:spacing w:line="600" w:lineRule="exact"/>
        <w:ind w:firstLine="643" w:firstLineChars="200"/>
        <w:rPr>
          <w:rFonts w:ascii="仿宋_GB2312" w:hAnsi="Times New Roman" w:eastAsia="仿宋_GB2312"/>
          <w:color w:val="000000"/>
          <w:sz w:val="32"/>
          <w:szCs w:val="32"/>
        </w:rPr>
      </w:pPr>
      <w:r>
        <w:rPr>
          <w:rFonts w:hint="eastAsia" w:ascii="仿宋_GB2312" w:hAnsi="Times New Roman" w:eastAsia="仿宋_GB2312"/>
          <w:b/>
          <w:bCs/>
          <w:color w:val="000000"/>
          <w:sz w:val="32"/>
          <w:szCs w:val="32"/>
        </w:rPr>
        <w:t>第三十七条</w:t>
      </w:r>
      <w:r>
        <w:rPr>
          <w:rFonts w:hint="eastAsia" w:ascii="仿宋_GB2312" w:hAnsi="Times New Roman" w:eastAsia="仿宋_GB2312"/>
          <w:color w:val="000000"/>
          <w:sz w:val="32"/>
          <w:szCs w:val="32"/>
        </w:rPr>
        <w:t xml:space="preserve"> 项目验收</w:t>
      </w:r>
      <w:r>
        <w:rPr>
          <w:rFonts w:ascii="仿宋_GB2312" w:hAnsi="Times New Roman" w:eastAsia="仿宋_GB2312"/>
          <w:color w:val="000000"/>
          <w:sz w:val="32"/>
          <w:szCs w:val="32"/>
        </w:rPr>
        <w:t>服务机构在</w:t>
      </w:r>
      <w:r>
        <w:rPr>
          <w:rFonts w:hint="eastAsia" w:ascii="仿宋_GB2312" w:hAnsi="Times New Roman" w:eastAsia="仿宋_GB2312"/>
          <w:color w:val="000000"/>
          <w:sz w:val="32"/>
          <w:szCs w:val="32"/>
        </w:rPr>
        <w:t>提交项目验收意见书</w:t>
      </w:r>
      <w:r>
        <w:rPr>
          <w:rFonts w:ascii="仿宋_GB2312" w:hAnsi="Times New Roman" w:eastAsia="仿宋_GB2312"/>
          <w:color w:val="000000"/>
          <w:sz w:val="32"/>
          <w:szCs w:val="32"/>
        </w:rPr>
        <w:t>后仍有协助市发展改革委处理相关投诉、争议的义务，</w:t>
      </w:r>
      <w:r>
        <w:rPr>
          <w:rFonts w:hint="eastAsia" w:ascii="仿宋_GB2312" w:hAnsi="Times New Roman" w:eastAsia="仿宋_GB2312"/>
          <w:color w:val="000000"/>
          <w:sz w:val="32"/>
          <w:szCs w:val="32"/>
        </w:rPr>
        <w:t>并配合开展相关检查、审计工作</w:t>
      </w:r>
      <w:r>
        <w:rPr>
          <w:rFonts w:ascii="仿宋_GB2312" w:hAnsi="Times New Roman" w:eastAsia="仿宋_GB2312"/>
          <w:color w:val="000000"/>
          <w:sz w:val="32"/>
          <w:szCs w:val="32"/>
        </w:rPr>
        <w:t>。</w:t>
      </w:r>
    </w:p>
    <w:p>
      <w:pPr>
        <w:overflowPunct w:val="0"/>
        <w:spacing w:line="600" w:lineRule="exact"/>
        <w:ind w:firstLine="643" w:firstLineChars="200"/>
        <w:rPr>
          <w:rFonts w:ascii="仿宋_GB2312" w:hAnsi="Times New Roman" w:eastAsia="仿宋_GB2312"/>
          <w:color w:val="000000"/>
          <w:sz w:val="32"/>
          <w:szCs w:val="32"/>
        </w:rPr>
      </w:pPr>
      <w:r>
        <w:rPr>
          <w:rFonts w:hint="eastAsia" w:ascii="仿宋_GB2312" w:hAnsi="Times New Roman" w:eastAsia="仿宋_GB2312"/>
          <w:b/>
          <w:bCs/>
          <w:color w:val="000000"/>
          <w:sz w:val="32"/>
          <w:szCs w:val="32"/>
        </w:rPr>
        <w:t>第三十八条</w:t>
      </w:r>
      <w:r>
        <w:rPr>
          <w:rFonts w:hint="eastAsia" w:ascii="仿宋_GB2312" w:hAnsi="Times New Roman" w:eastAsia="仿宋_GB2312"/>
          <w:color w:val="000000"/>
          <w:sz w:val="32"/>
          <w:szCs w:val="32"/>
        </w:rPr>
        <w:t xml:space="preserve"> </w:t>
      </w:r>
      <w:r>
        <w:rPr>
          <w:rFonts w:ascii="仿宋_GB2312" w:hAnsi="Times New Roman" w:eastAsia="仿宋_GB2312"/>
          <w:color w:val="000000"/>
          <w:sz w:val="32"/>
          <w:szCs w:val="32"/>
        </w:rPr>
        <w:t>在</w:t>
      </w:r>
      <w:r>
        <w:rPr>
          <w:rFonts w:hint="eastAsia" w:ascii="仿宋_GB2312" w:hAnsi="Times New Roman" w:eastAsia="仿宋_GB2312"/>
          <w:color w:val="000000"/>
          <w:sz w:val="32"/>
          <w:szCs w:val="32"/>
        </w:rPr>
        <w:t>验收</w:t>
      </w:r>
      <w:r>
        <w:rPr>
          <w:rFonts w:ascii="仿宋_GB2312" w:hAnsi="Times New Roman" w:eastAsia="仿宋_GB2312"/>
          <w:color w:val="000000"/>
          <w:sz w:val="32"/>
          <w:szCs w:val="32"/>
        </w:rPr>
        <w:t>结束后，</w:t>
      </w:r>
      <w:r>
        <w:rPr>
          <w:rFonts w:hint="eastAsia" w:ascii="仿宋_GB2312" w:hAnsi="Times New Roman" w:eastAsia="仿宋_GB2312"/>
          <w:color w:val="000000"/>
          <w:sz w:val="32"/>
          <w:szCs w:val="32"/>
        </w:rPr>
        <w:t>项目验收</w:t>
      </w:r>
      <w:r>
        <w:rPr>
          <w:rFonts w:ascii="仿宋_GB2312" w:hAnsi="Times New Roman" w:eastAsia="仿宋_GB2312"/>
          <w:color w:val="000000"/>
          <w:sz w:val="32"/>
          <w:szCs w:val="32"/>
        </w:rPr>
        <w:t>服务机构应从组织纪律性、技术专业性、参与积极性、咨询公正性等方面，对</w:t>
      </w:r>
      <w:r>
        <w:rPr>
          <w:rFonts w:hint="eastAsia" w:ascii="仿宋_GB2312" w:hAnsi="Times New Roman" w:eastAsia="仿宋_GB2312"/>
          <w:color w:val="000000"/>
          <w:sz w:val="32"/>
          <w:szCs w:val="32"/>
        </w:rPr>
        <w:t>验收</w:t>
      </w:r>
      <w:r>
        <w:rPr>
          <w:rFonts w:ascii="仿宋_GB2312" w:hAnsi="Times New Roman" w:eastAsia="仿宋_GB2312"/>
          <w:color w:val="000000"/>
          <w:sz w:val="32"/>
          <w:szCs w:val="32"/>
        </w:rPr>
        <w:t>专家参与项目验收情况进行评价，对</w:t>
      </w:r>
      <w:r>
        <w:rPr>
          <w:rFonts w:hint="eastAsia" w:ascii="仿宋_GB2312" w:hAnsi="Times New Roman" w:eastAsia="仿宋_GB2312"/>
          <w:color w:val="000000"/>
          <w:sz w:val="32"/>
          <w:szCs w:val="32"/>
        </w:rPr>
        <w:t>验收</w:t>
      </w:r>
      <w:r>
        <w:rPr>
          <w:rFonts w:ascii="仿宋_GB2312" w:hAnsi="Times New Roman" w:eastAsia="仿宋_GB2312"/>
          <w:color w:val="000000"/>
          <w:sz w:val="32"/>
          <w:szCs w:val="32"/>
        </w:rPr>
        <w:t>专家可能存在的违法、违规和失信等负面行为进行记录</w:t>
      </w:r>
      <w:r>
        <w:rPr>
          <w:rFonts w:hint="eastAsia" w:ascii="仿宋_GB2312" w:hAnsi="Times New Roman" w:eastAsia="仿宋_GB2312"/>
          <w:color w:val="000000"/>
          <w:sz w:val="32"/>
          <w:szCs w:val="32"/>
        </w:rPr>
        <w:t>，并报市发展改革委，作为专家库管理的重要参考</w:t>
      </w:r>
      <w:r>
        <w:rPr>
          <w:rFonts w:ascii="仿宋_GB2312" w:hAnsi="Times New Roman" w:eastAsia="仿宋_GB2312"/>
          <w:color w:val="000000"/>
          <w:sz w:val="32"/>
          <w:szCs w:val="32"/>
        </w:rPr>
        <w:t>。</w:t>
      </w:r>
    </w:p>
    <w:p>
      <w:pPr>
        <w:overflowPunct w:val="0"/>
        <w:spacing w:line="600" w:lineRule="exact"/>
        <w:ind w:firstLine="643" w:firstLineChars="200"/>
        <w:rPr>
          <w:rFonts w:ascii="仿宋_GB2312" w:hAnsi="Times New Roman" w:eastAsia="仿宋_GB2312"/>
          <w:color w:val="000000"/>
          <w:sz w:val="32"/>
          <w:szCs w:val="32"/>
        </w:rPr>
      </w:pPr>
      <w:r>
        <w:rPr>
          <w:rFonts w:hint="eastAsia" w:ascii="仿宋_GB2312" w:hAnsi="Times New Roman" w:eastAsia="仿宋_GB2312"/>
          <w:b/>
          <w:bCs/>
          <w:color w:val="000000"/>
          <w:sz w:val="32"/>
          <w:szCs w:val="32"/>
        </w:rPr>
        <w:t>第三十九条</w:t>
      </w:r>
      <w:r>
        <w:rPr>
          <w:rFonts w:hint="eastAsia" w:ascii="仿宋_GB2312" w:hAnsi="Times New Roman" w:eastAsia="仿宋_GB2312"/>
          <w:color w:val="000000"/>
          <w:sz w:val="32"/>
          <w:szCs w:val="32"/>
        </w:rPr>
        <w:t xml:space="preserve"> 市发展改革委将根据验收服务开展情况，采取现场监督和事后评价等方式对项目验收服务机构的组织能力和服务水平进行评价，对所发现的验收过程中存在的违法、违规和失信等负面行为进行记录，并作为项目验收服务机构选聘的重要参考。</w:t>
      </w:r>
    </w:p>
    <w:p>
      <w:pPr>
        <w:overflowPunct w:val="0"/>
        <w:spacing w:line="600" w:lineRule="exact"/>
        <w:ind w:firstLine="640" w:firstLineChars="200"/>
        <w:rPr>
          <w:rFonts w:ascii="仿宋_GB2312" w:hAnsi="Times New Roman" w:eastAsia="仿宋_GB2312"/>
          <w:color w:val="000000"/>
          <w:sz w:val="32"/>
          <w:szCs w:val="32"/>
        </w:rPr>
      </w:pPr>
    </w:p>
    <w:p>
      <w:pPr>
        <w:overflowPunct w:val="0"/>
        <w:adjustRightInd w:val="0"/>
        <w:snapToGrid w:val="0"/>
        <w:spacing w:after="109" w:afterLines="35" w:line="600" w:lineRule="exact"/>
        <w:jc w:val="center"/>
        <w:rPr>
          <w:rFonts w:ascii="黑体" w:hAnsi="宋体" w:eastAsia="黑体"/>
          <w:color w:val="000000"/>
          <w:sz w:val="32"/>
          <w:szCs w:val="32"/>
        </w:rPr>
      </w:pPr>
      <w:r>
        <w:rPr>
          <w:rFonts w:hint="eastAsia" w:ascii="黑体" w:hAnsi="宋体" w:eastAsia="黑体"/>
          <w:color w:val="000000"/>
          <w:sz w:val="32"/>
          <w:szCs w:val="32"/>
        </w:rPr>
        <w:t>第九章  附  则</w:t>
      </w:r>
    </w:p>
    <w:p>
      <w:pPr>
        <w:overflowPunct w:val="0"/>
        <w:spacing w:line="600" w:lineRule="exact"/>
        <w:ind w:firstLine="643" w:firstLineChars="200"/>
        <w:rPr>
          <w:rFonts w:ascii="仿宋_GB2312" w:hAnsi="Times New Roman" w:eastAsia="仿宋_GB2312"/>
          <w:b/>
          <w:bCs/>
          <w:color w:val="000000"/>
          <w:sz w:val="32"/>
          <w:szCs w:val="32"/>
        </w:rPr>
      </w:pPr>
      <w:r>
        <w:rPr>
          <w:rFonts w:hint="eastAsia" w:ascii="仿宋_GB2312" w:hAnsi="Times New Roman" w:eastAsia="仿宋_GB2312"/>
          <w:b/>
          <w:bCs/>
          <w:color w:val="000000"/>
          <w:sz w:val="32"/>
          <w:szCs w:val="32"/>
        </w:rPr>
        <w:t xml:space="preserve">第四十条 </w:t>
      </w:r>
      <w:r>
        <w:rPr>
          <w:rFonts w:hint="eastAsia" w:ascii="仿宋_GB2312" w:hAnsi="Times New Roman" w:eastAsia="仿宋_GB2312"/>
          <w:color w:val="000000"/>
          <w:sz w:val="32"/>
          <w:szCs w:val="32"/>
        </w:rPr>
        <w:t>本指引由市发展改革委负责解释。</w:t>
      </w:r>
    </w:p>
    <w:p>
      <w:pPr>
        <w:overflowPunct w:val="0"/>
        <w:spacing w:line="600" w:lineRule="exact"/>
        <w:ind w:firstLine="643" w:firstLineChars="200"/>
        <w:rPr>
          <w:rFonts w:ascii="仿宋_GB2312" w:hAnsi="Times New Roman" w:eastAsia="仿宋_GB2312"/>
          <w:color w:val="000000"/>
          <w:sz w:val="32"/>
          <w:szCs w:val="32"/>
        </w:rPr>
        <w:sectPr>
          <w:pgSz w:w="11906" w:h="16838"/>
          <w:pgMar w:top="1440" w:right="1800" w:bottom="1440" w:left="1800" w:header="851" w:footer="737" w:gutter="0"/>
          <w:cols w:space="425" w:num="1"/>
          <w:docGrid w:type="lines" w:linePitch="312" w:charSpace="0"/>
        </w:sectPr>
      </w:pPr>
      <w:r>
        <w:rPr>
          <w:rFonts w:hint="eastAsia" w:ascii="仿宋_GB2312" w:hAnsi="Times New Roman" w:eastAsia="仿宋_GB2312"/>
          <w:b/>
          <w:bCs/>
          <w:color w:val="000000"/>
          <w:sz w:val="32"/>
          <w:szCs w:val="32"/>
        </w:rPr>
        <w:t xml:space="preserve">第四十一条 </w:t>
      </w:r>
      <w:r>
        <w:rPr>
          <w:rFonts w:hint="eastAsia" w:ascii="仿宋_GB2312" w:hAnsi="Times New Roman" w:eastAsia="仿宋_GB2312"/>
          <w:color w:val="000000"/>
          <w:sz w:val="32"/>
          <w:szCs w:val="32"/>
        </w:rPr>
        <w:t>本指引自发布之日起实施，有效期5年。</w:t>
      </w:r>
    </w:p>
    <w:p>
      <w:pPr>
        <w:overflowPunct w:val="0"/>
        <w:spacing w:line="600" w:lineRule="exact"/>
        <w:rPr>
          <w:rFonts w:ascii="仿宋_GB2312" w:hAnsi="Times New Roman" w:eastAsia="仿宋_GB2312"/>
          <w:b/>
          <w:bCs/>
          <w:color w:val="000000"/>
          <w:sz w:val="32"/>
          <w:szCs w:val="32"/>
        </w:rPr>
      </w:pPr>
      <w:r>
        <w:rPr>
          <w:rFonts w:ascii="仿宋_GB2312" w:hAnsi="Times New Roman" w:eastAsia="仿宋_GB2312"/>
          <w:b/>
          <w:bCs/>
          <w:color w:val="000000"/>
          <w:sz w:val="32"/>
          <w:szCs w:val="32"/>
        </w:rPr>
        <w:t>附件：</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1.市级工程研究中心、市级工程实验室类别项目验收专家综合评议打分表</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2.市级产业技术公共服务平台类别项目验收专家综合评议打分表</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3.前沿领域中试、产业化股权资助（事前资助）类别项目验收专家综合评议打分表</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4.产业化事后补助、产业化股权资助（事后资助）类别项目验收专家综合评议打分表</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5.融资贴息资助类别项目验收专家综合评议打分表</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6.“创新链+产业链”融合资助类项目验收专家综合评议打分表</w:t>
      </w:r>
    </w:p>
    <w:p>
      <w:pPr>
        <w:overflowPunct w:val="0"/>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7.学科建设类别项目验收专家综合评议打分表</w:t>
      </w:r>
    </w:p>
    <w:p>
      <w:pPr>
        <w:overflowPunct w:val="0"/>
        <w:spacing w:line="600" w:lineRule="exact"/>
        <w:ind w:firstLine="640" w:firstLineChars="200"/>
        <w:rPr>
          <w:rFonts w:ascii="仿宋_GB2312" w:hAnsi="Times New Roman" w:eastAsia="仿宋_GB2312"/>
          <w:color w:val="000000"/>
          <w:sz w:val="32"/>
          <w:szCs w:val="32"/>
        </w:rPr>
        <w:sectPr>
          <w:pgSz w:w="11906" w:h="16838"/>
          <w:pgMar w:top="1440" w:right="1800" w:bottom="1440" w:left="1800" w:header="851" w:footer="737" w:gutter="0"/>
          <w:cols w:space="425" w:num="1"/>
          <w:docGrid w:type="lines" w:linePitch="312" w:charSpace="0"/>
        </w:sectPr>
      </w:pPr>
      <w:r>
        <w:rPr>
          <w:rFonts w:hint="eastAsia" w:ascii="仿宋_GB2312" w:hAnsi="Times New Roman" w:eastAsia="仿宋_GB2312"/>
          <w:color w:val="000000"/>
          <w:sz w:val="32"/>
          <w:szCs w:val="32"/>
        </w:rPr>
        <w:t>8</w:t>
      </w:r>
      <w:r>
        <w:rPr>
          <w:rFonts w:ascii="仿宋_GB2312" w:hAnsi="Times New Roman" w:eastAsia="仿宋_GB2312"/>
          <w:color w:val="000000"/>
          <w:sz w:val="32"/>
          <w:szCs w:val="32"/>
        </w:rPr>
        <w:t>.项目验收综合评价标准一览表</w:t>
      </w:r>
    </w:p>
    <w:p>
      <w:pPr>
        <w:spacing w:line="500" w:lineRule="exact"/>
        <w:rPr>
          <w:rFonts w:ascii="仿宋_GB2312" w:hAnsi="Times New Roman" w:eastAsia="仿宋_GB2312"/>
          <w:b/>
          <w:color w:val="000000"/>
          <w:sz w:val="32"/>
          <w:szCs w:val="32"/>
        </w:rPr>
      </w:pPr>
      <w:r>
        <w:rPr>
          <w:rFonts w:hint="eastAsia" w:ascii="仿宋_GB2312" w:hAnsi="Times New Roman" w:eastAsia="仿宋_GB2312"/>
          <w:b/>
          <w:color w:val="000000"/>
          <w:sz w:val="32"/>
          <w:szCs w:val="32"/>
        </w:rPr>
        <w:t>附件1</w:t>
      </w:r>
    </w:p>
    <w:p>
      <w:pPr>
        <w:spacing w:line="500" w:lineRule="exact"/>
        <w:jc w:val="center"/>
        <w:rPr>
          <w:rFonts w:ascii="仿宋_GB2312" w:hAnsi="仿宋_GB2312" w:cs="仿宋_GB2312"/>
          <w:b/>
          <w:szCs w:val="32"/>
        </w:rPr>
      </w:pPr>
    </w:p>
    <w:p>
      <w:pPr>
        <w:widowControl/>
        <w:spacing w:line="500" w:lineRule="exact"/>
        <w:jc w:val="center"/>
        <w:rPr>
          <w:rFonts w:ascii="宋体" w:hAnsi="宋体" w:cs="宋体"/>
          <w:b/>
          <w:bCs/>
          <w:kern w:val="0"/>
          <w:sz w:val="38"/>
          <w:szCs w:val="38"/>
        </w:rPr>
      </w:pPr>
      <w:r>
        <w:rPr>
          <w:rFonts w:hint="eastAsia" w:ascii="宋体" w:hAnsi="宋体" w:cs="宋体"/>
          <w:b/>
          <w:bCs/>
          <w:kern w:val="0"/>
          <w:sz w:val="38"/>
          <w:szCs w:val="38"/>
        </w:rPr>
        <w:t>市级工程研究中心、市级工程实验室类别项目验收</w:t>
      </w:r>
      <w:r>
        <w:rPr>
          <w:rFonts w:ascii="宋体" w:hAnsi="宋体" w:cs="宋体"/>
          <w:b/>
          <w:bCs/>
          <w:kern w:val="0"/>
          <w:sz w:val="38"/>
          <w:szCs w:val="38"/>
        </w:rPr>
        <w:br w:type="textWrapping"/>
      </w:r>
      <w:r>
        <w:rPr>
          <w:rFonts w:hint="eastAsia" w:ascii="宋体" w:hAnsi="宋体" w:cs="宋体"/>
          <w:b/>
          <w:bCs/>
          <w:kern w:val="0"/>
          <w:sz w:val="38"/>
          <w:szCs w:val="38"/>
        </w:rPr>
        <w:t>专家综合评议打分表</w:t>
      </w:r>
    </w:p>
    <w:p>
      <w:pPr>
        <w:widowControl/>
        <w:spacing w:line="500" w:lineRule="exact"/>
        <w:jc w:val="center"/>
        <w:rPr>
          <w:rFonts w:ascii="宋体" w:hAnsi="宋体" w:cs="宋体"/>
          <w:kern w:val="0"/>
          <w:sz w:val="38"/>
          <w:szCs w:val="38"/>
        </w:rPr>
      </w:pPr>
    </w:p>
    <w:p>
      <w:pPr>
        <w:widowControl/>
        <w:spacing w:line="500" w:lineRule="exact"/>
        <w:jc w:val="left"/>
        <w:rPr>
          <w:rFonts w:ascii="仿宋_GB2312" w:hAnsi="仿宋" w:eastAsia="仿宋_GB2312" w:cs="宋体"/>
          <w:kern w:val="0"/>
          <w:sz w:val="30"/>
          <w:szCs w:val="30"/>
        </w:rPr>
      </w:pPr>
      <w:r>
        <w:rPr>
          <w:rFonts w:hint="eastAsia" w:ascii="仿宋_GB2312" w:hAnsi="仿宋" w:eastAsia="仿宋_GB2312" w:cs="宋体"/>
          <w:kern w:val="0"/>
          <w:sz w:val="30"/>
          <w:szCs w:val="30"/>
        </w:rPr>
        <w:t>项目名称：</w:t>
      </w:r>
    </w:p>
    <w:p>
      <w:pPr>
        <w:spacing w:line="500" w:lineRule="exact"/>
        <w:rPr>
          <w:rFonts w:ascii="仿宋_GB2312" w:hAnsi="仿宋" w:eastAsia="仿宋_GB2312" w:cs="宋体"/>
          <w:kern w:val="0"/>
          <w:sz w:val="30"/>
          <w:szCs w:val="30"/>
        </w:rPr>
      </w:pPr>
      <w:r>
        <w:rPr>
          <w:rFonts w:hint="eastAsia" w:ascii="仿宋_GB2312" w:hAnsi="仿宋" w:eastAsia="仿宋_GB2312" w:cs="宋体"/>
          <w:kern w:val="0"/>
          <w:sz w:val="30"/>
          <w:szCs w:val="30"/>
        </w:rPr>
        <w:t>专家签名：</w:t>
      </w:r>
    </w:p>
    <w:p>
      <w:pPr>
        <w:spacing w:after="109" w:afterLines="35" w:line="500" w:lineRule="exact"/>
        <w:rPr>
          <w:rFonts w:ascii="仿宋_GB2312" w:hAnsi="仿宋" w:eastAsia="仿宋_GB2312" w:cs="宋体"/>
          <w:kern w:val="0"/>
          <w:sz w:val="30"/>
          <w:szCs w:val="30"/>
        </w:rPr>
      </w:pPr>
      <w:r>
        <w:rPr>
          <w:rFonts w:hint="eastAsia" w:ascii="仿宋_GB2312" w:hAnsi="仿宋" w:eastAsia="仿宋_GB2312" w:cs="宋体"/>
          <w:kern w:val="0"/>
          <w:sz w:val="30"/>
          <w:szCs w:val="30"/>
        </w:rPr>
        <w:t>项目综合得分：</w:t>
      </w:r>
    </w:p>
    <w:tbl>
      <w:tblPr>
        <w:tblStyle w:val="2"/>
        <w:tblW w:w="5501" w:type="pct"/>
        <w:jc w:val="center"/>
        <w:tblLayout w:type="autofit"/>
        <w:tblCellMar>
          <w:top w:w="0" w:type="dxa"/>
          <w:left w:w="108" w:type="dxa"/>
          <w:bottom w:w="0" w:type="dxa"/>
          <w:right w:w="108" w:type="dxa"/>
        </w:tblCellMar>
      </w:tblPr>
      <w:tblGrid>
        <w:gridCol w:w="1458"/>
        <w:gridCol w:w="1369"/>
        <w:gridCol w:w="2799"/>
        <w:gridCol w:w="3545"/>
      </w:tblGrid>
      <w:tr>
        <w:tblPrEx>
          <w:tblCellMar>
            <w:top w:w="0" w:type="dxa"/>
            <w:left w:w="108" w:type="dxa"/>
            <w:bottom w:w="0" w:type="dxa"/>
            <w:right w:w="108" w:type="dxa"/>
          </w:tblCellMar>
        </w:tblPrEx>
        <w:trPr>
          <w:trHeight w:val="482" w:hRule="atLeast"/>
          <w:tblHeader/>
          <w:jc w:val="center"/>
        </w:trPr>
        <w:tc>
          <w:tcPr>
            <w:tcW w:w="14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kern w:val="0"/>
                <w:sz w:val="20"/>
                <w:szCs w:val="20"/>
              </w:rPr>
              <w:t>一级指标</w:t>
            </w:r>
          </w:p>
        </w:tc>
        <w:tc>
          <w:tcPr>
            <w:tcW w:w="13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kern w:val="0"/>
                <w:sz w:val="20"/>
                <w:szCs w:val="20"/>
              </w:rPr>
              <w:t>二级指标</w:t>
            </w:r>
          </w:p>
        </w:tc>
        <w:tc>
          <w:tcPr>
            <w:tcW w:w="27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kern w:val="0"/>
                <w:sz w:val="20"/>
                <w:szCs w:val="20"/>
              </w:rPr>
              <w:t>评分标准</w:t>
            </w:r>
          </w:p>
        </w:tc>
        <w:tc>
          <w:tcPr>
            <w:tcW w:w="3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kern w:val="0"/>
                <w:sz w:val="20"/>
                <w:szCs w:val="20"/>
              </w:rPr>
              <w:t>参考评分细则</w:t>
            </w:r>
          </w:p>
        </w:tc>
      </w:tr>
      <w:tr>
        <w:tblPrEx>
          <w:tblCellMar>
            <w:top w:w="0" w:type="dxa"/>
            <w:left w:w="108" w:type="dxa"/>
            <w:bottom w:w="0" w:type="dxa"/>
            <w:right w:w="108" w:type="dxa"/>
          </w:tblCellMar>
        </w:tblPrEx>
        <w:trPr>
          <w:trHeight w:val="1144" w:hRule="atLeast"/>
          <w:jc w:val="center"/>
        </w:trPr>
        <w:tc>
          <w:tcPr>
            <w:tcW w:w="145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投资完成情况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（30分）</w:t>
            </w:r>
          </w:p>
        </w:tc>
        <w:tc>
          <w:tcPr>
            <w:tcW w:w="1369" w:type="dxa"/>
            <w:vMerge w:val="restar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总投资额完成情况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（15分）</w:t>
            </w:r>
          </w:p>
        </w:tc>
        <w:tc>
          <w:tcPr>
            <w:tcW w:w="27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全部或超额完成批复文件或项目合同书规定要求（实际总投资额</w:t>
            </w:r>
            <w:r>
              <w:rPr>
                <w:rFonts w:hint="eastAsia" w:cs="Arial"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计划总投资额≥100%），得分为15分。</w:t>
            </w:r>
          </w:p>
        </w:tc>
        <w:tc>
          <w:tcPr>
            <w:tcW w:w="3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1248" w:hRule="atLeast"/>
          <w:jc w:val="center"/>
        </w:trPr>
        <w:tc>
          <w:tcPr>
            <w:tcW w:w="1458" w:type="dxa"/>
            <w:vMerge w:val="continue"/>
            <w:tcBorders>
              <w:left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69"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7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基本完成批复文件或项目合同书规定要求（实际总投资额</w:t>
            </w:r>
            <w:r>
              <w:rPr>
                <w:rFonts w:hint="eastAsia" w:cs="Arial"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计划总投资额≥80%），得分为9-14分。</w:t>
            </w:r>
          </w:p>
        </w:tc>
        <w:tc>
          <w:tcPr>
            <w:tcW w:w="3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90%≤比例＜100%，得12-14分；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80%≤比例＜90%，得9-11分。</w:t>
            </w:r>
          </w:p>
        </w:tc>
      </w:tr>
      <w:tr>
        <w:tblPrEx>
          <w:tblCellMar>
            <w:top w:w="0" w:type="dxa"/>
            <w:left w:w="108" w:type="dxa"/>
            <w:bottom w:w="0" w:type="dxa"/>
            <w:right w:w="108" w:type="dxa"/>
          </w:tblCellMar>
        </w:tblPrEx>
        <w:trPr>
          <w:trHeight w:val="863" w:hRule="atLeast"/>
          <w:jc w:val="center"/>
        </w:trPr>
        <w:tc>
          <w:tcPr>
            <w:tcW w:w="1458" w:type="dxa"/>
            <w:vMerge w:val="continue"/>
            <w:tcBorders>
              <w:left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69"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7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项目实际总投资额未达到计划总投资额80%的，不予安排验收。</w:t>
            </w:r>
          </w:p>
        </w:tc>
        <w:tc>
          <w:tcPr>
            <w:tcW w:w="3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885" w:hRule="atLeast"/>
          <w:jc w:val="center"/>
        </w:trPr>
        <w:tc>
          <w:tcPr>
            <w:tcW w:w="1458" w:type="dxa"/>
            <w:vMerge w:val="continue"/>
            <w:tcBorders>
              <w:left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69" w:type="dxa"/>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设备仪器建设情况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（10分）</w:t>
            </w:r>
          </w:p>
        </w:tc>
        <w:tc>
          <w:tcPr>
            <w:tcW w:w="27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全部或超额完成批复文件或项目合同书规定要求，得分为10分。</w:t>
            </w:r>
          </w:p>
        </w:tc>
        <w:tc>
          <w:tcPr>
            <w:tcW w:w="3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实际购置与本项目相关的设备金额÷计划设备购置额≥100%</w:t>
            </w:r>
          </w:p>
        </w:tc>
      </w:tr>
      <w:tr>
        <w:tblPrEx>
          <w:tblCellMar>
            <w:top w:w="0" w:type="dxa"/>
            <w:left w:w="108" w:type="dxa"/>
            <w:bottom w:w="0" w:type="dxa"/>
            <w:right w:w="108" w:type="dxa"/>
          </w:tblCellMar>
        </w:tblPrEx>
        <w:trPr>
          <w:trHeight w:val="1735" w:hRule="atLeast"/>
          <w:jc w:val="center"/>
        </w:trPr>
        <w:tc>
          <w:tcPr>
            <w:tcW w:w="1458" w:type="dxa"/>
            <w:vMerge w:val="continue"/>
            <w:tcBorders>
              <w:left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69"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7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基本完成批复文件或项目合同书规定要求，得分为6-9分。</w:t>
            </w:r>
          </w:p>
        </w:tc>
        <w:tc>
          <w:tcPr>
            <w:tcW w:w="3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90%≤实际购置与本项目相关的设备金额÷计划设备购置额＜100%，得8-9分；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80%≤实际购置与本项目相关的设备金额÷计划设备购置额＜90%，得 6-7分。</w:t>
            </w:r>
          </w:p>
        </w:tc>
      </w:tr>
      <w:tr>
        <w:tblPrEx>
          <w:tblCellMar>
            <w:top w:w="0" w:type="dxa"/>
            <w:left w:w="108" w:type="dxa"/>
            <w:bottom w:w="0" w:type="dxa"/>
            <w:right w:w="108" w:type="dxa"/>
          </w:tblCellMar>
        </w:tblPrEx>
        <w:trPr>
          <w:trHeight w:val="1875" w:hRule="atLeast"/>
          <w:jc w:val="center"/>
        </w:trPr>
        <w:tc>
          <w:tcPr>
            <w:tcW w:w="1458" w:type="dxa"/>
            <w:vMerge w:val="continue"/>
            <w:tcBorders>
              <w:left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69"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7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部分完成批复文件或项目合同书规定要求，得分为0-5分。</w:t>
            </w:r>
          </w:p>
        </w:tc>
        <w:tc>
          <w:tcPr>
            <w:tcW w:w="3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70%≤实际购置与本项目相关设备金额÷计划设备购置额＜80%，得4-5分；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50%≤实际购置与本项目相关设备金额÷计划设备购置额＜70%，得1-3分；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③ 实际购置与本项目相关设备金额÷计划设备购置额＜50%，得0分。</w:t>
            </w:r>
          </w:p>
        </w:tc>
      </w:tr>
      <w:tr>
        <w:tblPrEx>
          <w:tblCellMar>
            <w:top w:w="0" w:type="dxa"/>
            <w:left w:w="108" w:type="dxa"/>
            <w:bottom w:w="0" w:type="dxa"/>
            <w:right w:w="108" w:type="dxa"/>
          </w:tblCellMar>
        </w:tblPrEx>
        <w:trPr>
          <w:trHeight w:val="1233" w:hRule="atLeast"/>
          <w:jc w:val="center"/>
        </w:trPr>
        <w:tc>
          <w:tcPr>
            <w:tcW w:w="1458"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6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场地建设情况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（5分）</w:t>
            </w:r>
          </w:p>
        </w:tc>
        <w:tc>
          <w:tcPr>
            <w:tcW w:w="27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全部或超额完成批复文件或项目合同书规定要求（实际改扩建场地面积</w:t>
            </w:r>
            <w:r>
              <w:rPr>
                <w:rFonts w:hint="eastAsia" w:cs="Arial"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计划改扩建场地面积≥100%），得分为5分。</w:t>
            </w:r>
          </w:p>
        </w:tc>
        <w:tc>
          <w:tcPr>
            <w:tcW w:w="3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1164" w:hRule="atLeast"/>
          <w:jc w:val="center"/>
        </w:trPr>
        <w:tc>
          <w:tcPr>
            <w:tcW w:w="1458"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投资完成情况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（30分）</w:t>
            </w:r>
          </w:p>
        </w:tc>
        <w:tc>
          <w:tcPr>
            <w:tcW w:w="1369"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场地建设情况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（5分）</w:t>
            </w:r>
          </w:p>
        </w:tc>
        <w:tc>
          <w:tcPr>
            <w:tcW w:w="27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基本完成批复文件或项目合同书规定要求（实际改扩建场地面积</w:t>
            </w:r>
            <w:r>
              <w:rPr>
                <w:rFonts w:hint="eastAsia" w:cs="Arial"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计划改扩建场地面积≥80%），得分为3-4分。</w:t>
            </w:r>
          </w:p>
        </w:tc>
        <w:tc>
          <w:tcPr>
            <w:tcW w:w="3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90%≤比例＜100%，得 4 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80%≤比例＜90%，得 3 分。</w:t>
            </w:r>
          </w:p>
        </w:tc>
      </w:tr>
      <w:tr>
        <w:tblPrEx>
          <w:tblCellMar>
            <w:top w:w="0" w:type="dxa"/>
            <w:left w:w="108" w:type="dxa"/>
            <w:bottom w:w="0" w:type="dxa"/>
            <w:right w:w="108" w:type="dxa"/>
          </w:tblCellMar>
        </w:tblPrEx>
        <w:trPr>
          <w:trHeight w:val="1178" w:hRule="atLeast"/>
          <w:jc w:val="center"/>
        </w:trPr>
        <w:tc>
          <w:tcPr>
            <w:tcW w:w="1458"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6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7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部分完成批复文件或项目合同书规定要求（实际改扩建场地面积</w:t>
            </w:r>
            <w:r>
              <w:rPr>
                <w:rFonts w:hint="eastAsia" w:cs="Arial"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计划改扩建场地面积&lt;80%），得分为0-2分。</w:t>
            </w:r>
          </w:p>
        </w:tc>
        <w:tc>
          <w:tcPr>
            <w:tcW w:w="3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60%≤比例＜80%，得2分；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30%≤比例＜60%，得1分；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③ 比例＜30%，得0分。</w:t>
            </w:r>
          </w:p>
        </w:tc>
      </w:tr>
      <w:tr>
        <w:tblPrEx>
          <w:tblCellMar>
            <w:top w:w="0" w:type="dxa"/>
            <w:left w:w="108" w:type="dxa"/>
            <w:bottom w:w="0" w:type="dxa"/>
            <w:right w:w="108" w:type="dxa"/>
          </w:tblCellMar>
        </w:tblPrEx>
        <w:trPr>
          <w:trHeight w:val="779" w:hRule="atLeast"/>
          <w:jc w:val="center"/>
        </w:trPr>
        <w:tc>
          <w:tcPr>
            <w:tcW w:w="1458"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成果产出情况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（30分）</w:t>
            </w:r>
          </w:p>
        </w:tc>
        <w:tc>
          <w:tcPr>
            <w:tcW w:w="1369" w:type="dxa"/>
            <w:vMerge w:val="restart"/>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仿宋_GB2312" w:cs="宋体"/>
                <w:color w:val="000000"/>
                <w:kern w:val="0"/>
                <w:sz w:val="20"/>
              </w:rPr>
            </w:pPr>
            <w:r>
              <w:rPr>
                <w:rFonts w:hint="eastAsia" w:ascii="仿宋_GB2312" w:hAnsi="宋体" w:cs="宋体"/>
                <w:color w:val="000000"/>
                <w:kern w:val="0"/>
                <w:sz w:val="20"/>
              </w:rPr>
              <w:t>主要技术指标完成情况</w:t>
            </w:r>
          </w:p>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r>
              <w:rPr>
                <w:rFonts w:hint="eastAsia" w:ascii="仿宋_GB2312" w:hAnsi="宋体" w:cs="宋体"/>
                <w:color w:val="000000"/>
                <w:kern w:val="0"/>
                <w:sz w:val="20"/>
              </w:rPr>
              <w:t>（15分）</w:t>
            </w:r>
          </w:p>
        </w:tc>
        <w:tc>
          <w:tcPr>
            <w:tcW w:w="27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达到或超出批复文件或项目合同书规定要求，得分为15分。</w:t>
            </w:r>
          </w:p>
        </w:tc>
        <w:tc>
          <w:tcPr>
            <w:tcW w:w="3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1651" w:hRule="atLeast"/>
          <w:jc w:val="center"/>
        </w:trPr>
        <w:tc>
          <w:tcPr>
            <w:tcW w:w="1458"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69"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7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基本达到批复文件或项目合同书规定要求，得分为9-14分。</w:t>
            </w:r>
          </w:p>
        </w:tc>
        <w:tc>
          <w:tcPr>
            <w:tcW w:w="3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如技术指标完成情况可用完成比例评估，则：</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90%≤完成比例＜100%，得12-14分；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80%≤实际比例＜90%，得9-11分。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如技术指标完成情况不可用完成比例评估，则由专家进行专业判断打分。</w:t>
            </w:r>
          </w:p>
        </w:tc>
      </w:tr>
      <w:tr>
        <w:tblPrEx>
          <w:tblCellMar>
            <w:top w:w="0" w:type="dxa"/>
            <w:left w:w="108" w:type="dxa"/>
            <w:bottom w:w="0" w:type="dxa"/>
            <w:right w:w="108" w:type="dxa"/>
          </w:tblCellMar>
        </w:tblPrEx>
        <w:trPr>
          <w:trHeight w:val="1955" w:hRule="atLeast"/>
          <w:jc w:val="center"/>
        </w:trPr>
        <w:tc>
          <w:tcPr>
            <w:tcW w:w="1458"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69"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7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与批复文件或项目合同书规定要求相差较大，得分为0-8分。</w:t>
            </w:r>
          </w:p>
        </w:tc>
        <w:tc>
          <w:tcPr>
            <w:tcW w:w="3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如技术指标完成情况可用完成比例评估，则：</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60%≤完成比例＜80%，得5-8分；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30%≤完成比例＜60%，得1-4分；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③ 完成比例＜30%，得0分。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如技术指标完成情况不可用完成比例评估，则由专家进行专业判断打分。</w:t>
            </w:r>
          </w:p>
        </w:tc>
      </w:tr>
      <w:tr>
        <w:tblPrEx>
          <w:tblCellMar>
            <w:top w:w="0" w:type="dxa"/>
            <w:left w:w="108" w:type="dxa"/>
            <w:bottom w:w="0" w:type="dxa"/>
            <w:right w:w="108" w:type="dxa"/>
          </w:tblCellMar>
        </w:tblPrEx>
        <w:trPr>
          <w:trHeight w:val="827" w:hRule="atLeast"/>
          <w:jc w:val="center"/>
        </w:trPr>
        <w:tc>
          <w:tcPr>
            <w:tcW w:w="1458"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69" w:type="dxa"/>
            <w:vMerge w:val="restart"/>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关键共性技术突破情况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（5分）</w:t>
            </w:r>
          </w:p>
        </w:tc>
        <w:tc>
          <w:tcPr>
            <w:tcW w:w="27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全部或超额完成批复文件或项目合同书规定要求，得分为5分。</w:t>
            </w:r>
          </w:p>
        </w:tc>
        <w:tc>
          <w:tcPr>
            <w:tcW w:w="3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652" w:hRule="atLeast"/>
          <w:jc w:val="center"/>
        </w:trPr>
        <w:tc>
          <w:tcPr>
            <w:tcW w:w="1458"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69"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7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基本完成批复文件或项目合同书规定要求，得分为3-4分。</w:t>
            </w:r>
          </w:p>
        </w:tc>
        <w:tc>
          <w:tcPr>
            <w:tcW w:w="3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由专家进行专业判断打分。</w:t>
            </w:r>
          </w:p>
        </w:tc>
      </w:tr>
      <w:tr>
        <w:tblPrEx>
          <w:tblCellMar>
            <w:top w:w="0" w:type="dxa"/>
            <w:left w:w="108" w:type="dxa"/>
            <w:bottom w:w="0" w:type="dxa"/>
            <w:right w:w="108" w:type="dxa"/>
          </w:tblCellMar>
        </w:tblPrEx>
        <w:trPr>
          <w:trHeight w:val="652" w:hRule="atLeast"/>
          <w:jc w:val="center"/>
        </w:trPr>
        <w:tc>
          <w:tcPr>
            <w:tcW w:w="1458"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69"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7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没有完成批复文件或项目合同书规定要求，得分为0-2分。</w:t>
            </w:r>
          </w:p>
        </w:tc>
        <w:tc>
          <w:tcPr>
            <w:tcW w:w="3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由专家进行专业判断打分。</w:t>
            </w:r>
          </w:p>
        </w:tc>
      </w:tr>
      <w:tr>
        <w:tblPrEx>
          <w:tblCellMar>
            <w:top w:w="0" w:type="dxa"/>
            <w:left w:w="108" w:type="dxa"/>
            <w:bottom w:w="0" w:type="dxa"/>
            <w:right w:w="108" w:type="dxa"/>
          </w:tblCellMar>
        </w:tblPrEx>
        <w:trPr>
          <w:trHeight w:val="1400" w:hRule="atLeast"/>
          <w:jc w:val="center"/>
        </w:trPr>
        <w:tc>
          <w:tcPr>
            <w:tcW w:w="1458" w:type="dxa"/>
            <w:vMerge w:val="continue"/>
            <w:tcBorders>
              <w:left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p>
        </w:tc>
        <w:tc>
          <w:tcPr>
            <w:tcW w:w="1369" w:type="dxa"/>
            <w:vMerge w:val="restart"/>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知识产权取得、标准制定情况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（5分）</w:t>
            </w:r>
          </w:p>
        </w:tc>
        <w:tc>
          <w:tcPr>
            <w:tcW w:w="27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全部或超额完成批复文件或项目合同书规定要求（实际取得专利和制定标准数量</w:t>
            </w:r>
            <w:r>
              <w:rPr>
                <w:rFonts w:hint="eastAsia" w:cs="Arial"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计划取得专利和制定标准数量≥100%），得分为5分。</w:t>
            </w:r>
          </w:p>
        </w:tc>
        <w:tc>
          <w:tcPr>
            <w:tcW w:w="3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1386" w:hRule="atLeast"/>
          <w:jc w:val="center"/>
        </w:trPr>
        <w:tc>
          <w:tcPr>
            <w:tcW w:w="1458"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69"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7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基本完成批复文件或项目合同书规定要求（实际取得专利和制定标准数量</w:t>
            </w:r>
            <w:r>
              <w:rPr>
                <w:rFonts w:hint="eastAsia" w:cs="Arial"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计划取得专利和制定标准数量≥80%），得分为3-4分。</w:t>
            </w:r>
          </w:p>
        </w:tc>
        <w:tc>
          <w:tcPr>
            <w:tcW w:w="3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90%≤比例＜100%，得4分；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80%≤比例＜90%，得3分。</w:t>
            </w:r>
          </w:p>
        </w:tc>
      </w:tr>
      <w:tr>
        <w:tblPrEx>
          <w:tblCellMar>
            <w:top w:w="0" w:type="dxa"/>
            <w:left w:w="108" w:type="dxa"/>
            <w:bottom w:w="0" w:type="dxa"/>
            <w:right w:w="108" w:type="dxa"/>
          </w:tblCellMar>
        </w:tblPrEx>
        <w:trPr>
          <w:trHeight w:val="1358" w:hRule="atLeast"/>
          <w:jc w:val="center"/>
        </w:trPr>
        <w:tc>
          <w:tcPr>
            <w:tcW w:w="145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69"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7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没有完成批复文件或项目合同书规定要求（实际取得专利和制定标准数量</w:t>
            </w:r>
            <w:r>
              <w:rPr>
                <w:rFonts w:hint="eastAsia" w:cs="Arial"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计划取得专利和制定标准数量&lt;80%），得分为0-2分。</w:t>
            </w:r>
          </w:p>
        </w:tc>
        <w:tc>
          <w:tcPr>
            <w:tcW w:w="3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60%≤比例＜80%，得2分；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30%≤比例＜60%，得1分；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③ 比例＜30%，得0分。</w:t>
            </w:r>
          </w:p>
        </w:tc>
      </w:tr>
      <w:tr>
        <w:tblPrEx>
          <w:tblCellMar>
            <w:top w:w="0" w:type="dxa"/>
            <w:left w:w="108" w:type="dxa"/>
            <w:bottom w:w="0" w:type="dxa"/>
            <w:right w:w="108" w:type="dxa"/>
          </w:tblCellMar>
        </w:tblPrEx>
        <w:trPr>
          <w:trHeight w:val="1541" w:hRule="atLeast"/>
          <w:jc w:val="center"/>
        </w:trPr>
        <w:tc>
          <w:tcPr>
            <w:tcW w:w="1458"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成果产出情况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（30分）</w:t>
            </w:r>
          </w:p>
        </w:tc>
        <w:tc>
          <w:tcPr>
            <w:tcW w:w="1369" w:type="dxa"/>
            <w:vMerge w:val="restart"/>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人才培养、论文发表情况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（5分）</w:t>
            </w:r>
          </w:p>
        </w:tc>
        <w:tc>
          <w:tcPr>
            <w:tcW w:w="27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全部或超额完成批复文件或项目合同书规定要求（实际培养人才和发表论文数量</w:t>
            </w:r>
            <w:r>
              <w:rPr>
                <w:rFonts w:hint="eastAsia" w:cs="Arial"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计划培养人才和发表论文数量≥100%），得分为5分。</w:t>
            </w:r>
          </w:p>
        </w:tc>
        <w:tc>
          <w:tcPr>
            <w:tcW w:w="3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1567" w:hRule="atLeast"/>
          <w:jc w:val="center"/>
        </w:trPr>
        <w:tc>
          <w:tcPr>
            <w:tcW w:w="1458"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69"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7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基本完成批复文件或项目合同书规定要求（实际培养人才和发表论文数量</w:t>
            </w:r>
            <w:r>
              <w:rPr>
                <w:rFonts w:hint="eastAsia" w:cs="Arial"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计划培养人才和发表论文数量≥80%），得分为3-4分。</w:t>
            </w:r>
          </w:p>
        </w:tc>
        <w:tc>
          <w:tcPr>
            <w:tcW w:w="3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90%≤比例＜100%，得4分；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80%≤比例＜90%，得3分。</w:t>
            </w:r>
          </w:p>
        </w:tc>
      </w:tr>
      <w:tr>
        <w:tblPrEx>
          <w:tblCellMar>
            <w:top w:w="0" w:type="dxa"/>
            <w:left w:w="108" w:type="dxa"/>
            <w:bottom w:w="0" w:type="dxa"/>
            <w:right w:w="108" w:type="dxa"/>
          </w:tblCellMar>
        </w:tblPrEx>
        <w:trPr>
          <w:trHeight w:val="1498" w:hRule="atLeast"/>
          <w:jc w:val="center"/>
        </w:trPr>
        <w:tc>
          <w:tcPr>
            <w:tcW w:w="145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69"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7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没有完成批复文件或项目合同书规定要求（实际培养人才和发表论文数量</w:t>
            </w:r>
            <w:r>
              <w:rPr>
                <w:rFonts w:hint="eastAsia" w:cs="Arial"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计划培养人才和发表论文数量&lt;80%），得分为0-2分。</w:t>
            </w:r>
          </w:p>
        </w:tc>
        <w:tc>
          <w:tcPr>
            <w:tcW w:w="3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 xml:space="preserve">① 60%≤比例＜80%，得2分； </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30%≤比例＜60%，得1分；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③ 比例＜30%，得0分。</w:t>
            </w:r>
          </w:p>
        </w:tc>
      </w:tr>
      <w:tr>
        <w:tblPrEx>
          <w:tblCellMar>
            <w:top w:w="0" w:type="dxa"/>
            <w:left w:w="108" w:type="dxa"/>
            <w:bottom w:w="0" w:type="dxa"/>
            <w:right w:w="108" w:type="dxa"/>
          </w:tblCellMar>
        </w:tblPrEx>
        <w:trPr>
          <w:trHeight w:val="482" w:hRule="atLeast"/>
          <w:jc w:val="center"/>
        </w:trPr>
        <w:tc>
          <w:tcPr>
            <w:tcW w:w="145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工程化成果辐射扩散与中心运行管理情况</w:t>
            </w:r>
          </w:p>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（15分）</w:t>
            </w:r>
          </w:p>
        </w:tc>
        <w:tc>
          <w:tcPr>
            <w:tcW w:w="1369" w:type="dxa"/>
            <w:vMerge w:val="restart"/>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成果转化与技术转移情况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（10分）</w:t>
            </w:r>
          </w:p>
        </w:tc>
        <w:tc>
          <w:tcPr>
            <w:tcW w:w="27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效果和作用明显，得分为10分。</w:t>
            </w:r>
          </w:p>
        </w:tc>
        <w:tc>
          <w:tcPr>
            <w:tcW w:w="3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由专家进行专业判断打分。</w:t>
            </w:r>
          </w:p>
        </w:tc>
      </w:tr>
      <w:tr>
        <w:tblPrEx>
          <w:tblCellMar>
            <w:top w:w="0" w:type="dxa"/>
            <w:left w:w="108" w:type="dxa"/>
            <w:bottom w:w="0" w:type="dxa"/>
            <w:right w:w="108" w:type="dxa"/>
          </w:tblCellMar>
        </w:tblPrEx>
        <w:trPr>
          <w:trHeight w:val="482" w:hRule="atLeast"/>
          <w:jc w:val="center"/>
        </w:trPr>
        <w:tc>
          <w:tcPr>
            <w:tcW w:w="145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69"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kern w:val="0"/>
                <w:sz w:val="20"/>
                <w:szCs w:val="20"/>
              </w:rPr>
            </w:pPr>
          </w:p>
        </w:tc>
        <w:tc>
          <w:tcPr>
            <w:tcW w:w="27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具有一定效果，得分为6—9分。</w:t>
            </w:r>
          </w:p>
        </w:tc>
        <w:tc>
          <w:tcPr>
            <w:tcW w:w="3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由专家进行专业判断打分。</w:t>
            </w:r>
          </w:p>
        </w:tc>
      </w:tr>
      <w:tr>
        <w:tblPrEx>
          <w:tblCellMar>
            <w:top w:w="0" w:type="dxa"/>
            <w:left w:w="108" w:type="dxa"/>
            <w:bottom w:w="0" w:type="dxa"/>
            <w:right w:w="108" w:type="dxa"/>
          </w:tblCellMar>
        </w:tblPrEx>
        <w:trPr>
          <w:trHeight w:val="482" w:hRule="atLeast"/>
          <w:jc w:val="center"/>
        </w:trPr>
        <w:tc>
          <w:tcPr>
            <w:tcW w:w="145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69"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kern w:val="0"/>
                <w:sz w:val="20"/>
                <w:szCs w:val="20"/>
              </w:rPr>
            </w:pPr>
          </w:p>
        </w:tc>
        <w:tc>
          <w:tcPr>
            <w:tcW w:w="27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效果较差，得分为0-5分。</w:t>
            </w:r>
          </w:p>
        </w:tc>
        <w:tc>
          <w:tcPr>
            <w:tcW w:w="3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由专家进行专业判断打分。</w:t>
            </w:r>
          </w:p>
        </w:tc>
      </w:tr>
      <w:tr>
        <w:tblPrEx>
          <w:tblCellMar>
            <w:top w:w="0" w:type="dxa"/>
            <w:left w:w="108" w:type="dxa"/>
            <w:bottom w:w="0" w:type="dxa"/>
            <w:right w:w="108" w:type="dxa"/>
          </w:tblCellMar>
        </w:tblPrEx>
        <w:trPr>
          <w:trHeight w:val="1370" w:hRule="atLeast"/>
          <w:jc w:val="center"/>
        </w:trPr>
        <w:tc>
          <w:tcPr>
            <w:tcW w:w="145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69" w:type="dxa"/>
            <w:vMerge w:val="restart"/>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规章制度建设和执行情况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（5分)</w:t>
            </w:r>
          </w:p>
        </w:tc>
        <w:tc>
          <w:tcPr>
            <w:tcW w:w="27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规章制度健全，内部运行管理状况良好，得分为5分。</w:t>
            </w:r>
          </w:p>
        </w:tc>
        <w:tc>
          <w:tcPr>
            <w:tcW w:w="3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制定明确的中心/实验室组织架构及成员职责、关键共性技术研发流程规范、仪器设备管理等规章制度；</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实际运行管理时依照规章制度执行。</w:t>
            </w:r>
          </w:p>
        </w:tc>
      </w:tr>
      <w:tr>
        <w:tblPrEx>
          <w:tblCellMar>
            <w:top w:w="0" w:type="dxa"/>
            <w:left w:w="108" w:type="dxa"/>
            <w:bottom w:w="0" w:type="dxa"/>
            <w:right w:w="108" w:type="dxa"/>
          </w:tblCellMar>
        </w:tblPrEx>
        <w:trPr>
          <w:trHeight w:val="1512" w:hRule="atLeast"/>
          <w:jc w:val="center"/>
        </w:trPr>
        <w:tc>
          <w:tcPr>
            <w:tcW w:w="145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69"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7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规章制度基本健全，内部运行管理状况较好，得分为3-4分。</w:t>
            </w:r>
          </w:p>
        </w:tc>
        <w:tc>
          <w:tcPr>
            <w:tcW w:w="3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制定了中心/实验室组织架构及成员职责、 关键共性技术研发流程或仪器设备管理等规章制度；</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实际运行管理时基本依照规章制度执行。</w:t>
            </w:r>
          </w:p>
        </w:tc>
      </w:tr>
      <w:tr>
        <w:tblPrEx>
          <w:tblCellMar>
            <w:top w:w="0" w:type="dxa"/>
            <w:left w:w="108" w:type="dxa"/>
            <w:bottom w:w="0" w:type="dxa"/>
            <w:right w:w="108" w:type="dxa"/>
          </w:tblCellMar>
        </w:tblPrEx>
        <w:trPr>
          <w:trHeight w:val="1523" w:hRule="atLeast"/>
          <w:jc w:val="center"/>
        </w:trPr>
        <w:tc>
          <w:tcPr>
            <w:tcW w:w="145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69"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7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规章制度不完善，内部运行管理状况较差，得分为0-2分。</w:t>
            </w:r>
          </w:p>
        </w:tc>
        <w:tc>
          <w:tcPr>
            <w:tcW w:w="3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未制定平台组织架构及成员职责，或关键共性技术研发流程、仪器设备管理等规章制度；或制定上述规章制度但实际运行管理时未完全依照规章制度执行。</w:t>
            </w:r>
          </w:p>
        </w:tc>
      </w:tr>
      <w:tr>
        <w:tblPrEx>
          <w:tblCellMar>
            <w:top w:w="0" w:type="dxa"/>
            <w:left w:w="108" w:type="dxa"/>
            <w:bottom w:w="0" w:type="dxa"/>
            <w:right w:w="108" w:type="dxa"/>
          </w:tblCellMar>
        </w:tblPrEx>
        <w:trPr>
          <w:trHeight w:val="2536" w:hRule="atLeast"/>
          <w:jc w:val="center"/>
        </w:trPr>
        <w:tc>
          <w:tcPr>
            <w:tcW w:w="145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专项资金管理使用情况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（15分）</w:t>
            </w:r>
          </w:p>
        </w:tc>
        <w:tc>
          <w:tcPr>
            <w:tcW w:w="13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项目专项资金使用情况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（10分）</w:t>
            </w:r>
          </w:p>
        </w:tc>
        <w:tc>
          <w:tcPr>
            <w:tcW w:w="2799"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按批复文件或项目合同书执行，得分为10分。</w:t>
            </w:r>
          </w:p>
        </w:tc>
        <w:tc>
          <w:tcPr>
            <w:tcW w:w="3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批复专项资金全部用于软硬件设备购置：专项资金被全部用于购置批复清单内的设备，得10分；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批复专项资金用于软硬件设备购置和研发费用：批复资助设备购置资金全部被用于购置批复清单范围内的设备，且实际用于研发费用总金额小于计划用于研发费用总金额，得10分。</w:t>
            </w:r>
          </w:p>
        </w:tc>
      </w:tr>
      <w:tr>
        <w:tblPrEx>
          <w:tblCellMar>
            <w:top w:w="0" w:type="dxa"/>
            <w:left w:w="108" w:type="dxa"/>
            <w:bottom w:w="0" w:type="dxa"/>
            <w:right w:w="108" w:type="dxa"/>
          </w:tblCellMar>
        </w:tblPrEx>
        <w:trPr>
          <w:trHeight w:val="10904" w:hRule="atLeast"/>
          <w:jc w:val="center"/>
        </w:trPr>
        <w:tc>
          <w:tcPr>
            <w:tcW w:w="1458"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专项资金管理使用情况</w:t>
            </w:r>
          </w:p>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（15分）</w:t>
            </w:r>
          </w:p>
        </w:tc>
        <w:tc>
          <w:tcPr>
            <w:tcW w:w="1369"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项目专项资金使用情况</w:t>
            </w:r>
          </w:p>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（10分）</w:t>
            </w:r>
          </w:p>
        </w:tc>
        <w:tc>
          <w:tcPr>
            <w:tcW w:w="2799"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基本按批复文件或项目合同书执行，得分为0－9分。</w:t>
            </w:r>
          </w:p>
        </w:tc>
        <w:tc>
          <w:tcPr>
            <w:tcW w:w="3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spacing w:line="280" w:lineRule="exact"/>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批复专项资金全部用于软硬件设备购置：</w:t>
            </w:r>
          </w:p>
          <w:p>
            <w:pPr>
              <w:overflowPunct w:val="0"/>
              <w:adjustRightInd w:val="0"/>
              <w:snapToGrid w:val="0"/>
              <w:spacing w:line="280" w:lineRule="exact"/>
              <w:ind w:left="42" w:leftChars="20" w:right="42" w:rightChars="20" w:firstLine="200" w:firstLineChars="10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1).90%≤实际使用专项资金购买批复清单内设备的金额占专项资金总额＜100%，得7-9分；</w:t>
            </w:r>
          </w:p>
          <w:p>
            <w:pPr>
              <w:overflowPunct w:val="0"/>
              <w:adjustRightInd w:val="0"/>
              <w:snapToGrid w:val="0"/>
              <w:spacing w:line="280" w:lineRule="exact"/>
              <w:ind w:left="42" w:leftChars="20" w:right="42" w:rightChars="20" w:firstLine="200" w:firstLineChars="10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2).80%≤实际使用专项资金购买批复清单内设备的金额占专项资金总额＜90%，得5-6分；</w:t>
            </w:r>
          </w:p>
          <w:p>
            <w:pPr>
              <w:overflowPunct w:val="0"/>
              <w:adjustRightInd w:val="0"/>
              <w:snapToGrid w:val="0"/>
              <w:spacing w:line="280" w:lineRule="exact"/>
              <w:ind w:left="42" w:leftChars="20" w:right="42" w:rightChars="20" w:firstLine="200" w:firstLineChars="10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3).70%≤实际使用专项资金购买批复清单内设备的金额占专项资金总额＜80%，得3-4分；</w:t>
            </w:r>
          </w:p>
          <w:p>
            <w:pPr>
              <w:overflowPunct w:val="0"/>
              <w:adjustRightInd w:val="0"/>
              <w:snapToGrid w:val="0"/>
              <w:spacing w:line="280" w:lineRule="exact"/>
              <w:ind w:left="42" w:leftChars="20" w:right="42" w:rightChars="20" w:firstLine="200" w:firstLineChars="10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4).60%≤实际使用专项资金购买批复清单内设备的金额占专项资金总额＜70%，得1-2分；</w:t>
            </w:r>
          </w:p>
          <w:p>
            <w:pPr>
              <w:overflowPunct w:val="0"/>
              <w:adjustRightInd w:val="0"/>
              <w:snapToGrid w:val="0"/>
              <w:spacing w:line="280" w:lineRule="exact"/>
              <w:ind w:left="42" w:leftChars="20" w:right="42" w:rightChars="20" w:firstLine="200" w:firstLineChars="10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5).实际使用专项资金购买批复清单内设备的金额占专项资金总额＜60%，得0分。</w:t>
            </w:r>
          </w:p>
          <w:p>
            <w:pPr>
              <w:overflowPunct w:val="0"/>
              <w:adjustRightInd w:val="0"/>
              <w:snapToGrid w:val="0"/>
              <w:spacing w:line="280" w:lineRule="exact"/>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批复专项资金用于软硬件设备购置与研发费用：</w:t>
            </w:r>
          </w:p>
          <w:p>
            <w:pPr>
              <w:overflowPunct w:val="0"/>
              <w:adjustRightInd w:val="0"/>
              <w:snapToGrid w:val="0"/>
              <w:spacing w:line="280" w:lineRule="exact"/>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实际用于研发费用总金额小于计划用于研发费用总金额，且实际用于研发费用的各分项费用未超过批复清单中参考金额上限，若：</w:t>
            </w:r>
          </w:p>
          <w:p>
            <w:pPr>
              <w:numPr>
                <w:ilvl w:val="0"/>
                <w:numId w:val="1"/>
              </w:numPr>
              <w:overflowPunct w:val="0"/>
              <w:adjustRightInd w:val="0"/>
              <w:snapToGrid w:val="0"/>
              <w:spacing w:line="280" w:lineRule="exact"/>
              <w:ind w:left="0" w:right="42" w:rightChars="20" w:firstLine="200" w:firstLineChars="10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90%≤实际使用专项资金购买批复清单内设备的金额占批复资助设备购置总金额＜100%，得7-9分；</w:t>
            </w:r>
          </w:p>
          <w:p>
            <w:pPr>
              <w:numPr>
                <w:ilvl w:val="0"/>
                <w:numId w:val="1"/>
              </w:numPr>
              <w:overflowPunct w:val="0"/>
              <w:adjustRightInd w:val="0"/>
              <w:snapToGrid w:val="0"/>
              <w:spacing w:line="280" w:lineRule="exact"/>
              <w:ind w:left="0" w:right="42" w:rightChars="20" w:firstLine="200" w:firstLineChars="10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.80%≤实际使用专项资金购买批复清单内设备的金额占批复资助设备购置总金额＜90%，得5-6分；</w:t>
            </w:r>
          </w:p>
          <w:p>
            <w:pPr>
              <w:numPr>
                <w:ilvl w:val="0"/>
                <w:numId w:val="1"/>
              </w:numPr>
              <w:overflowPunct w:val="0"/>
              <w:adjustRightInd w:val="0"/>
              <w:snapToGrid w:val="0"/>
              <w:spacing w:line="280" w:lineRule="exact"/>
              <w:ind w:left="0" w:right="42" w:rightChars="20" w:firstLine="200" w:firstLineChars="10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.70%≤实际使用专项资金购买批复清单内设备的金额占批复资助设备购置总金额＜80%，得3-4分；</w:t>
            </w:r>
          </w:p>
          <w:p>
            <w:pPr>
              <w:numPr>
                <w:ilvl w:val="0"/>
                <w:numId w:val="1"/>
              </w:numPr>
              <w:overflowPunct w:val="0"/>
              <w:adjustRightInd w:val="0"/>
              <w:snapToGrid w:val="0"/>
              <w:spacing w:line="280" w:lineRule="exact"/>
              <w:ind w:left="0" w:right="42" w:rightChars="20" w:firstLine="200" w:firstLineChars="10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.60%≤实际使用专项资金购买批复清单内设备的金额占批复资助设备购置总金额＜70%，得1-2分；</w:t>
            </w:r>
          </w:p>
          <w:p>
            <w:pPr>
              <w:numPr>
                <w:ilvl w:val="0"/>
                <w:numId w:val="1"/>
              </w:numPr>
              <w:overflowPunct w:val="0"/>
              <w:adjustRightInd w:val="0"/>
              <w:snapToGrid w:val="0"/>
              <w:spacing w:line="280" w:lineRule="exact"/>
              <w:ind w:left="0" w:right="42" w:rightChars="20" w:firstLine="200" w:firstLineChars="10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.实际使用专项资金购买批复清单内设备的金额占批复资助设备购置总金额＜60%，得0分。</w:t>
            </w:r>
          </w:p>
        </w:tc>
      </w:tr>
      <w:tr>
        <w:tblPrEx>
          <w:tblCellMar>
            <w:top w:w="0" w:type="dxa"/>
            <w:left w:w="108" w:type="dxa"/>
            <w:bottom w:w="0" w:type="dxa"/>
            <w:right w:w="108" w:type="dxa"/>
          </w:tblCellMar>
        </w:tblPrEx>
        <w:trPr>
          <w:trHeight w:val="2225" w:hRule="atLeast"/>
          <w:jc w:val="center"/>
        </w:trPr>
        <w:tc>
          <w:tcPr>
            <w:tcW w:w="145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69"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p>
        </w:tc>
        <w:tc>
          <w:tcPr>
            <w:tcW w:w="2799"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没有按批复文件或项目合同书执行，且未按规定程序申请调整或申请未获批复的，不予安排验收。</w:t>
            </w:r>
          </w:p>
        </w:tc>
        <w:tc>
          <w:tcPr>
            <w:tcW w:w="3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资助资金用于研发费用支出金额相较批复文件或项目合同书有所增加，且增加金额超过资助总金额20%，又未按规定程序申请调整或申请未获批复；</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超过批复资助设备购置总金额的40%被用于购置批复清单范围以外的设备，且未按规定程序申请调整或申请未获批复。</w:t>
            </w:r>
          </w:p>
        </w:tc>
      </w:tr>
      <w:tr>
        <w:tblPrEx>
          <w:tblCellMar>
            <w:top w:w="0" w:type="dxa"/>
            <w:left w:w="108" w:type="dxa"/>
            <w:bottom w:w="0" w:type="dxa"/>
            <w:right w:w="108" w:type="dxa"/>
          </w:tblCellMar>
        </w:tblPrEx>
        <w:trPr>
          <w:trHeight w:val="1219" w:hRule="atLeast"/>
          <w:jc w:val="center"/>
        </w:trPr>
        <w:tc>
          <w:tcPr>
            <w:tcW w:w="1458"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专项资金管理使用情况</w:t>
            </w:r>
          </w:p>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（15分）</w:t>
            </w:r>
          </w:p>
        </w:tc>
        <w:tc>
          <w:tcPr>
            <w:tcW w:w="136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财务管理情况（2分）</w:t>
            </w:r>
          </w:p>
        </w:tc>
        <w:tc>
          <w:tcPr>
            <w:tcW w:w="2799"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制定了完善的政府专项资金管理相关配套制度，得分为2分。</w:t>
            </w:r>
          </w:p>
        </w:tc>
        <w:tc>
          <w:tcPr>
            <w:tcW w:w="3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制定明确的中心/实验室专项资金管理办法及招投标管理办法、核心支出费用管理办法等相关配套制度。</w:t>
            </w:r>
          </w:p>
        </w:tc>
      </w:tr>
      <w:tr>
        <w:tblPrEx>
          <w:tblCellMar>
            <w:top w:w="0" w:type="dxa"/>
            <w:left w:w="108" w:type="dxa"/>
            <w:bottom w:w="0" w:type="dxa"/>
            <w:right w:w="108" w:type="dxa"/>
          </w:tblCellMar>
        </w:tblPrEx>
        <w:trPr>
          <w:trHeight w:val="1219" w:hRule="atLeast"/>
          <w:jc w:val="center"/>
        </w:trPr>
        <w:tc>
          <w:tcPr>
            <w:tcW w:w="1458"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6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kern w:val="0"/>
                <w:sz w:val="20"/>
                <w:szCs w:val="20"/>
              </w:rPr>
            </w:pPr>
          </w:p>
        </w:tc>
        <w:tc>
          <w:tcPr>
            <w:tcW w:w="2799"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制定了较为完善的政府专项资金管理相关配套制度，得分为1分。</w:t>
            </w:r>
          </w:p>
        </w:tc>
        <w:tc>
          <w:tcPr>
            <w:tcW w:w="3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制定中心/实验室专项资金管理办法及招投标管理办法或核心支出费用管理办法等相关配套制度。</w:t>
            </w:r>
          </w:p>
        </w:tc>
      </w:tr>
      <w:tr>
        <w:tblPrEx>
          <w:tblCellMar>
            <w:top w:w="0" w:type="dxa"/>
            <w:left w:w="108" w:type="dxa"/>
            <w:bottom w:w="0" w:type="dxa"/>
            <w:right w:w="108" w:type="dxa"/>
          </w:tblCellMar>
        </w:tblPrEx>
        <w:trPr>
          <w:trHeight w:val="1219" w:hRule="atLeast"/>
          <w:jc w:val="center"/>
        </w:trPr>
        <w:tc>
          <w:tcPr>
            <w:tcW w:w="1458"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6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kern w:val="0"/>
                <w:sz w:val="20"/>
                <w:szCs w:val="20"/>
              </w:rPr>
            </w:pPr>
          </w:p>
        </w:tc>
        <w:tc>
          <w:tcPr>
            <w:tcW w:w="2799"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未制定政府专项资金管理相关配套制度，得分为0分。</w:t>
            </w:r>
          </w:p>
        </w:tc>
        <w:tc>
          <w:tcPr>
            <w:tcW w:w="3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未制定中心/实验室专项资金管理办法， 或招投标管理办法，或核心支出费用管理办法等相关配套制度。</w:t>
            </w:r>
          </w:p>
        </w:tc>
      </w:tr>
      <w:tr>
        <w:tblPrEx>
          <w:tblCellMar>
            <w:top w:w="0" w:type="dxa"/>
            <w:left w:w="108" w:type="dxa"/>
            <w:bottom w:w="0" w:type="dxa"/>
            <w:right w:w="108" w:type="dxa"/>
          </w:tblCellMar>
        </w:tblPrEx>
        <w:trPr>
          <w:trHeight w:val="1219" w:hRule="atLeast"/>
          <w:jc w:val="center"/>
        </w:trPr>
        <w:tc>
          <w:tcPr>
            <w:tcW w:w="1458"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6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项目专项资金会计核算情况（3分)</w:t>
            </w:r>
          </w:p>
        </w:tc>
        <w:tc>
          <w:tcPr>
            <w:tcW w:w="2799"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单独核算，核算内容真实、准确、完整，审批程序和手续完备，得分为3分。</w:t>
            </w:r>
          </w:p>
        </w:tc>
        <w:tc>
          <w:tcPr>
            <w:tcW w:w="3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由专家进行专业判断打分。</w:t>
            </w:r>
          </w:p>
        </w:tc>
      </w:tr>
      <w:tr>
        <w:tblPrEx>
          <w:tblCellMar>
            <w:top w:w="0" w:type="dxa"/>
            <w:left w:w="108" w:type="dxa"/>
            <w:bottom w:w="0" w:type="dxa"/>
            <w:right w:w="108" w:type="dxa"/>
          </w:tblCellMar>
        </w:tblPrEx>
        <w:trPr>
          <w:trHeight w:val="1219" w:hRule="atLeast"/>
          <w:jc w:val="center"/>
        </w:trPr>
        <w:tc>
          <w:tcPr>
            <w:tcW w:w="1458"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6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799"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单独核算，核算内容基本真实、准确、完整，审批程序和手续基本完善，得分为1－2分。</w:t>
            </w:r>
          </w:p>
        </w:tc>
        <w:tc>
          <w:tcPr>
            <w:tcW w:w="3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由专家进行专业判断打分。</w:t>
            </w:r>
          </w:p>
        </w:tc>
      </w:tr>
      <w:tr>
        <w:tblPrEx>
          <w:tblCellMar>
            <w:top w:w="0" w:type="dxa"/>
            <w:left w:w="108" w:type="dxa"/>
            <w:bottom w:w="0" w:type="dxa"/>
            <w:right w:w="108" w:type="dxa"/>
          </w:tblCellMar>
        </w:tblPrEx>
        <w:trPr>
          <w:trHeight w:val="567" w:hRule="atLeast"/>
          <w:jc w:val="center"/>
        </w:trPr>
        <w:tc>
          <w:tcPr>
            <w:tcW w:w="145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6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799"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未单独核算的，不予安排验收。</w:t>
            </w:r>
          </w:p>
        </w:tc>
        <w:tc>
          <w:tcPr>
            <w:tcW w:w="3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961" w:hRule="atLeast"/>
          <w:jc w:val="center"/>
        </w:trPr>
        <w:tc>
          <w:tcPr>
            <w:tcW w:w="1458"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项目组织管理情况</w:t>
            </w:r>
          </w:p>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（10分）</w:t>
            </w:r>
          </w:p>
        </w:tc>
        <w:tc>
          <w:tcPr>
            <w:tcW w:w="1369" w:type="dxa"/>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专项资金购买设备情况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（5分）</w:t>
            </w:r>
          </w:p>
        </w:tc>
        <w:tc>
          <w:tcPr>
            <w:tcW w:w="27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全部设备购置按公开招标方式执行，得分为5分。</w:t>
            </w:r>
          </w:p>
        </w:tc>
        <w:tc>
          <w:tcPr>
            <w:tcW w:w="3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实际购置批复清单内的设备全部采取公开招标进行购置。</w:t>
            </w:r>
          </w:p>
        </w:tc>
      </w:tr>
      <w:tr>
        <w:tblPrEx>
          <w:tblCellMar>
            <w:top w:w="0" w:type="dxa"/>
            <w:left w:w="108" w:type="dxa"/>
            <w:bottom w:w="0" w:type="dxa"/>
            <w:right w:w="108" w:type="dxa"/>
          </w:tblCellMar>
        </w:tblPrEx>
        <w:trPr>
          <w:trHeight w:val="4040" w:hRule="atLeast"/>
          <w:jc w:val="center"/>
        </w:trPr>
        <w:tc>
          <w:tcPr>
            <w:tcW w:w="1458" w:type="dxa"/>
            <w:vMerge w:val="continue"/>
            <w:tcBorders>
              <w:left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69"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7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部分设备购置按公开招标方式执行，得分为1-4分。</w:t>
            </w:r>
          </w:p>
        </w:tc>
        <w:tc>
          <w:tcPr>
            <w:tcW w:w="3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75%≤公开招标购置专项设备总金额÷实际购置专项设备总金额＜100%，得4分；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50%≤公开招标购置专项设备总金额÷实际购置专项设备总金额＜75%，得3分；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③ 25%≤公开招标购置专项设备总金额÷实际购置专项设备总金额＜50%，得2分；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④ 0%＜公开招标购置专项设备总金额÷实际购置专项设备总金额＜25%，得1分。</w:t>
            </w:r>
          </w:p>
        </w:tc>
      </w:tr>
      <w:tr>
        <w:tblPrEx>
          <w:tblCellMar>
            <w:top w:w="0" w:type="dxa"/>
            <w:left w:w="108" w:type="dxa"/>
            <w:bottom w:w="0" w:type="dxa"/>
            <w:right w:w="108" w:type="dxa"/>
          </w:tblCellMar>
        </w:tblPrEx>
        <w:trPr>
          <w:trHeight w:val="1200" w:hRule="atLeast"/>
          <w:jc w:val="center"/>
        </w:trPr>
        <w:tc>
          <w:tcPr>
            <w:tcW w:w="1458"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69"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7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全部设备购置未按公开招标方式执行，得分为0分。</w:t>
            </w:r>
          </w:p>
        </w:tc>
        <w:tc>
          <w:tcPr>
            <w:tcW w:w="3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1404" w:hRule="atLeast"/>
          <w:jc w:val="center"/>
        </w:trPr>
        <w:tc>
          <w:tcPr>
            <w:tcW w:w="1458"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项目组织管理情况</w:t>
            </w:r>
          </w:p>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（10分）</w:t>
            </w:r>
          </w:p>
        </w:tc>
        <w:tc>
          <w:tcPr>
            <w:tcW w:w="136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定期报告项目实施进展情况（5分）</w:t>
            </w:r>
          </w:p>
        </w:tc>
        <w:tc>
          <w:tcPr>
            <w:tcW w:w="27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按时提交项目实施进展，满分5分，1次未按时提交扣0.5分，最多扣5分。</w:t>
            </w:r>
          </w:p>
        </w:tc>
        <w:tc>
          <w:tcPr>
            <w:tcW w:w="3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以市发展改革委项目验收管理系统的报告数据为依据。</w:t>
            </w:r>
          </w:p>
        </w:tc>
      </w:tr>
      <w:tr>
        <w:tblPrEx>
          <w:tblCellMar>
            <w:top w:w="0" w:type="dxa"/>
            <w:left w:w="108" w:type="dxa"/>
            <w:bottom w:w="0" w:type="dxa"/>
            <w:right w:w="108" w:type="dxa"/>
          </w:tblCellMar>
        </w:tblPrEx>
        <w:trPr>
          <w:trHeight w:val="3969" w:hRule="atLeast"/>
          <w:jc w:val="center"/>
        </w:trPr>
        <w:tc>
          <w:tcPr>
            <w:tcW w:w="917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p>
          <w:p>
            <w:pPr>
              <w:widowControl/>
              <w:overflowPunct w:val="0"/>
              <w:adjustRightInd w:val="0"/>
              <w:snapToGrid w:val="0"/>
              <w:ind w:left="42" w:leftChars="20" w:right="42" w:rightChars="20"/>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专家意见（可另附页，验收总体意见以及分别对投资、建设内容、绩效目标、专项资金使用等完成情况作出具体评价）：</w:t>
            </w:r>
          </w:p>
        </w:tc>
      </w:tr>
    </w:tbl>
    <w:p>
      <w:pPr>
        <w:sectPr>
          <w:pgSz w:w="11906" w:h="16838"/>
          <w:pgMar w:top="1440" w:right="1800" w:bottom="1440" w:left="1800" w:header="851" w:footer="737" w:gutter="0"/>
          <w:cols w:space="425" w:num="1"/>
          <w:docGrid w:type="lines" w:linePitch="312" w:charSpace="0"/>
        </w:sectPr>
      </w:pPr>
    </w:p>
    <w:p>
      <w:pPr>
        <w:spacing w:line="500" w:lineRule="exact"/>
        <w:rPr>
          <w:rFonts w:ascii="仿宋_GB2312" w:hAnsi="Times New Roman" w:eastAsia="仿宋_GB2312"/>
          <w:b/>
          <w:color w:val="000000"/>
          <w:sz w:val="32"/>
          <w:szCs w:val="32"/>
        </w:rPr>
      </w:pPr>
      <w:r>
        <w:rPr>
          <w:rFonts w:hint="eastAsia" w:ascii="仿宋_GB2312" w:hAnsi="Times New Roman" w:eastAsia="仿宋_GB2312"/>
          <w:b/>
          <w:color w:val="000000"/>
          <w:sz w:val="32"/>
          <w:szCs w:val="32"/>
        </w:rPr>
        <w:t>附件2</w:t>
      </w:r>
    </w:p>
    <w:p>
      <w:pPr>
        <w:spacing w:line="500" w:lineRule="exact"/>
        <w:rPr>
          <w:rFonts w:ascii="仿宋_GB2312" w:hAnsi="Times New Roman" w:eastAsia="仿宋_GB2312"/>
          <w:b/>
          <w:color w:val="000000"/>
          <w:sz w:val="32"/>
          <w:szCs w:val="32"/>
        </w:rPr>
      </w:pPr>
    </w:p>
    <w:p>
      <w:pPr>
        <w:widowControl/>
        <w:snapToGrid w:val="0"/>
        <w:spacing w:line="500" w:lineRule="exact"/>
        <w:jc w:val="center"/>
        <w:rPr>
          <w:rFonts w:ascii="宋体" w:hAnsi="宋体" w:cs="宋体"/>
          <w:b/>
          <w:bCs/>
          <w:kern w:val="0"/>
          <w:sz w:val="38"/>
          <w:szCs w:val="38"/>
        </w:rPr>
      </w:pPr>
      <w:r>
        <w:rPr>
          <w:rFonts w:hint="eastAsia" w:ascii="宋体" w:hAnsi="宋体" w:cs="宋体"/>
          <w:b/>
          <w:sz w:val="38"/>
          <w:szCs w:val="38"/>
        </w:rPr>
        <w:t>市级产业技术公共服务平台</w:t>
      </w:r>
      <w:r>
        <w:rPr>
          <w:rFonts w:hint="eastAsia" w:ascii="宋体" w:hAnsi="宋体" w:cs="宋体"/>
          <w:b/>
          <w:bCs/>
          <w:kern w:val="0"/>
          <w:sz w:val="38"/>
          <w:szCs w:val="38"/>
        </w:rPr>
        <w:t>类别项目验收</w:t>
      </w:r>
      <w:r>
        <w:rPr>
          <w:rFonts w:ascii="宋体" w:hAnsi="宋体" w:cs="宋体"/>
          <w:b/>
          <w:bCs/>
          <w:kern w:val="0"/>
          <w:sz w:val="38"/>
          <w:szCs w:val="38"/>
        </w:rPr>
        <w:br w:type="textWrapping"/>
      </w:r>
      <w:r>
        <w:rPr>
          <w:rFonts w:hint="eastAsia" w:ascii="宋体" w:hAnsi="宋体" w:cs="宋体"/>
          <w:b/>
          <w:bCs/>
          <w:kern w:val="0"/>
          <w:sz w:val="38"/>
          <w:szCs w:val="38"/>
        </w:rPr>
        <w:t>专家综合评议打分表</w:t>
      </w:r>
    </w:p>
    <w:p>
      <w:pPr>
        <w:widowControl/>
        <w:snapToGrid w:val="0"/>
        <w:spacing w:line="500" w:lineRule="exact"/>
        <w:jc w:val="center"/>
        <w:rPr>
          <w:rFonts w:ascii="宋体" w:hAnsi="宋体" w:cs="宋体"/>
          <w:kern w:val="0"/>
          <w:sz w:val="38"/>
          <w:szCs w:val="38"/>
        </w:rPr>
      </w:pPr>
    </w:p>
    <w:p>
      <w:pPr>
        <w:widowControl/>
        <w:snapToGrid w:val="0"/>
        <w:spacing w:line="500" w:lineRule="exact"/>
        <w:jc w:val="left"/>
        <w:rPr>
          <w:rFonts w:ascii="仿宋_GB2312" w:hAnsi="仿宋" w:eastAsia="仿宋_GB2312" w:cs="宋体"/>
          <w:kern w:val="0"/>
          <w:sz w:val="30"/>
          <w:szCs w:val="30"/>
        </w:rPr>
      </w:pPr>
      <w:r>
        <w:rPr>
          <w:rFonts w:hint="eastAsia" w:ascii="仿宋_GB2312" w:hAnsi="仿宋" w:eastAsia="仿宋_GB2312" w:cs="宋体"/>
          <w:kern w:val="0"/>
          <w:sz w:val="30"/>
          <w:szCs w:val="30"/>
        </w:rPr>
        <w:t>项目名称：</w:t>
      </w:r>
    </w:p>
    <w:p>
      <w:pPr>
        <w:widowControl/>
        <w:snapToGrid w:val="0"/>
        <w:spacing w:line="500" w:lineRule="exact"/>
        <w:jc w:val="left"/>
        <w:rPr>
          <w:rFonts w:ascii="仿宋_GB2312" w:hAnsi="仿宋" w:eastAsia="仿宋_GB2312" w:cs="宋体"/>
          <w:kern w:val="0"/>
          <w:sz w:val="30"/>
          <w:szCs w:val="30"/>
        </w:rPr>
      </w:pPr>
      <w:r>
        <w:rPr>
          <w:rFonts w:hint="eastAsia" w:ascii="仿宋_GB2312" w:hAnsi="仿宋" w:eastAsia="仿宋_GB2312" w:cs="宋体"/>
          <w:kern w:val="0"/>
          <w:sz w:val="30"/>
          <w:szCs w:val="30"/>
        </w:rPr>
        <w:t>专家签名：</w:t>
      </w:r>
    </w:p>
    <w:p>
      <w:pPr>
        <w:spacing w:after="109" w:afterLines="35" w:line="500" w:lineRule="exact"/>
        <w:rPr>
          <w:rFonts w:ascii="仿宋_GB2312" w:hAnsi="仿宋" w:eastAsia="仿宋_GB2312" w:cs="宋体"/>
          <w:kern w:val="0"/>
          <w:sz w:val="30"/>
          <w:szCs w:val="30"/>
        </w:rPr>
      </w:pPr>
      <w:r>
        <w:rPr>
          <w:rFonts w:hint="eastAsia" w:ascii="仿宋_GB2312" w:hAnsi="仿宋" w:eastAsia="仿宋_GB2312" w:cs="宋体"/>
          <w:kern w:val="0"/>
          <w:sz w:val="30"/>
          <w:szCs w:val="30"/>
        </w:rPr>
        <w:t>项目综合得分：</w:t>
      </w:r>
    </w:p>
    <w:tbl>
      <w:tblPr>
        <w:tblStyle w:val="2"/>
        <w:tblW w:w="5503" w:type="pct"/>
        <w:tblInd w:w="-411" w:type="dxa"/>
        <w:tblLayout w:type="autofit"/>
        <w:tblCellMar>
          <w:top w:w="0" w:type="dxa"/>
          <w:left w:w="0" w:type="dxa"/>
          <w:bottom w:w="0" w:type="dxa"/>
          <w:right w:w="0" w:type="dxa"/>
        </w:tblCellMar>
      </w:tblPr>
      <w:tblGrid>
        <w:gridCol w:w="1448"/>
        <w:gridCol w:w="1372"/>
        <w:gridCol w:w="2800"/>
        <w:gridCol w:w="3555"/>
      </w:tblGrid>
      <w:tr>
        <w:tblPrEx>
          <w:tblCellMar>
            <w:top w:w="0" w:type="dxa"/>
            <w:left w:w="0" w:type="dxa"/>
            <w:bottom w:w="0" w:type="dxa"/>
            <w:right w:w="0" w:type="dxa"/>
          </w:tblCellMar>
        </w:tblPrEx>
        <w:trPr>
          <w:trHeight w:val="482" w:hRule="atLeast"/>
          <w:tblHeader/>
        </w:trPr>
        <w:tc>
          <w:tcPr>
            <w:tcW w:w="1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kern w:val="0"/>
                <w:sz w:val="20"/>
                <w:szCs w:val="20"/>
              </w:rPr>
              <w:t>一级指标</w:t>
            </w:r>
          </w:p>
        </w:tc>
        <w:tc>
          <w:tcPr>
            <w:tcW w:w="13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kern w:val="0"/>
                <w:sz w:val="20"/>
                <w:szCs w:val="20"/>
              </w:rPr>
              <w:t>二级指标</w:t>
            </w: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kern w:val="0"/>
                <w:sz w:val="20"/>
                <w:szCs w:val="20"/>
              </w:rPr>
              <w:t>评分标准</w:t>
            </w:r>
          </w:p>
        </w:tc>
        <w:tc>
          <w:tcPr>
            <w:tcW w:w="3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kern w:val="0"/>
                <w:sz w:val="20"/>
                <w:szCs w:val="20"/>
              </w:rPr>
              <w:t>参考评分细则</w:t>
            </w:r>
          </w:p>
        </w:tc>
      </w:tr>
      <w:tr>
        <w:tblPrEx>
          <w:tblCellMar>
            <w:top w:w="0" w:type="dxa"/>
            <w:left w:w="0" w:type="dxa"/>
            <w:bottom w:w="0" w:type="dxa"/>
            <w:right w:w="0" w:type="dxa"/>
          </w:tblCellMar>
        </w:tblPrEx>
        <w:trPr>
          <w:trHeight w:val="1304" w:hRule="atLeast"/>
        </w:trPr>
        <w:tc>
          <w:tcPr>
            <w:tcW w:w="144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投资完成情况（30分）</w:t>
            </w:r>
          </w:p>
        </w:tc>
        <w:tc>
          <w:tcPr>
            <w:tcW w:w="1372" w:type="dxa"/>
            <w:vMerge w:val="restar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总投资额完成情况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（15分）</w:t>
            </w: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全部或超额完成批复文件或项目合同书规定要求（实际总投资额</w:t>
            </w:r>
            <w:r>
              <w:rPr>
                <w:rFonts w:hint="eastAsia" w:cs="Arial"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计划总投资额≥100%），得分为15分。</w:t>
            </w:r>
          </w:p>
        </w:tc>
        <w:tc>
          <w:tcPr>
            <w:tcW w:w="3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p>
        </w:tc>
      </w:tr>
      <w:tr>
        <w:tblPrEx>
          <w:tblCellMar>
            <w:top w:w="0" w:type="dxa"/>
            <w:left w:w="0" w:type="dxa"/>
            <w:bottom w:w="0" w:type="dxa"/>
            <w:right w:w="0" w:type="dxa"/>
          </w:tblCellMar>
        </w:tblPrEx>
        <w:trPr>
          <w:trHeight w:val="1304" w:hRule="atLeast"/>
        </w:trPr>
        <w:tc>
          <w:tcPr>
            <w:tcW w:w="1448" w:type="dxa"/>
            <w:vMerge w:val="continue"/>
            <w:tcBorders>
              <w:left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7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基本完成批复文件或项目合同书规定要求（实际总投资额</w:t>
            </w:r>
            <w:r>
              <w:rPr>
                <w:rFonts w:hint="eastAsia" w:cs="Arial"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计划总投资额≥80%），得分为9-14分。</w:t>
            </w:r>
          </w:p>
        </w:tc>
        <w:tc>
          <w:tcPr>
            <w:tcW w:w="3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90%≤比例＜100%，得12-14分；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80%≤比例＜90%，得9-11分。</w:t>
            </w:r>
          </w:p>
        </w:tc>
      </w:tr>
      <w:tr>
        <w:tblPrEx>
          <w:tblCellMar>
            <w:top w:w="0" w:type="dxa"/>
            <w:left w:w="0" w:type="dxa"/>
            <w:bottom w:w="0" w:type="dxa"/>
            <w:right w:w="0" w:type="dxa"/>
          </w:tblCellMar>
        </w:tblPrEx>
        <w:trPr>
          <w:trHeight w:val="1304" w:hRule="atLeast"/>
        </w:trPr>
        <w:tc>
          <w:tcPr>
            <w:tcW w:w="1448" w:type="dxa"/>
            <w:vMerge w:val="continue"/>
            <w:tcBorders>
              <w:left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7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项目实际总投资额未达到计划总投资额80%的，不予安排验收。</w:t>
            </w:r>
          </w:p>
        </w:tc>
        <w:tc>
          <w:tcPr>
            <w:tcW w:w="3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p>
        </w:tc>
      </w:tr>
      <w:tr>
        <w:tblPrEx>
          <w:tblCellMar>
            <w:top w:w="0" w:type="dxa"/>
            <w:left w:w="0" w:type="dxa"/>
            <w:bottom w:w="0" w:type="dxa"/>
            <w:right w:w="0" w:type="dxa"/>
          </w:tblCellMar>
        </w:tblPrEx>
        <w:trPr>
          <w:trHeight w:val="1304" w:hRule="atLeast"/>
        </w:trPr>
        <w:tc>
          <w:tcPr>
            <w:tcW w:w="1448" w:type="dxa"/>
            <w:vMerge w:val="continue"/>
            <w:tcBorders>
              <w:left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72" w:type="dxa"/>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设备仪器建设情况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（10分）</w:t>
            </w: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全部或超额完成批复文件或项目合同书规定要求，得分为10分。</w:t>
            </w:r>
          </w:p>
        </w:tc>
        <w:tc>
          <w:tcPr>
            <w:tcW w:w="3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实际购置与本项目相关的设备金额÷计划设备购置额≥100%</w:t>
            </w:r>
          </w:p>
        </w:tc>
      </w:tr>
      <w:tr>
        <w:tblPrEx>
          <w:tblCellMar>
            <w:top w:w="0" w:type="dxa"/>
            <w:left w:w="0" w:type="dxa"/>
            <w:bottom w:w="0" w:type="dxa"/>
            <w:right w:w="0" w:type="dxa"/>
          </w:tblCellMar>
        </w:tblPrEx>
        <w:trPr>
          <w:trHeight w:val="1903" w:hRule="atLeast"/>
        </w:trPr>
        <w:tc>
          <w:tcPr>
            <w:tcW w:w="1448" w:type="dxa"/>
            <w:vMerge w:val="continue"/>
            <w:tcBorders>
              <w:left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7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基本完成批复文件或项目合同书规定要求，得分为6-9分。</w:t>
            </w:r>
          </w:p>
        </w:tc>
        <w:tc>
          <w:tcPr>
            <w:tcW w:w="3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90%≤实际购置与本项目相关的设备金额÷计划设备购置额＜100%，得8-9分；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80%≤实际购置与本项目相关的设备金额÷计划设备购置额＜90%，得 6-7分。</w:t>
            </w:r>
          </w:p>
        </w:tc>
      </w:tr>
      <w:tr>
        <w:tblPrEx>
          <w:tblCellMar>
            <w:top w:w="0" w:type="dxa"/>
            <w:left w:w="0" w:type="dxa"/>
            <w:bottom w:w="0" w:type="dxa"/>
            <w:right w:w="0" w:type="dxa"/>
          </w:tblCellMar>
        </w:tblPrEx>
        <w:trPr>
          <w:trHeight w:val="1925" w:hRule="atLeast"/>
        </w:trPr>
        <w:tc>
          <w:tcPr>
            <w:tcW w:w="1448"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7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部分完成批复文件或项目合同书规定要求，得分为0-5分。</w:t>
            </w:r>
          </w:p>
        </w:tc>
        <w:tc>
          <w:tcPr>
            <w:tcW w:w="3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70%≤实际购置与本项目相关设备金额÷计划设备购置额＜80%，得4-5分；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50%≤实际购置与本项目相关设备金额÷计划设备购置额＜70%，得1-3分；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③ 实际购置与本项目相关设备金额÷计划设备购置额＜50%，得0分。</w:t>
            </w:r>
          </w:p>
        </w:tc>
      </w:tr>
      <w:tr>
        <w:tblPrEx>
          <w:tblCellMar>
            <w:top w:w="0" w:type="dxa"/>
            <w:left w:w="0" w:type="dxa"/>
            <w:bottom w:w="0" w:type="dxa"/>
            <w:right w:w="0" w:type="dxa"/>
          </w:tblCellMar>
        </w:tblPrEx>
        <w:trPr>
          <w:trHeight w:val="1134" w:hRule="atLeast"/>
        </w:trPr>
        <w:tc>
          <w:tcPr>
            <w:tcW w:w="1448"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投资完成情况（30分）</w:t>
            </w:r>
          </w:p>
        </w:tc>
        <w:tc>
          <w:tcPr>
            <w:tcW w:w="1372" w:type="dxa"/>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场地建设情况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（5分）</w:t>
            </w: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全部或超额完成批复文件或项目合同书规定要求（实际改扩建场地面积</w:t>
            </w:r>
            <w:r>
              <w:rPr>
                <w:rFonts w:hint="eastAsia" w:cs="Arial"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计划改扩建场地面积≥100%），得分为5分。</w:t>
            </w:r>
          </w:p>
        </w:tc>
        <w:tc>
          <w:tcPr>
            <w:tcW w:w="3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p>
        </w:tc>
      </w:tr>
      <w:tr>
        <w:tblPrEx>
          <w:tblCellMar>
            <w:top w:w="0" w:type="dxa"/>
            <w:left w:w="0" w:type="dxa"/>
            <w:bottom w:w="0" w:type="dxa"/>
            <w:right w:w="0" w:type="dxa"/>
          </w:tblCellMar>
        </w:tblPrEx>
        <w:trPr>
          <w:trHeight w:val="1134" w:hRule="atLeast"/>
        </w:trPr>
        <w:tc>
          <w:tcPr>
            <w:tcW w:w="1448" w:type="dxa"/>
            <w:vMerge w:val="continue"/>
            <w:tcBorders>
              <w:left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7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基本完成批复文件或项目合同书规定要求（实际改扩建场地面积</w:t>
            </w:r>
            <w:r>
              <w:rPr>
                <w:rFonts w:hint="eastAsia" w:cs="Arial"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计划改扩建场地面积≥80%），得分为3-4分。</w:t>
            </w:r>
          </w:p>
        </w:tc>
        <w:tc>
          <w:tcPr>
            <w:tcW w:w="3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90%≤比例＜100%，得 4分；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80%≤比例＜90%，得3分。</w:t>
            </w:r>
          </w:p>
        </w:tc>
      </w:tr>
      <w:tr>
        <w:tblPrEx>
          <w:tblCellMar>
            <w:top w:w="0" w:type="dxa"/>
            <w:left w:w="0" w:type="dxa"/>
            <w:bottom w:w="0" w:type="dxa"/>
            <w:right w:w="0" w:type="dxa"/>
          </w:tblCellMar>
        </w:tblPrEx>
        <w:trPr>
          <w:trHeight w:val="1134" w:hRule="atLeast"/>
        </w:trPr>
        <w:tc>
          <w:tcPr>
            <w:tcW w:w="1448"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7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部分完成批复文件或项目合同书规定要求（实际改扩建场地面积</w:t>
            </w:r>
            <w:r>
              <w:rPr>
                <w:rFonts w:hint="eastAsia" w:cs="Arial"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计划改扩建场地面积&lt;80%），得分为0-2分。</w:t>
            </w:r>
          </w:p>
        </w:tc>
        <w:tc>
          <w:tcPr>
            <w:tcW w:w="3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60%≤比例＜80%，得2分；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30%≤比例＜60%，得1分；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③ 比例＜30%，得0分。</w:t>
            </w:r>
          </w:p>
        </w:tc>
      </w:tr>
      <w:tr>
        <w:tblPrEx>
          <w:tblCellMar>
            <w:top w:w="0" w:type="dxa"/>
            <w:left w:w="0" w:type="dxa"/>
            <w:bottom w:w="0" w:type="dxa"/>
            <w:right w:w="0" w:type="dxa"/>
          </w:tblCellMar>
        </w:tblPrEx>
        <w:trPr>
          <w:trHeight w:val="669" w:hRule="atLeast"/>
        </w:trPr>
        <w:tc>
          <w:tcPr>
            <w:tcW w:w="1448"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成果产出情况</w:t>
            </w:r>
            <w:r>
              <w:rPr>
                <w:rFonts w:hint="eastAsia" w:cs="宋体" w:asciiTheme="minorEastAsia" w:hAnsiTheme="minorEastAsia" w:eastAsiaTheme="minorEastAsia"/>
                <w:color w:val="000000"/>
                <w:kern w:val="0"/>
                <w:sz w:val="20"/>
                <w:szCs w:val="20"/>
              </w:rPr>
              <w:t>（30分）</w:t>
            </w:r>
          </w:p>
        </w:tc>
        <w:tc>
          <w:tcPr>
            <w:tcW w:w="1372" w:type="dxa"/>
            <w:vMerge w:val="restart"/>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主要技术服务指标完成情况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（15分）</w:t>
            </w: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达到或超出批复文件或项目合同书规定要求，得分为15分。</w:t>
            </w:r>
          </w:p>
        </w:tc>
        <w:tc>
          <w:tcPr>
            <w:tcW w:w="3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p>
        </w:tc>
      </w:tr>
      <w:tr>
        <w:tblPrEx>
          <w:tblCellMar>
            <w:top w:w="0" w:type="dxa"/>
            <w:left w:w="0" w:type="dxa"/>
            <w:bottom w:w="0" w:type="dxa"/>
            <w:right w:w="0" w:type="dxa"/>
          </w:tblCellMar>
        </w:tblPrEx>
        <w:trPr>
          <w:trHeight w:val="1687" w:hRule="atLeast"/>
        </w:trPr>
        <w:tc>
          <w:tcPr>
            <w:tcW w:w="1448"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72"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基本达到批复文件或项目合同书规定要求，得分为9-14分。</w:t>
            </w:r>
          </w:p>
        </w:tc>
        <w:tc>
          <w:tcPr>
            <w:tcW w:w="3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如技术指标完成情况可用完成比例评估，则：</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90%≤完成比例＜100%，得12-14分；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80%≤实际比例＜90%，得9-11分。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如技术指标完成情况不可用完成比例评估，则由专家进行专业判断打分。</w:t>
            </w:r>
          </w:p>
        </w:tc>
      </w:tr>
      <w:tr>
        <w:tblPrEx>
          <w:tblCellMar>
            <w:top w:w="0" w:type="dxa"/>
            <w:left w:w="0" w:type="dxa"/>
            <w:bottom w:w="0" w:type="dxa"/>
            <w:right w:w="0" w:type="dxa"/>
          </w:tblCellMar>
        </w:tblPrEx>
        <w:trPr>
          <w:trHeight w:val="1952" w:hRule="atLeast"/>
        </w:trPr>
        <w:tc>
          <w:tcPr>
            <w:tcW w:w="1448"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72"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与批复文件或项目合同书规定要求相差较大，得分为0-8分。</w:t>
            </w:r>
          </w:p>
        </w:tc>
        <w:tc>
          <w:tcPr>
            <w:tcW w:w="3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如技术指标完成情况可用完成比例评估，则：</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60%≤完成比例＜80%，得5-8分；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30%≤完成比例＜60%，得1-4分；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③ 完成比例＜30%，得0分。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如技术指标完成情况不可用完成比例评估，则由专家进行专业判断打分。</w:t>
            </w:r>
          </w:p>
        </w:tc>
      </w:tr>
      <w:tr>
        <w:tblPrEx>
          <w:tblCellMar>
            <w:top w:w="0" w:type="dxa"/>
            <w:left w:w="0" w:type="dxa"/>
            <w:bottom w:w="0" w:type="dxa"/>
            <w:right w:w="0" w:type="dxa"/>
          </w:tblCellMar>
        </w:tblPrEx>
        <w:tc>
          <w:tcPr>
            <w:tcW w:w="1448"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72" w:type="dxa"/>
            <w:vMerge w:val="restart"/>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取得相应行业门槛性服务资质</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（5分）</w:t>
            </w: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有一项以上行业认定的服务资质，得分为5分。</w:t>
            </w:r>
          </w:p>
        </w:tc>
        <w:tc>
          <w:tcPr>
            <w:tcW w:w="3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p>
        </w:tc>
      </w:tr>
      <w:tr>
        <w:tblPrEx>
          <w:tblCellMar>
            <w:top w:w="0" w:type="dxa"/>
            <w:left w:w="0" w:type="dxa"/>
            <w:bottom w:w="0" w:type="dxa"/>
            <w:right w:w="0" w:type="dxa"/>
          </w:tblCellMar>
        </w:tblPrEx>
        <w:tc>
          <w:tcPr>
            <w:tcW w:w="1448"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72"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未取得任何服务资质，得分为0分。</w:t>
            </w:r>
          </w:p>
        </w:tc>
        <w:tc>
          <w:tcPr>
            <w:tcW w:w="3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p>
        </w:tc>
      </w:tr>
      <w:tr>
        <w:tblPrEx>
          <w:tblCellMar>
            <w:top w:w="0" w:type="dxa"/>
            <w:left w:w="0" w:type="dxa"/>
            <w:bottom w:w="0" w:type="dxa"/>
            <w:right w:w="0" w:type="dxa"/>
          </w:tblCellMar>
        </w:tblPrEx>
        <w:trPr>
          <w:trHeight w:val="1430" w:hRule="atLeast"/>
        </w:trPr>
        <w:tc>
          <w:tcPr>
            <w:tcW w:w="1448" w:type="dxa"/>
            <w:vMerge w:val="continue"/>
            <w:tcBorders>
              <w:left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p>
        </w:tc>
        <w:tc>
          <w:tcPr>
            <w:tcW w:w="1372" w:type="dxa"/>
            <w:vMerge w:val="restart"/>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知识产权取得、标准制定情况（5分）</w:t>
            </w: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全部或超额完成批复文件或项目合同书规定要求（实际取得专利和制定标准数量</w:t>
            </w:r>
            <w:r>
              <w:rPr>
                <w:rFonts w:hint="eastAsia" w:cs="Arial"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计划取得专利和制定标准数量≥100%），得分为5分。</w:t>
            </w:r>
          </w:p>
        </w:tc>
        <w:tc>
          <w:tcPr>
            <w:tcW w:w="3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p>
        </w:tc>
      </w:tr>
      <w:tr>
        <w:tblPrEx>
          <w:tblCellMar>
            <w:top w:w="0" w:type="dxa"/>
            <w:left w:w="0" w:type="dxa"/>
            <w:bottom w:w="0" w:type="dxa"/>
            <w:right w:w="0" w:type="dxa"/>
          </w:tblCellMar>
        </w:tblPrEx>
        <w:trPr>
          <w:trHeight w:val="1406" w:hRule="atLeast"/>
        </w:trPr>
        <w:tc>
          <w:tcPr>
            <w:tcW w:w="1448"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72"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基本完成批复文件或项目合同书规定要求（实际取得专利和制定标准数量</w:t>
            </w:r>
            <w:r>
              <w:rPr>
                <w:rFonts w:hint="eastAsia" w:cs="Arial"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计划取得专利和制定标准数量≥80%），得分为3-4分。</w:t>
            </w:r>
          </w:p>
        </w:tc>
        <w:tc>
          <w:tcPr>
            <w:tcW w:w="3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90%≤比例＜100%，得 4分；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80%≤比例＜90%，得3分。</w:t>
            </w:r>
          </w:p>
        </w:tc>
      </w:tr>
      <w:tr>
        <w:tblPrEx>
          <w:tblCellMar>
            <w:top w:w="0" w:type="dxa"/>
            <w:left w:w="0" w:type="dxa"/>
            <w:bottom w:w="0" w:type="dxa"/>
            <w:right w:w="0" w:type="dxa"/>
          </w:tblCellMar>
        </w:tblPrEx>
        <w:trPr>
          <w:trHeight w:val="1456" w:hRule="atLeast"/>
        </w:trPr>
        <w:tc>
          <w:tcPr>
            <w:tcW w:w="144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72"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没有完成批复文件或项目合同书规定要求（实际取得专利和制定标准数量</w:t>
            </w:r>
            <w:r>
              <w:rPr>
                <w:rFonts w:hint="eastAsia" w:cs="Arial"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计划取得专利和制定标准数量&lt;80%），得分为0-2分。</w:t>
            </w:r>
          </w:p>
        </w:tc>
        <w:tc>
          <w:tcPr>
            <w:tcW w:w="3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60%≤比例＜80%，得2分；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30%≤比例＜60%，得1分；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③ 比例＜30%，得0分。</w:t>
            </w:r>
          </w:p>
        </w:tc>
      </w:tr>
      <w:tr>
        <w:tblPrEx>
          <w:tblCellMar>
            <w:top w:w="0" w:type="dxa"/>
            <w:left w:w="0" w:type="dxa"/>
            <w:bottom w:w="0" w:type="dxa"/>
            <w:right w:w="0" w:type="dxa"/>
          </w:tblCellMar>
        </w:tblPrEx>
        <w:trPr>
          <w:trHeight w:val="1418" w:hRule="atLeast"/>
        </w:trPr>
        <w:tc>
          <w:tcPr>
            <w:tcW w:w="1448"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成果产出情况</w:t>
            </w:r>
            <w:r>
              <w:rPr>
                <w:rFonts w:hint="eastAsia" w:cs="宋体" w:asciiTheme="minorEastAsia" w:hAnsiTheme="minorEastAsia" w:eastAsiaTheme="minorEastAsia"/>
                <w:color w:val="000000"/>
                <w:kern w:val="0"/>
                <w:sz w:val="20"/>
                <w:szCs w:val="20"/>
              </w:rPr>
              <w:t>（30分）</w:t>
            </w:r>
          </w:p>
        </w:tc>
        <w:tc>
          <w:tcPr>
            <w:tcW w:w="1372" w:type="dxa"/>
            <w:vMerge w:val="restart"/>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人才培养、论文发表情况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（5分）</w:t>
            </w: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全部或超额完成批复文件或项目合同书规定要求（实际培养人才和发表论文数量</w:t>
            </w:r>
            <w:r>
              <w:rPr>
                <w:rFonts w:hint="eastAsia" w:cs="Arial"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计划培养人才和发表论文数量≥100%），得分为5分。</w:t>
            </w:r>
          </w:p>
        </w:tc>
        <w:tc>
          <w:tcPr>
            <w:tcW w:w="3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p>
        </w:tc>
      </w:tr>
      <w:tr>
        <w:tblPrEx>
          <w:tblCellMar>
            <w:top w:w="0" w:type="dxa"/>
            <w:left w:w="0" w:type="dxa"/>
            <w:bottom w:w="0" w:type="dxa"/>
            <w:right w:w="0" w:type="dxa"/>
          </w:tblCellMar>
        </w:tblPrEx>
        <w:trPr>
          <w:trHeight w:val="1418" w:hRule="atLeast"/>
        </w:trPr>
        <w:tc>
          <w:tcPr>
            <w:tcW w:w="1448"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72"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基本完成批复文件或项目合同书规定要求（实际培养人才和发表论文数量</w:t>
            </w:r>
            <w:r>
              <w:rPr>
                <w:rFonts w:hint="eastAsia" w:cs="Arial"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计划培养人才和发表论文数量≥80%），得分为3-4分。</w:t>
            </w:r>
          </w:p>
        </w:tc>
        <w:tc>
          <w:tcPr>
            <w:tcW w:w="3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90%≤比例＜100%，得 4分；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80%≤比例＜90%，得3分。</w:t>
            </w:r>
          </w:p>
        </w:tc>
      </w:tr>
      <w:tr>
        <w:tblPrEx>
          <w:tblCellMar>
            <w:top w:w="0" w:type="dxa"/>
            <w:left w:w="0" w:type="dxa"/>
            <w:bottom w:w="0" w:type="dxa"/>
            <w:right w:w="0" w:type="dxa"/>
          </w:tblCellMar>
        </w:tblPrEx>
        <w:trPr>
          <w:trHeight w:val="1418" w:hRule="atLeast"/>
        </w:trPr>
        <w:tc>
          <w:tcPr>
            <w:tcW w:w="144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72"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没有完成批复文件或项目合同书规定要求（实际培养人才和发表论文数量</w:t>
            </w:r>
            <w:r>
              <w:rPr>
                <w:rFonts w:hint="eastAsia" w:cs="Arial"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计划培养人才和发表论文数量&lt;80%），得分为0-2分。</w:t>
            </w:r>
          </w:p>
        </w:tc>
        <w:tc>
          <w:tcPr>
            <w:tcW w:w="3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60%≤比例＜80%，得2分；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30%≤比例＜60%，得1分；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③ 比例＜30%，得0分。</w:t>
            </w:r>
          </w:p>
        </w:tc>
      </w:tr>
      <w:tr>
        <w:tblPrEx>
          <w:tblCellMar>
            <w:top w:w="0" w:type="dxa"/>
            <w:left w:w="0" w:type="dxa"/>
            <w:bottom w:w="0" w:type="dxa"/>
            <w:right w:w="0" w:type="dxa"/>
          </w:tblCellMar>
        </w:tblPrEx>
        <w:trPr>
          <w:trHeight w:val="1358" w:hRule="atLeast"/>
        </w:trPr>
        <w:tc>
          <w:tcPr>
            <w:tcW w:w="144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服务成效与</w:t>
            </w:r>
          </w:p>
          <w:p>
            <w:pPr>
              <w:overflowPunct w:val="0"/>
              <w:adjustRightInd w:val="0"/>
              <w:snapToGrid w:val="0"/>
              <w:ind w:left="42" w:leftChars="20" w:right="42" w:rightChars="20"/>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平台运行管理情况</w:t>
            </w:r>
          </w:p>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（15分）</w:t>
            </w:r>
          </w:p>
        </w:tc>
        <w:tc>
          <w:tcPr>
            <w:tcW w:w="1372" w:type="dxa"/>
            <w:vMerge w:val="restart"/>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对外提供的科技服务情况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（10分）</w:t>
            </w: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对外开放服务程度高、效果和作用明显，服务收入能支撑平台良性运行，得分为10分。</w:t>
            </w:r>
          </w:p>
        </w:tc>
        <w:tc>
          <w:tcPr>
            <w:tcW w:w="3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如对外提供技术服务完成情况可用完成比例评估，且完成比例≥100%，得10分；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如对外提供技术服务完成情况不可用完成比例评估，则由专家进行专业判断打分。</w:t>
            </w:r>
          </w:p>
        </w:tc>
      </w:tr>
      <w:tr>
        <w:tblPrEx>
          <w:tblCellMar>
            <w:top w:w="0" w:type="dxa"/>
            <w:left w:w="0" w:type="dxa"/>
            <w:bottom w:w="0" w:type="dxa"/>
            <w:right w:w="0" w:type="dxa"/>
          </w:tblCellMar>
        </w:tblPrEx>
        <w:trPr>
          <w:trHeight w:val="1891" w:hRule="atLeast"/>
        </w:trPr>
        <w:tc>
          <w:tcPr>
            <w:tcW w:w="144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72"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kern w:val="0"/>
                <w:sz w:val="20"/>
                <w:szCs w:val="20"/>
              </w:rPr>
            </w:pP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对外开放服务程度较好、效果和作用较明显，服务收入能基本支持平台日常运行，得分为6—9分。</w:t>
            </w:r>
          </w:p>
        </w:tc>
        <w:tc>
          <w:tcPr>
            <w:tcW w:w="3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如对外提供技术服务完成情况可用完成比例评估，则：</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90%≤完成比例＜100%，得8-9分；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80%≤完成比例＜90%，得6-7分。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如对外提供技术服务完成情况不可用完成比例评估，则由专家进行专业判断打分。</w:t>
            </w:r>
          </w:p>
        </w:tc>
      </w:tr>
      <w:tr>
        <w:tblPrEx>
          <w:tblCellMar>
            <w:top w:w="0" w:type="dxa"/>
            <w:left w:w="0" w:type="dxa"/>
            <w:bottom w:w="0" w:type="dxa"/>
            <w:right w:w="0" w:type="dxa"/>
          </w:tblCellMar>
        </w:tblPrEx>
        <w:trPr>
          <w:trHeight w:val="2186" w:hRule="atLeast"/>
        </w:trPr>
        <w:tc>
          <w:tcPr>
            <w:tcW w:w="144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72"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kern w:val="0"/>
                <w:sz w:val="20"/>
                <w:szCs w:val="20"/>
              </w:rPr>
            </w:pP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对外开放服务程度较差、效果和作用一般，服务收入难以支撑起平台日常运行，得分为0-5分。</w:t>
            </w:r>
          </w:p>
        </w:tc>
        <w:tc>
          <w:tcPr>
            <w:tcW w:w="3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如对外提供技术服务完成情况可用完成比例评估，则：</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60%≤完成比例＜80%，得4-5分；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30%≤完成比例＜60%，得1-3分；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③ 完成比例＜30%，得0分。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如对外提供技术服务完成情况不可用完成比例评估，则由专家进行专业判断打分。</w:t>
            </w:r>
          </w:p>
        </w:tc>
      </w:tr>
      <w:tr>
        <w:tblPrEx>
          <w:tblCellMar>
            <w:top w:w="0" w:type="dxa"/>
            <w:left w:w="0" w:type="dxa"/>
            <w:bottom w:w="0" w:type="dxa"/>
            <w:right w:w="0" w:type="dxa"/>
          </w:tblCellMar>
        </w:tblPrEx>
        <w:trPr>
          <w:trHeight w:val="1134" w:hRule="atLeast"/>
        </w:trPr>
        <w:tc>
          <w:tcPr>
            <w:tcW w:w="144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72" w:type="dxa"/>
            <w:vMerge w:val="restart"/>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规章制度建设和执行情况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（5分）</w:t>
            </w: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规章制度健全，内部运行管理状况良好，得分为5分。</w:t>
            </w:r>
          </w:p>
        </w:tc>
        <w:tc>
          <w:tcPr>
            <w:tcW w:w="3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制定明确的平台组织架构及成员职责、关键共性技术研发流程规范、仪器设备管理等规章制度，且实际运行管理时依照规章制度执行。</w:t>
            </w:r>
          </w:p>
        </w:tc>
      </w:tr>
      <w:tr>
        <w:tblPrEx>
          <w:tblCellMar>
            <w:top w:w="0" w:type="dxa"/>
            <w:left w:w="0" w:type="dxa"/>
            <w:bottom w:w="0" w:type="dxa"/>
            <w:right w:w="0" w:type="dxa"/>
          </w:tblCellMar>
        </w:tblPrEx>
        <w:trPr>
          <w:trHeight w:val="1134" w:hRule="atLeast"/>
        </w:trPr>
        <w:tc>
          <w:tcPr>
            <w:tcW w:w="144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72"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规章制度基本健全，内部运行管理状况较好，得分为3-4分。</w:t>
            </w:r>
          </w:p>
        </w:tc>
        <w:tc>
          <w:tcPr>
            <w:tcW w:w="3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制定了平台组织架构及成员职责、关键共性技术研发流程或仪器设备管理等规章制度，且实际运行管理时基本依照规章制度执行。</w:t>
            </w:r>
          </w:p>
        </w:tc>
      </w:tr>
      <w:tr>
        <w:tblPrEx>
          <w:tblCellMar>
            <w:top w:w="0" w:type="dxa"/>
            <w:left w:w="0" w:type="dxa"/>
            <w:bottom w:w="0" w:type="dxa"/>
            <w:right w:w="0" w:type="dxa"/>
          </w:tblCellMar>
        </w:tblPrEx>
        <w:trPr>
          <w:trHeight w:val="1134" w:hRule="atLeast"/>
        </w:trPr>
        <w:tc>
          <w:tcPr>
            <w:tcW w:w="144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72"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规章制度不完善，内部运行管理状况较差，得分为0-2分。</w:t>
            </w:r>
          </w:p>
        </w:tc>
        <w:tc>
          <w:tcPr>
            <w:tcW w:w="3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未制定平台组织架构及成员职责，或关键共性技术研发流程、仪器设备管理等规章制度；或制定上述规章制度但实际运行管理时未完全依照规章制度执行。</w:t>
            </w:r>
          </w:p>
        </w:tc>
      </w:tr>
      <w:tr>
        <w:tblPrEx>
          <w:tblCellMar>
            <w:top w:w="0" w:type="dxa"/>
            <w:left w:w="0" w:type="dxa"/>
            <w:bottom w:w="0" w:type="dxa"/>
            <w:right w:w="0" w:type="dxa"/>
          </w:tblCellMar>
        </w:tblPrEx>
        <w:trPr>
          <w:trHeight w:val="2393" w:hRule="atLeast"/>
        </w:trPr>
        <w:tc>
          <w:tcPr>
            <w:tcW w:w="1448"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专项资金管理使用情况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（15分）</w:t>
            </w:r>
          </w:p>
        </w:tc>
        <w:tc>
          <w:tcPr>
            <w:tcW w:w="1372"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项目专项资金使用情况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（10分）</w:t>
            </w:r>
          </w:p>
        </w:tc>
        <w:tc>
          <w:tcPr>
            <w:tcW w:w="280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按批复文件或项目合同书执行，得分为10分。</w:t>
            </w:r>
          </w:p>
        </w:tc>
        <w:tc>
          <w:tcPr>
            <w:tcW w:w="3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批复专项资金全部用于软硬件设备购置：专项资金被全部用于购置批复清单内的设备，得10分；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批复专项资金用于软硬件设备购置和研发费用：批复资助设备购置资金全部被用于购置批复清单范围内的设备，且实际用于研发费用总金额小于计划用于研发费用总金额，得10分。</w:t>
            </w:r>
          </w:p>
        </w:tc>
      </w:tr>
      <w:tr>
        <w:tblPrEx>
          <w:tblCellMar>
            <w:top w:w="0" w:type="dxa"/>
            <w:left w:w="0" w:type="dxa"/>
            <w:bottom w:w="0" w:type="dxa"/>
            <w:right w:w="0" w:type="dxa"/>
          </w:tblCellMar>
        </w:tblPrEx>
        <w:trPr>
          <w:trHeight w:val="10828" w:hRule="atLeast"/>
        </w:trPr>
        <w:tc>
          <w:tcPr>
            <w:tcW w:w="144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7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0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基本按批复文件或项目合同书执行，得分为0－9分。</w:t>
            </w:r>
          </w:p>
        </w:tc>
        <w:tc>
          <w:tcPr>
            <w:tcW w:w="3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spacing w:line="280" w:lineRule="exact"/>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批复专项资金全部用于软硬件设备购置：</w:t>
            </w:r>
          </w:p>
          <w:p>
            <w:pPr>
              <w:overflowPunct w:val="0"/>
              <w:adjustRightInd w:val="0"/>
              <w:snapToGrid w:val="0"/>
              <w:spacing w:line="280" w:lineRule="exact"/>
              <w:ind w:left="42" w:leftChars="20" w:right="42" w:rightChars="20" w:firstLine="200" w:firstLineChars="10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1).90%≤实际使用专项资金购买批复清单内设备的金额占专项资金总额＜100%，得7-9分；</w:t>
            </w:r>
          </w:p>
          <w:p>
            <w:pPr>
              <w:overflowPunct w:val="0"/>
              <w:adjustRightInd w:val="0"/>
              <w:snapToGrid w:val="0"/>
              <w:spacing w:line="280" w:lineRule="exact"/>
              <w:ind w:left="42" w:leftChars="20" w:right="42" w:rightChars="20" w:firstLine="200" w:firstLineChars="10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2).80%≤实际使用专项资金购买批复清单内设备的金额占专项资金总额＜90%，得5-6分；</w:t>
            </w:r>
          </w:p>
          <w:p>
            <w:pPr>
              <w:overflowPunct w:val="0"/>
              <w:adjustRightInd w:val="0"/>
              <w:snapToGrid w:val="0"/>
              <w:spacing w:line="280" w:lineRule="exact"/>
              <w:ind w:left="42" w:leftChars="20" w:right="42" w:rightChars="20" w:firstLine="200" w:firstLineChars="10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3).70%≤实际使用专项资金购买批复清单内设备的金额占专项资金总额＜80%，得3-4分；</w:t>
            </w:r>
          </w:p>
          <w:p>
            <w:pPr>
              <w:overflowPunct w:val="0"/>
              <w:adjustRightInd w:val="0"/>
              <w:snapToGrid w:val="0"/>
              <w:spacing w:line="280" w:lineRule="exact"/>
              <w:ind w:left="42" w:leftChars="20" w:right="42" w:rightChars="20" w:firstLine="200" w:firstLineChars="10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4).60%≤实际使用专项资金购买批复清单内设备的金额占专项资金总额＜70%，得1-2分；</w:t>
            </w:r>
          </w:p>
          <w:p>
            <w:pPr>
              <w:overflowPunct w:val="0"/>
              <w:adjustRightInd w:val="0"/>
              <w:snapToGrid w:val="0"/>
              <w:spacing w:line="280" w:lineRule="exact"/>
              <w:ind w:left="42" w:leftChars="20" w:right="42" w:rightChars="20" w:firstLine="200" w:firstLineChars="10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5).实际使用专项资金购买批复清单内设备的金额占专项资金总额＜60%，得0分。</w:t>
            </w:r>
          </w:p>
          <w:p>
            <w:pPr>
              <w:overflowPunct w:val="0"/>
              <w:adjustRightInd w:val="0"/>
              <w:snapToGrid w:val="0"/>
              <w:spacing w:line="280" w:lineRule="exact"/>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批复专项资金用于软硬件设备购置与研发费用：</w:t>
            </w:r>
          </w:p>
          <w:p>
            <w:pPr>
              <w:overflowPunct w:val="0"/>
              <w:adjustRightInd w:val="0"/>
              <w:snapToGrid w:val="0"/>
              <w:spacing w:line="280" w:lineRule="exact"/>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实际用于研发费用总金额小于计划用于研发费用总金额，且实际用于研发费用的各分项费用未超过批复清单中参考金额上限，若：</w:t>
            </w:r>
          </w:p>
          <w:p>
            <w:pPr>
              <w:overflowPunct w:val="0"/>
              <w:adjustRightInd w:val="0"/>
              <w:snapToGrid w:val="0"/>
              <w:spacing w:line="280" w:lineRule="exact"/>
              <w:ind w:left="42" w:leftChars="20" w:right="42" w:rightChars="20" w:firstLine="200" w:firstLineChars="10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1).90%≤实际使用专项资金购买批复清单内设备的金额占批复资助设备购置总金额＜100%，得7-9分；</w:t>
            </w:r>
          </w:p>
          <w:p>
            <w:pPr>
              <w:overflowPunct w:val="0"/>
              <w:adjustRightInd w:val="0"/>
              <w:snapToGrid w:val="0"/>
              <w:spacing w:line="280" w:lineRule="exact"/>
              <w:ind w:left="42" w:leftChars="20" w:right="42" w:rightChars="20" w:firstLine="200" w:firstLineChars="10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2).80%≤实际使用专项资金购买批复清单内设备的金额占批复资助设备购置总金额＜90%，得5-6分；</w:t>
            </w:r>
          </w:p>
          <w:p>
            <w:pPr>
              <w:overflowPunct w:val="0"/>
              <w:adjustRightInd w:val="0"/>
              <w:snapToGrid w:val="0"/>
              <w:spacing w:line="280" w:lineRule="exact"/>
              <w:ind w:left="42" w:leftChars="20" w:right="42" w:rightChars="20" w:firstLine="200" w:firstLineChars="10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3).70%≤实际使用专项资金购买批复清单内设备的金额占批复资助设备购置总金额＜80%，得3-4分；</w:t>
            </w:r>
          </w:p>
          <w:p>
            <w:pPr>
              <w:overflowPunct w:val="0"/>
              <w:adjustRightInd w:val="0"/>
              <w:snapToGrid w:val="0"/>
              <w:spacing w:line="280" w:lineRule="exact"/>
              <w:ind w:left="42" w:leftChars="20" w:right="42" w:rightChars="20" w:firstLine="200" w:firstLineChars="10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4).60%≤实际使用专项资金购买批复清单内设备的金额占批复资助设备购置总金额＜70%，得1-2分；</w:t>
            </w:r>
          </w:p>
          <w:p>
            <w:pPr>
              <w:overflowPunct w:val="0"/>
              <w:adjustRightInd w:val="0"/>
              <w:snapToGrid w:val="0"/>
              <w:spacing w:line="280" w:lineRule="exact"/>
              <w:ind w:left="42" w:leftChars="20" w:right="42" w:rightChars="20" w:firstLine="200" w:firstLineChars="10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5).实际使用专项资金购买批复清单内设备的金额占批复资助设备购置总金额＜60%，得0分。</w:t>
            </w:r>
          </w:p>
        </w:tc>
      </w:tr>
      <w:tr>
        <w:tblPrEx>
          <w:tblCellMar>
            <w:top w:w="0" w:type="dxa"/>
            <w:left w:w="0" w:type="dxa"/>
            <w:bottom w:w="0" w:type="dxa"/>
            <w:right w:w="0" w:type="dxa"/>
          </w:tblCellMar>
        </w:tblPrEx>
        <w:trPr>
          <w:trHeight w:val="2308" w:hRule="atLeast"/>
        </w:trPr>
        <w:tc>
          <w:tcPr>
            <w:tcW w:w="1448"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专项资金管理使用情况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（15分）</w:t>
            </w:r>
          </w:p>
        </w:tc>
        <w:tc>
          <w:tcPr>
            <w:tcW w:w="137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项目专项资金使用情况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（10分）</w:t>
            </w:r>
          </w:p>
        </w:tc>
        <w:tc>
          <w:tcPr>
            <w:tcW w:w="280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没有按批复文件或项目合同书执行，且未按规定程序申请调整或申请未获批复的，不予安排验收。</w:t>
            </w:r>
          </w:p>
        </w:tc>
        <w:tc>
          <w:tcPr>
            <w:tcW w:w="3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资助资金用于研发费用支出金额相较批复文件或项目合同书有所增加，且增加金额超过资助总金额20%，又未按规定程序申请调整或申请未获批复；</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超过批复资助设备购置总金额的40%被用于购置批复清单范围以外的设备，且未按规定程序申请调整或申请未获批复。</w:t>
            </w:r>
          </w:p>
        </w:tc>
      </w:tr>
      <w:tr>
        <w:tblPrEx>
          <w:tblCellMar>
            <w:top w:w="0" w:type="dxa"/>
            <w:left w:w="0" w:type="dxa"/>
            <w:bottom w:w="0" w:type="dxa"/>
            <w:right w:w="0" w:type="dxa"/>
          </w:tblCellMar>
        </w:tblPrEx>
        <w:trPr>
          <w:trHeight w:val="1021" w:hRule="atLeast"/>
        </w:trPr>
        <w:tc>
          <w:tcPr>
            <w:tcW w:w="1448"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72"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财务管理情况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（2分）</w:t>
            </w:r>
          </w:p>
        </w:tc>
        <w:tc>
          <w:tcPr>
            <w:tcW w:w="280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制定了完善的政府专项资金管理相关配套制度，得分为2分。</w:t>
            </w:r>
          </w:p>
        </w:tc>
        <w:tc>
          <w:tcPr>
            <w:tcW w:w="3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制定明确的平台专项资金管理办法及招投标管理办法、核心支出费用管理办法等相关配套制度。</w:t>
            </w:r>
          </w:p>
        </w:tc>
      </w:tr>
      <w:tr>
        <w:tblPrEx>
          <w:tblCellMar>
            <w:top w:w="0" w:type="dxa"/>
            <w:left w:w="0" w:type="dxa"/>
            <w:bottom w:w="0" w:type="dxa"/>
            <w:right w:w="0" w:type="dxa"/>
          </w:tblCellMar>
        </w:tblPrEx>
        <w:trPr>
          <w:trHeight w:val="1021" w:hRule="atLeast"/>
        </w:trPr>
        <w:tc>
          <w:tcPr>
            <w:tcW w:w="1448"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7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kern w:val="0"/>
                <w:sz w:val="20"/>
                <w:szCs w:val="20"/>
              </w:rPr>
            </w:pPr>
          </w:p>
        </w:tc>
        <w:tc>
          <w:tcPr>
            <w:tcW w:w="280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制定了较为完善的政府专项资金管理相关配套制度，得分为1分。</w:t>
            </w:r>
          </w:p>
        </w:tc>
        <w:tc>
          <w:tcPr>
            <w:tcW w:w="3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制定平台专项资金管理办法及招投标管理办法或核心支出费用管理办法等相关配套制度。</w:t>
            </w:r>
          </w:p>
        </w:tc>
      </w:tr>
      <w:tr>
        <w:tblPrEx>
          <w:tblCellMar>
            <w:top w:w="0" w:type="dxa"/>
            <w:left w:w="0" w:type="dxa"/>
            <w:bottom w:w="0" w:type="dxa"/>
            <w:right w:w="0" w:type="dxa"/>
          </w:tblCellMar>
        </w:tblPrEx>
        <w:trPr>
          <w:trHeight w:val="1021" w:hRule="atLeast"/>
        </w:trPr>
        <w:tc>
          <w:tcPr>
            <w:tcW w:w="1448"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7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kern w:val="0"/>
                <w:sz w:val="20"/>
                <w:szCs w:val="20"/>
              </w:rPr>
            </w:pPr>
          </w:p>
        </w:tc>
        <w:tc>
          <w:tcPr>
            <w:tcW w:w="280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未制定政府专项资金管理相关配套制度，得分为0分。</w:t>
            </w:r>
          </w:p>
        </w:tc>
        <w:tc>
          <w:tcPr>
            <w:tcW w:w="3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未制定平台专项资金管理办法，或招投标管理办法，或核心支出费用管理办法等相关配套制度。</w:t>
            </w:r>
          </w:p>
        </w:tc>
      </w:tr>
      <w:tr>
        <w:tblPrEx>
          <w:tblCellMar>
            <w:top w:w="0" w:type="dxa"/>
            <w:left w:w="0" w:type="dxa"/>
            <w:bottom w:w="0" w:type="dxa"/>
            <w:right w:w="0" w:type="dxa"/>
          </w:tblCellMar>
        </w:tblPrEx>
        <w:trPr>
          <w:trHeight w:val="1021" w:hRule="atLeast"/>
        </w:trPr>
        <w:tc>
          <w:tcPr>
            <w:tcW w:w="1448"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72"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项目专项资金会计核算情况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（3分)</w:t>
            </w:r>
          </w:p>
        </w:tc>
        <w:tc>
          <w:tcPr>
            <w:tcW w:w="280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单独核算，核算内容真实、准确、完整，审批程序和手续完备，得分为3分。</w:t>
            </w:r>
          </w:p>
        </w:tc>
        <w:tc>
          <w:tcPr>
            <w:tcW w:w="3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由专家进行专业判断打分。</w:t>
            </w:r>
          </w:p>
        </w:tc>
      </w:tr>
      <w:tr>
        <w:tblPrEx>
          <w:tblCellMar>
            <w:top w:w="0" w:type="dxa"/>
            <w:left w:w="0" w:type="dxa"/>
            <w:bottom w:w="0" w:type="dxa"/>
            <w:right w:w="0" w:type="dxa"/>
          </w:tblCellMar>
        </w:tblPrEx>
        <w:trPr>
          <w:trHeight w:val="1134" w:hRule="atLeast"/>
        </w:trPr>
        <w:tc>
          <w:tcPr>
            <w:tcW w:w="1448"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7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0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单独核算，核算内容基本真实、准确、完整，审批程序和手续基本完善，得分为1－2分。</w:t>
            </w:r>
          </w:p>
        </w:tc>
        <w:tc>
          <w:tcPr>
            <w:tcW w:w="3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由专家进行专业判断打分。</w:t>
            </w:r>
          </w:p>
        </w:tc>
      </w:tr>
      <w:tr>
        <w:tblPrEx>
          <w:tblCellMar>
            <w:top w:w="0" w:type="dxa"/>
            <w:left w:w="0" w:type="dxa"/>
            <w:bottom w:w="0" w:type="dxa"/>
            <w:right w:w="0" w:type="dxa"/>
          </w:tblCellMar>
        </w:tblPrEx>
        <w:trPr>
          <w:trHeight w:val="567" w:hRule="atLeast"/>
        </w:trPr>
        <w:tc>
          <w:tcPr>
            <w:tcW w:w="144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7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0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未单独核算的，不予安排验收。</w:t>
            </w:r>
          </w:p>
        </w:tc>
        <w:tc>
          <w:tcPr>
            <w:tcW w:w="3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p>
        </w:tc>
      </w:tr>
      <w:tr>
        <w:tblPrEx>
          <w:tblCellMar>
            <w:top w:w="0" w:type="dxa"/>
            <w:left w:w="0" w:type="dxa"/>
            <w:bottom w:w="0" w:type="dxa"/>
            <w:right w:w="0" w:type="dxa"/>
          </w:tblCellMar>
        </w:tblPrEx>
        <w:trPr>
          <w:trHeight w:val="815" w:hRule="atLeast"/>
        </w:trPr>
        <w:tc>
          <w:tcPr>
            <w:tcW w:w="1448"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项目组织管理情况</w:t>
            </w:r>
          </w:p>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（10分）</w:t>
            </w:r>
          </w:p>
        </w:tc>
        <w:tc>
          <w:tcPr>
            <w:tcW w:w="1372" w:type="dxa"/>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专项资金购买设备情况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（5分）</w:t>
            </w: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全部设备购置按公开招标方式执行，得分为5分。</w:t>
            </w:r>
          </w:p>
        </w:tc>
        <w:tc>
          <w:tcPr>
            <w:tcW w:w="3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实际购置批复清单内的设备全部采取公开招标进行购置。</w:t>
            </w:r>
          </w:p>
        </w:tc>
      </w:tr>
      <w:tr>
        <w:tblPrEx>
          <w:tblCellMar>
            <w:top w:w="0" w:type="dxa"/>
            <w:left w:w="0" w:type="dxa"/>
            <w:bottom w:w="0" w:type="dxa"/>
            <w:right w:w="0" w:type="dxa"/>
          </w:tblCellMar>
        </w:tblPrEx>
        <w:trPr>
          <w:trHeight w:val="3401" w:hRule="atLeast"/>
        </w:trPr>
        <w:tc>
          <w:tcPr>
            <w:tcW w:w="1448" w:type="dxa"/>
            <w:vMerge w:val="continue"/>
            <w:tcBorders>
              <w:left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7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部分设备购置按公开招标方式执行，得分为1-4分。</w:t>
            </w:r>
          </w:p>
        </w:tc>
        <w:tc>
          <w:tcPr>
            <w:tcW w:w="3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75%≤公开招标购置专项设备总金额÷实际购置专项设备总金额＜100%，得4分；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50%≤公开招标购置专项设备总金额÷实际购置专项设备总金额＜75%，得3分；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③ 25%≤公开招标购置专项设备总金额÷实际购置专项设备总金额＜50%，得2分；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④ 0%＜公开招标购置专项设备总金额÷实际购置专项设备总金额＜25%，得1分。</w:t>
            </w:r>
          </w:p>
        </w:tc>
      </w:tr>
      <w:tr>
        <w:tblPrEx>
          <w:tblCellMar>
            <w:top w:w="0" w:type="dxa"/>
            <w:left w:w="0" w:type="dxa"/>
            <w:bottom w:w="0" w:type="dxa"/>
            <w:right w:w="0" w:type="dxa"/>
          </w:tblCellMar>
        </w:tblPrEx>
        <w:trPr>
          <w:trHeight w:val="685" w:hRule="atLeast"/>
        </w:trPr>
        <w:tc>
          <w:tcPr>
            <w:tcW w:w="1448"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7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全部设备购置未按公开招标方式执行，得分为0分。</w:t>
            </w:r>
          </w:p>
        </w:tc>
        <w:tc>
          <w:tcPr>
            <w:tcW w:w="3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p>
        </w:tc>
      </w:tr>
      <w:tr>
        <w:tblPrEx>
          <w:tblCellMar>
            <w:top w:w="0" w:type="dxa"/>
            <w:left w:w="0" w:type="dxa"/>
            <w:bottom w:w="0" w:type="dxa"/>
            <w:right w:w="0" w:type="dxa"/>
          </w:tblCellMar>
        </w:tblPrEx>
        <w:trPr>
          <w:trHeight w:val="1173" w:hRule="atLeast"/>
        </w:trPr>
        <w:tc>
          <w:tcPr>
            <w:tcW w:w="1448"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项目组织管理情况</w:t>
            </w:r>
          </w:p>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（10分）</w:t>
            </w:r>
          </w:p>
        </w:tc>
        <w:tc>
          <w:tcPr>
            <w:tcW w:w="1372"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定期报告项目实施进展情况（5分）</w:t>
            </w:r>
          </w:p>
        </w:tc>
        <w:tc>
          <w:tcPr>
            <w:tcW w:w="2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按时提交项目实施进展，满分5分，1次未按时提交扣0.5分，最多扣5分。</w:t>
            </w:r>
          </w:p>
        </w:tc>
        <w:tc>
          <w:tcPr>
            <w:tcW w:w="3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以市发展改革委项目验收管理系统的报告数据为依据。</w:t>
            </w:r>
          </w:p>
        </w:tc>
      </w:tr>
      <w:tr>
        <w:tblPrEx>
          <w:tblCellMar>
            <w:top w:w="0" w:type="dxa"/>
            <w:left w:w="0" w:type="dxa"/>
            <w:bottom w:w="0" w:type="dxa"/>
            <w:right w:w="0" w:type="dxa"/>
          </w:tblCellMar>
        </w:tblPrEx>
        <w:trPr>
          <w:trHeight w:val="3969" w:hRule="atLeast"/>
        </w:trPr>
        <w:tc>
          <w:tcPr>
            <w:tcW w:w="917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p>
          <w:p>
            <w:pPr>
              <w:widowControl/>
              <w:overflowPunct w:val="0"/>
              <w:adjustRightInd w:val="0"/>
              <w:snapToGrid w:val="0"/>
              <w:ind w:left="42" w:leftChars="20" w:right="42" w:rightChars="20"/>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专家意见（可另附页，验收总体意见以及分别对投资、建设内容、绩效目标、专项资金使用等完成情况作出具体评价）：</w:t>
            </w:r>
          </w:p>
        </w:tc>
      </w:tr>
    </w:tbl>
    <w:p>
      <w:pPr>
        <w:sectPr>
          <w:pgSz w:w="11906" w:h="16838"/>
          <w:pgMar w:top="1440" w:right="1800" w:bottom="1440" w:left="1800" w:header="851" w:footer="737" w:gutter="0"/>
          <w:cols w:space="425" w:num="1"/>
          <w:docGrid w:type="lines" w:linePitch="312" w:charSpace="0"/>
        </w:sectPr>
      </w:pPr>
    </w:p>
    <w:p>
      <w:pPr>
        <w:spacing w:line="500" w:lineRule="exact"/>
        <w:rPr>
          <w:rFonts w:ascii="仿宋_GB2312" w:hAnsi="Times New Roman" w:eastAsia="仿宋_GB2312"/>
          <w:b/>
          <w:color w:val="000000"/>
          <w:sz w:val="32"/>
          <w:szCs w:val="32"/>
        </w:rPr>
      </w:pPr>
      <w:r>
        <w:rPr>
          <w:rFonts w:hint="eastAsia" w:ascii="仿宋_GB2312" w:hAnsi="Times New Roman" w:eastAsia="仿宋_GB2312"/>
          <w:b/>
          <w:color w:val="000000"/>
          <w:sz w:val="32"/>
          <w:szCs w:val="32"/>
        </w:rPr>
        <w:t>附件3</w:t>
      </w:r>
    </w:p>
    <w:p>
      <w:pPr>
        <w:spacing w:line="500" w:lineRule="exact"/>
        <w:jc w:val="center"/>
        <w:rPr>
          <w:rFonts w:ascii="仿宋_GB2312" w:hAnsi="仿宋_GB2312" w:cs="仿宋_GB2312"/>
          <w:b/>
          <w:szCs w:val="32"/>
        </w:rPr>
      </w:pPr>
    </w:p>
    <w:p>
      <w:pPr>
        <w:widowControl/>
        <w:snapToGrid w:val="0"/>
        <w:spacing w:line="500" w:lineRule="exact"/>
        <w:jc w:val="center"/>
        <w:rPr>
          <w:rFonts w:ascii="宋体" w:hAnsi="宋体" w:cs="宋体"/>
          <w:b/>
          <w:bCs/>
          <w:kern w:val="0"/>
          <w:sz w:val="38"/>
          <w:szCs w:val="38"/>
        </w:rPr>
      </w:pPr>
      <w:r>
        <w:rPr>
          <w:rFonts w:hint="eastAsia" w:ascii="宋体" w:hAnsi="宋体" w:cs="宋体"/>
          <w:b/>
          <w:sz w:val="38"/>
          <w:szCs w:val="38"/>
        </w:rPr>
        <w:t>前沿领域中试、产业化股权资助（事前资助）</w:t>
      </w:r>
      <w:r>
        <w:rPr>
          <w:rFonts w:hint="eastAsia" w:ascii="宋体" w:hAnsi="宋体" w:cs="宋体"/>
          <w:b/>
          <w:bCs/>
          <w:kern w:val="0"/>
          <w:sz w:val="38"/>
          <w:szCs w:val="38"/>
        </w:rPr>
        <w:t>类别项目验收专家综合评议打分表</w:t>
      </w:r>
    </w:p>
    <w:p>
      <w:pPr>
        <w:widowControl/>
        <w:snapToGrid w:val="0"/>
        <w:spacing w:line="500" w:lineRule="exact"/>
        <w:jc w:val="center"/>
        <w:rPr>
          <w:rFonts w:ascii="宋体" w:hAnsi="宋体" w:cs="宋体"/>
          <w:kern w:val="0"/>
          <w:sz w:val="38"/>
          <w:szCs w:val="38"/>
        </w:rPr>
      </w:pPr>
    </w:p>
    <w:p>
      <w:pPr>
        <w:widowControl/>
        <w:snapToGrid w:val="0"/>
        <w:spacing w:line="500" w:lineRule="exact"/>
        <w:jc w:val="left"/>
        <w:rPr>
          <w:rFonts w:ascii="仿宋_GB2312" w:hAnsi="仿宋" w:eastAsia="仿宋_GB2312" w:cs="宋体"/>
          <w:kern w:val="0"/>
          <w:sz w:val="30"/>
          <w:szCs w:val="30"/>
        </w:rPr>
      </w:pPr>
      <w:r>
        <w:rPr>
          <w:rFonts w:hint="eastAsia" w:ascii="仿宋_GB2312" w:hAnsi="仿宋" w:eastAsia="仿宋_GB2312" w:cs="宋体"/>
          <w:kern w:val="0"/>
          <w:sz w:val="30"/>
          <w:szCs w:val="30"/>
        </w:rPr>
        <w:t>项目名称：</w:t>
      </w:r>
    </w:p>
    <w:p>
      <w:pPr>
        <w:widowControl/>
        <w:snapToGrid w:val="0"/>
        <w:spacing w:line="500" w:lineRule="exact"/>
        <w:jc w:val="left"/>
        <w:rPr>
          <w:rFonts w:ascii="仿宋_GB2312" w:hAnsi="仿宋" w:eastAsia="仿宋_GB2312" w:cs="宋体"/>
          <w:kern w:val="0"/>
          <w:sz w:val="30"/>
          <w:szCs w:val="30"/>
        </w:rPr>
      </w:pPr>
      <w:r>
        <w:rPr>
          <w:rFonts w:hint="eastAsia" w:ascii="仿宋_GB2312" w:hAnsi="仿宋" w:eastAsia="仿宋_GB2312" w:cs="宋体"/>
          <w:kern w:val="0"/>
          <w:sz w:val="30"/>
          <w:szCs w:val="30"/>
        </w:rPr>
        <w:t>专家签名：</w:t>
      </w:r>
    </w:p>
    <w:p>
      <w:pPr>
        <w:spacing w:after="109" w:afterLines="35" w:line="500" w:lineRule="exact"/>
        <w:rPr>
          <w:rFonts w:ascii="仿宋_GB2312" w:hAnsi="仿宋" w:eastAsia="仿宋_GB2312" w:cs="宋体"/>
          <w:kern w:val="0"/>
          <w:sz w:val="30"/>
          <w:szCs w:val="30"/>
        </w:rPr>
      </w:pPr>
      <w:r>
        <w:rPr>
          <w:rFonts w:hint="eastAsia" w:ascii="仿宋_GB2312" w:hAnsi="仿宋" w:eastAsia="仿宋_GB2312" w:cs="宋体"/>
          <w:kern w:val="0"/>
          <w:sz w:val="30"/>
          <w:szCs w:val="30"/>
        </w:rPr>
        <w:t>项目综合得分：</w:t>
      </w:r>
    </w:p>
    <w:tbl>
      <w:tblPr>
        <w:tblStyle w:val="2"/>
        <w:tblW w:w="5503" w:type="pct"/>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8"/>
        <w:gridCol w:w="1346"/>
        <w:gridCol w:w="2826"/>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trPr>
        <w:tc>
          <w:tcPr>
            <w:tcW w:w="144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kern w:val="0"/>
                <w:sz w:val="20"/>
                <w:szCs w:val="20"/>
              </w:rPr>
              <w:t>一级指标</w:t>
            </w:r>
          </w:p>
        </w:tc>
        <w:tc>
          <w:tcPr>
            <w:tcW w:w="13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kern w:val="0"/>
                <w:sz w:val="20"/>
                <w:szCs w:val="20"/>
              </w:rPr>
              <w:t>二级指标</w:t>
            </w:r>
          </w:p>
        </w:tc>
        <w:tc>
          <w:tcPr>
            <w:tcW w:w="28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kern w:val="0"/>
                <w:sz w:val="20"/>
                <w:szCs w:val="20"/>
              </w:rPr>
              <w:t>评分标准</w:t>
            </w:r>
          </w:p>
        </w:tc>
        <w:tc>
          <w:tcPr>
            <w:tcW w:w="35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kern w:val="0"/>
                <w:sz w:val="20"/>
                <w:szCs w:val="20"/>
              </w:rPr>
              <w:t>参考评分细则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1448"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投资完成情况（50分）</w:t>
            </w:r>
          </w:p>
        </w:tc>
        <w:tc>
          <w:tcPr>
            <w:tcW w:w="13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总投资额完成情况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（20分）</w:t>
            </w:r>
          </w:p>
        </w:tc>
        <w:tc>
          <w:tcPr>
            <w:tcW w:w="28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全部或超额完成批复文件或项目合同书规定要求（实际总投资额</w:t>
            </w:r>
            <w:r>
              <w:rPr>
                <w:rFonts w:hint="eastAsia" w:cs="Arial"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计划总投资额≥100%），得分为20分。</w:t>
            </w:r>
          </w:p>
        </w:tc>
        <w:tc>
          <w:tcPr>
            <w:tcW w:w="35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1448"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基本完成批复文件或项目合同书规定要求（实际总投资额</w:t>
            </w:r>
            <w:r>
              <w:rPr>
                <w:rFonts w:hint="eastAsia" w:cs="Arial"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计划总投资额≥80%），得分为12-19分。</w:t>
            </w:r>
          </w:p>
        </w:tc>
        <w:tc>
          <w:tcPr>
            <w:tcW w:w="35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90%≤比例＜100%，得16-19分；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80%≤比例＜90%，得12-15分。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448"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p>
        </w:tc>
        <w:tc>
          <w:tcPr>
            <w:tcW w:w="28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项目实际总投资额未达到计划总投资额80%的，不予安排验收。</w:t>
            </w:r>
          </w:p>
        </w:tc>
        <w:tc>
          <w:tcPr>
            <w:tcW w:w="35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448"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设备仪器建设情况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（20分）</w:t>
            </w:r>
          </w:p>
        </w:tc>
        <w:tc>
          <w:tcPr>
            <w:tcW w:w="28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全部或超额完成批复文件或项目合同书规定要求，得分为20分。</w:t>
            </w:r>
          </w:p>
        </w:tc>
        <w:tc>
          <w:tcPr>
            <w:tcW w:w="35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实际购置与项目相关的设备金额÷计划设备购置额≥100%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1448"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基本完成批复文件或项目合同书规定要求，得分为12-19分。</w:t>
            </w:r>
          </w:p>
        </w:tc>
        <w:tc>
          <w:tcPr>
            <w:tcW w:w="35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90%≤实际购置与本项目相关的设备金额÷计划设备购置额＜100%，得16-19分；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80%≤实际购置与本项目相关的设备金额÷计划设备购置额＜90%，得12-15分。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144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部分完成批复文件或项目合同书规定要求，得分为0-11分。</w:t>
            </w:r>
          </w:p>
        </w:tc>
        <w:tc>
          <w:tcPr>
            <w:tcW w:w="35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70%≤实际购置与本项目相关设备金额÷计划设备购置额＜80%，得9-11分；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60%≤实际购置与本项目相关设备金额÷计划设备购置额＜70%，得5-8分；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③ 50%≤实际购置与本项目相关设备金额÷计划设备购置额＜60%，得1-4分；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④ 实际购置与本项目相关设备金额÷计划设备购置额＜50%，得0分。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448"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投资完成情况（50分）</w:t>
            </w:r>
          </w:p>
        </w:tc>
        <w:tc>
          <w:tcPr>
            <w:tcW w:w="13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场地建设情况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（10分）</w:t>
            </w:r>
          </w:p>
        </w:tc>
        <w:tc>
          <w:tcPr>
            <w:tcW w:w="28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全部或超额完成批复文件或项目合同书规定要求（实际改扩建场地面积</w:t>
            </w:r>
            <w:r>
              <w:rPr>
                <w:rFonts w:hint="eastAsia" w:cs="Arial"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计划改扩建场地面积≥100%），得分为10分。</w:t>
            </w:r>
          </w:p>
        </w:tc>
        <w:tc>
          <w:tcPr>
            <w:tcW w:w="35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448"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基本完成批复文件或项目合同书规定要求（实际改扩建场地面积</w:t>
            </w:r>
            <w:r>
              <w:rPr>
                <w:rFonts w:hint="eastAsia" w:cs="Arial"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计划改扩建场地面积≥80%），得分为6-9分。</w:t>
            </w:r>
          </w:p>
        </w:tc>
        <w:tc>
          <w:tcPr>
            <w:tcW w:w="35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95%≤比例＜100%，得9分；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90%≤比例＜95%，得8分；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③ 85%≤比例＜90%，得7分；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④ 80%≤比例＜85%，得6分。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44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部分完成批复文件或项目合同书规定要求（实际改扩建场地面积</w:t>
            </w:r>
            <w:r>
              <w:rPr>
                <w:rFonts w:hint="eastAsia" w:cs="Arial"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计划改扩建场地面积&lt;80%），得分为0-5分。</w:t>
            </w:r>
          </w:p>
        </w:tc>
        <w:tc>
          <w:tcPr>
            <w:tcW w:w="35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60%≤比例＜80%，得4-5分；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30%≤比例＜60%，得1-3分；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③ 比例＜30%，得0分。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44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经济效益情况（25分）</w:t>
            </w:r>
          </w:p>
        </w:tc>
        <w:tc>
          <w:tcPr>
            <w:tcW w:w="13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生产或服务能力指标完成情况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（25分）</w:t>
            </w:r>
          </w:p>
        </w:tc>
        <w:tc>
          <w:tcPr>
            <w:tcW w:w="28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达到或超出批复文件或项目合同书规定要求，得分为25分。</w:t>
            </w:r>
          </w:p>
        </w:tc>
        <w:tc>
          <w:tcPr>
            <w:tcW w:w="35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实际完成生产或服务能力指标÷批复要求完成生产或服务能力指标≥100%。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144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基本达到批复文件或项目合同书规定要求，得分为15-24分。</w:t>
            </w:r>
          </w:p>
        </w:tc>
        <w:tc>
          <w:tcPr>
            <w:tcW w:w="35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90%≤实际完成生产或服务能力指标÷批复要求完成生产或服务能力指标＜100%，得20-24分；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80%≤实际完成生产或服务能力指标÷批复要求完成生产或服务能力指标＜90%，得15-19分。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8" w:hRule="atLeast"/>
        </w:trPr>
        <w:tc>
          <w:tcPr>
            <w:tcW w:w="144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与批复文件或项目合同书规定要求相差较大，得分为0-14分。</w:t>
            </w:r>
          </w:p>
        </w:tc>
        <w:tc>
          <w:tcPr>
            <w:tcW w:w="35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70%≤实际完成生产或服务能力指标÷批复要求完成生产或服务能力指标＜80%，得 8-14分；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60%≤实际完成生产或服务能力指标÷批复要求完成生产或服务能力指标＜70%，得1-7分；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③ 实际完成生产或服务能力指标÷批复要求完成生产或服务能力指标＜60%，得0分。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48"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专项资金管理使用情况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（15分）</w:t>
            </w:r>
          </w:p>
        </w:tc>
        <w:tc>
          <w:tcPr>
            <w:tcW w:w="1346"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项目专项资金使用情况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（10分）</w:t>
            </w:r>
          </w:p>
        </w:tc>
        <w:tc>
          <w:tcPr>
            <w:tcW w:w="28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按批复文件或项目合同书执行，得分为10分。</w:t>
            </w:r>
          </w:p>
        </w:tc>
        <w:tc>
          <w:tcPr>
            <w:tcW w:w="35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专项资金被全部用于购置批复清单内的设备，得10分。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3" w:hRule="atLeast"/>
        </w:trPr>
        <w:tc>
          <w:tcPr>
            <w:tcW w:w="144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基本按批复文件或项目合同书执行，得分为0－9分。</w:t>
            </w:r>
          </w:p>
        </w:tc>
        <w:tc>
          <w:tcPr>
            <w:tcW w:w="35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90%≤实际使用专项资金购买批复清单内设备的金额占专项资金总额＜100%，得7-9分；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80%≤实际使用专项资金购买批复清单内设备的金额占专项资金总额＜90%，得5-6分；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③ 70%≤实际使用专项资金购买批复清单内设备的金额占专项资金总额＜80%，得3-4分；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④ 60%≤实际使用专项资金购买批复清单内设备的金额占专项资金总额＜70%，得1-2分；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⑤ 实际使用专项资金购买批复清单内设备的金额占专项资金总额＜60%，得0分。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1448"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专项资金管理使用情况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（15分）</w:t>
            </w:r>
          </w:p>
        </w:tc>
        <w:tc>
          <w:tcPr>
            <w:tcW w:w="13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项目专项资金使用情况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（10分）</w:t>
            </w:r>
          </w:p>
        </w:tc>
        <w:tc>
          <w:tcPr>
            <w:tcW w:w="28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没有按批复文件或项目合同书执行，且未按规定程序申请调整或申请未获批复的，不予安排验收。</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超过批复资助设备购置总金额的40%被用于购置批复清单范围以外的设备，且未按规定程序申请调整或申请未获批复。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448"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财务管理情况（2分）</w:t>
            </w:r>
          </w:p>
        </w:tc>
        <w:tc>
          <w:tcPr>
            <w:tcW w:w="28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制定了完善的政府专项资金管理相关配套制度，得分为2分。</w:t>
            </w:r>
          </w:p>
        </w:tc>
        <w:tc>
          <w:tcPr>
            <w:tcW w:w="35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制定明确的项目专项资金管理办法及招投标管理办法、核心支出费用管理办法等相关配套制度。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448"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制定了较为完善的政府专项资金管理相关配套制度，得分为1分。</w:t>
            </w:r>
          </w:p>
        </w:tc>
        <w:tc>
          <w:tcPr>
            <w:tcW w:w="35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制定项目专项资金管理办法及招投标管理办法或核心支出费用管理办法等相关配套制度。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448"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未制定政府专项资金管理相关配套制度，得分为0分。</w:t>
            </w:r>
          </w:p>
        </w:tc>
        <w:tc>
          <w:tcPr>
            <w:tcW w:w="35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未制定项目专项资金管理办法，或招投标管理办法，或核心支出费用管理办法等相关配套制度。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448"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项目专项资金会计核算情况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（3分)</w:t>
            </w:r>
          </w:p>
        </w:tc>
        <w:tc>
          <w:tcPr>
            <w:tcW w:w="28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单独核算，核算内容真实、准确、完整，审批程序和手续完备，得分为3分。</w:t>
            </w:r>
          </w:p>
        </w:tc>
        <w:tc>
          <w:tcPr>
            <w:tcW w:w="35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由专家进行专业判断打分。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448"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单独核算，核算内容基本真实、准确、完整，审批程序和手续基本完善，得分为1－2分。</w:t>
            </w:r>
          </w:p>
        </w:tc>
        <w:tc>
          <w:tcPr>
            <w:tcW w:w="35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由专家进行专业判断打分。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44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未单独核算的，不予安排验收。</w:t>
            </w:r>
          </w:p>
        </w:tc>
        <w:tc>
          <w:tcPr>
            <w:tcW w:w="35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448"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项目组织管理情况</w:t>
            </w:r>
          </w:p>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（10分）</w:t>
            </w:r>
          </w:p>
        </w:tc>
        <w:tc>
          <w:tcPr>
            <w:tcW w:w="13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专项资金购买设备情况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（5分）</w:t>
            </w:r>
          </w:p>
        </w:tc>
        <w:tc>
          <w:tcPr>
            <w:tcW w:w="28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全部设备购置按公开招标方式执行，得分为5分。</w:t>
            </w:r>
          </w:p>
        </w:tc>
        <w:tc>
          <w:tcPr>
            <w:tcW w:w="35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实际购置批复清单内的设备全部采取公开招标进行购置。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1" w:hRule="atLeast"/>
        </w:trPr>
        <w:tc>
          <w:tcPr>
            <w:tcW w:w="1448"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kern w:val="0"/>
                <w:sz w:val="20"/>
                <w:szCs w:val="20"/>
              </w:rPr>
            </w:pPr>
          </w:p>
        </w:tc>
        <w:tc>
          <w:tcPr>
            <w:tcW w:w="13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kern w:val="0"/>
                <w:sz w:val="20"/>
                <w:szCs w:val="20"/>
              </w:rPr>
            </w:pPr>
          </w:p>
        </w:tc>
        <w:tc>
          <w:tcPr>
            <w:tcW w:w="28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部分设备购置按公开招标方式执行，得分为1-4分。</w:t>
            </w:r>
          </w:p>
        </w:tc>
        <w:tc>
          <w:tcPr>
            <w:tcW w:w="35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75%＜公开招标购置专项设备总金额÷实际购置专项设备总金额＜100%，得4分；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50%＜公开招标购置专项设备总金额÷实际购置专项设备总金额＜75%，得3分；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③ 25%＜公开招标购置专项设备总金额÷实际购置专项设备总金额＜50%，得2分；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④ 0%＜公开招标购置专项设备总金额÷实际购置专项设备总金额＜25%，得1分。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44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全部设备购置未按公开招标方式执行，得分为0分。</w:t>
            </w:r>
          </w:p>
        </w:tc>
        <w:tc>
          <w:tcPr>
            <w:tcW w:w="35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44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项目组织管理情况</w:t>
            </w:r>
          </w:p>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（10分）</w:t>
            </w:r>
          </w:p>
        </w:tc>
        <w:tc>
          <w:tcPr>
            <w:tcW w:w="13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定期报告项目实施进展情况（5分）</w:t>
            </w:r>
          </w:p>
        </w:tc>
        <w:tc>
          <w:tcPr>
            <w:tcW w:w="28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按时提交项目实施进展，满分5分，1次未按时提交扣0.5分，最多扣5分。</w:t>
            </w:r>
          </w:p>
        </w:tc>
        <w:tc>
          <w:tcPr>
            <w:tcW w:w="35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以市发展改革委项目验收管理系统的报告数据为依据。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trPr>
        <w:tc>
          <w:tcPr>
            <w:tcW w:w="9175"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p>
          <w:p>
            <w:pPr>
              <w:widowControl/>
              <w:overflowPunct w:val="0"/>
              <w:adjustRightInd w:val="0"/>
              <w:snapToGrid w:val="0"/>
              <w:ind w:left="42" w:leftChars="20" w:right="42" w:rightChars="20"/>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专家意见（可另附页，验收总体意见以及分别对投资、建设内容、绩效目标、专项资金使用等完成情况作出具体评价）：</w:t>
            </w:r>
          </w:p>
        </w:tc>
      </w:tr>
    </w:tbl>
    <w:p>
      <w:pPr>
        <w:sectPr>
          <w:pgSz w:w="11906" w:h="16838"/>
          <w:pgMar w:top="1440" w:right="1800" w:bottom="1440" w:left="1800" w:header="851" w:footer="737" w:gutter="0"/>
          <w:cols w:space="425" w:num="1"/>
          <w:docGrid w:type="lines" w:linePitch="312" w:charSpace="0"/>
        </w:sectPr>
      </w:pPr>
    </w:p>
    <w:p>
      <w:pPr>
        <w:spacing w:line="500" w:lineRule="exact"/>
        <w:rPr>
          <w:rFonts w:ascii="仿宋_GB2312" w:hAnsi="Times New Roman" w:eastAsia="仿宋_GB2312"/>
          <w:b/>
          <w:color w:val="000000"/>
          <w:sz w:val="32"/>
          <w:szCs w:val="32"/>
        </w:rPr>
      </w:pPr>
      <w:r>
        <w:rPr>
          <w:rFonts w:hint="eastAsia" w:ascii="仿宋_GB2312" w:hAnsi="Times New Roman" w:eastAsia="仿宋_GB2312"/>
          <w:b/>
          <w:color w:val="000000"/>
          <w:sz w:val="32"/>
          <w:szCs w:val="32"/>
        </w:rPr>
        <w:t>附件4</w:t>
      </w:r>
    </w:p>
    <w:p>
      <w:pPr>
        <w:spacing w:line="500" w:lineRule="exact"/>
        <w:jc w:val="center"/>
        <w:rPr>
          <w:rFonts w:ascii="仿宋_GB2312" w:hAnsi="仿宋_GB2312" w:eastAsia="仿宋_GB2312" w:cs="仿宋_GB2312"/>
          <w:bCs/>
          <w:sz w:val="32"/>
          <w:szCs w:val="32"/>
        </w:rPr>
      </w:pPr>
    </w:p>
    <w:p>
      <w:pPr>
        <w:widowControl/>
        <w:snapToGrid w:val="0"/>
        <w:spacing w:line="500" w:lineRule="exact"/>
        <w:jc w:val="center"/>
        <w:rPr>
          <w:rFonts w:ascii="宋体" w:hAnsi="宋体" w:cs="宋体"/>
          <w:b/>
          <w:bCs/>
          <w:kern w:val="0"/>
          <w:sz w:val="38"/>
          <w:szCs w:val="38"/>
        </w:rPr>
      </w:pPr>
      <w:r>
        <w:rPr>
          <w:rFonts w:hint="eastAsia" w:ascii="宋体" w:hAnsi="宋体" w:cs="宋体"/>
          <w:b/>
          <w:bCs/>
          <w:kern w:val="0"/>
          <w:sz w:val="38"/>
          <w:szCs w:val="38"/>
        </w:rPr>
        <w:t>产业化事后补助、产业化股权资助（事后资助）</w:t>
      </w:r>
      <w:r>
        <w:rPr>
          <w:rFonts w:ascii="宋体" w:hAnsi="宋体" w:cs="宋体"/>
          <w:b/>
          <w:bCs/>
          <w:kern w:val="0"/>
          <w:sz w:val="38"/>
          <w:szCs w:val="38"/>
        </w:rPr>
        <w:br w:type="textWrapping"/>
      </w:r>
      <w:r>
        <w:rPr>
          <w:rFonts w:hint="eastAsia" w:ascii="宋体" w:hAnsi="宋体" w:cs="宋体"/>
          <w:b/>
          <w:bCs/>
          <w:kern w:val="0"/>
          <w:sz w:val="38"/>
          <w:szCs w:val="38"/>
        </w:rPr>
        <w:t>类别项目验收专家综合评议打分表</w:t>
      </w:r>
    </w:p>
    <w:p>
      <w:pPr>
        <w:widowControl/>
        <w:snapToGrid w:val="0"/>
        <w:spacing w:line="500" w:lineRule="exact"/>
        <w:jc w:val="center"/>
        <w:rPr>
          <w:rFonts w:ascii="宋体" w:hAnsi="宋体" w:cs="宋体"/>
          <w:kern w:val="0"/>
          <w:sz w:val="38"/>
          <w:szCs w:val="38"/>
        </w:rPr>
      </w:pPr>
    </w:p>
    <w:p>
      <w:pPr>
        <w:widowControl/>
        <w:snapToGrid w:val="0"/>
        <w:spacing w:line="500" w:lineRule="exact"/>
        <w:jc w:val="left"/>
        <w:rPr>
          <w:rFonts w:ascii="仿宋_GB2312" w:hAnsi="仿宋" w:eastAsia="仿宋_GB2312" w:cs="宋体"/>
          <w:kern w:val="0"/>
          <w:sz w:val="30"/>
          <w:szCs w:val="30"/>
        </w:rPr>
      </w:pPr>
      <w:r>
        <w:rPr>
          <w:rFonts w:hint="eastAsia" w:ascii="仿宋_GB2312" w:hAnsi="仿宋" w:eastAsia="仿宋_GB2312" w:cs="宋体"/>
          <w:kern w:val="0"/>
          <w:sz w:val="30"/>
          <w:szCs w:val="30"/>
        </w:rPr>
        <w:t>项目名称：</w:t>
      </w:r>
    </w:p>
    <w:p>
      <w:pPr>
        <w:widowControl/>
        <w:snapToGrid w:val="0"/>
        <w:spacing w:line="500" w:lineRule="exact"/>
        <w:jc w:val="left"/>
        <w:rPr>
          <w:rFonts w:ascii="仿宋_GB2312" w:hAnsi="仿宋" w:eastAsia="仿宋_GB2312" w:cs="宋体"/>
          <w:kern w:val="0"/>
          <w:sz w:val="30"/>
          <w:szCs w:val="30"/>
        </w:rPr>
      </w:pPr>
      <w:r>
        <w:rPr>
          <w:rFonts w:hint="eastAsia" w:ascii="仿宋_GB2312" w:hAnsi="仿宋" w:eastAsia="仿宋_GB2312" w:cs="宋体"/>
          <w:kern w:val="0"/>
          <w:sz w:val="30"/>
          <w:szCs w:val="30"/>
        </w:rPr>
        <w:t>专家签名：</w:t>
      </w:r>
    </w:p>
    <w:p>
      <w:pPr>
        <w:spacing w:after="109" w:afterLines="35" w:line="500" w:lineRule="exact"/>
        <w:rPr>
          <w:rFonts w:ascii="仿宋_GB2312" w:hAnsi="仿宋" w:eastAsia="仿宋_GB2312" w:cs="宋体"/>
          <w:kern w:val="0"/>
          <w:sz w:val="30"/>
          <w:szCs w:val="30"/>
        </w:rPr>
      </w:pPr>
      <w:r>
        <w:rPr>
          <w:rFonts w:hint="eastAsia" w:ascii="仿宋_GB2312" w:hAnsi="仿宋" w:eastAsia="仿宋_GB2312" w:cs="宋体"/>
          <w:kern w:val="0"/>
          <w:sz w:val="30"/>
          <w:szCs w:val="30"/>
        </w:rPr>
        <w:t>项目综合得分：</w:t>
      </w:r>
    </w:p>
    <w:tbl>
      <w:tblPr>
        <w:tblStyle w:val="2"/>
        <w:tblW w:w="5503" w:type="pct"/>
        <w:tblInd w:w="-411" w:type="dxa"/>
        <w:tblLayout w:type="autofit"/>
        <w:tblCellMar>
          <w:top w:w="0" w:type="dxa"/>
          <w:left w:w="108" w:type="dxa"/>
          <w:bottom w:w="0" w:type="dxa"/>
          <w:right w:w="108" w:type="dxa"/>
        </w:tblCellMar>
      </w:tblPr>
      <w:tblGrid>
        <w:gridCol w:w="1448"/>
        <w:gridCol w:w="1346"/>
        <w:gridCol w:w="2826"/>
        <w:gridCol w:w="3555"/>
      </w:tblGrid>
      <w:tr>
        <w:tblPrEx>
          <w:tblCellMar>
            <w:top w:w="0" w:type="dxa"/>
            <w:left w:w="108" w:type="dxa"/>
            <w:bottom w:w="0" w:type="dxa"/>
            <w:right w:w="108" w:type="dxa"/>
          </w:tblCellMar>
        </w:tblPrEx>
        <w:trPr>
          <w:trHeight w:val="482" w:hRule="atLeast"/>
          <w:tblHeader/>
        </w:trPr>
        <w:tc>
          <w:tcPr>
            <w:tcW w:w="144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kern w:val="0"/>
                <w:sz w:val="20"/>
                <w:szCs w:val="20"/>
              </w:rPr>
              <w:t>一级指标</w:t>
            </w:r>
          </w:p>
        </w:tc>
        <w:tc>
          <w:tcPr>
            <w:tcW w:w="134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kern w:val="0"/>
                <w:sz w:val="20"/>
                <w:szCs w:val="20"/>
              </w:rPr>
              <w:t>二级指标</w:t>
            </w:r>
          </w:p>
        </w:tc>
        <w:tc>
          <w:tcPr>
            <w:tcW w:w="282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kern w:val="0"/>
                <w:sz w:val="20"/>
                <w:szCs w:val="20"/>
              </w:rPr>
              <w:t>评分标准</w:t>
            </w:r>
          </w:p>
        </w:tc>
        <w:tc>
          <w:tcPr>
            <w:tcW w:w="3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kern w:val="0"/>
                <w:sz w:val="20"/>
                <w:szCs w:val="20"/>
              </w:rPr>
              <w:t>参考评分细则</w:t>
            </w:r>
          </w:p>
        </w:tc>
      </w:tr>
      <w:tr>
        <w:tblPrEx>
          <w:tblCellMar>
            <w:top w:w="0" w:type="dxa"/>
            <w:left w:w="108" w:type="dxa"/>
            <w:bottom w:w="0" w:type="dxa"/>
            <w:right w:w="108" w:type="dxa"/>
          </w:tblCellMar>
        </w:tblPrEx>
        <w:trPr>
          <w:trHeight w:val="1304" w:hRule="atLeast"/>
        </w:trPr>
        <w:tc>
          <w:tcPr>
            <w:tcW w:w="1448"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投资完成情况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（50分）</w:t>
            </w:r>
          </w:p>
        </w:tc>
        <w:tc>
          <w:tcPr>
            <w:tcW w:w="1346"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总投资额完成情况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（20分）</w:t>
            </w:r>
          </w:p>
        </w:tc>
        <w:tc>
          <w:tcPr>
            <w:tcW w:w="28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全部或超额完成批复文件或项目合同书规定要求（实际总投资额</w:t>
            </w:r>
            <w:r>
              <w:rPr>
                <w:rFonts w:hint="eastAsia" w:cs="Arial"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计划总投资额≥100%），得分为20分。</w:t>
            </w:r>
          </w:p>
        </w:tc>
        <w:tc>
          <w:tcPr>
            <w:tcW w:w="355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1304" w:hRule="atLeast"/>
        </w:trPr>
        <w:tc>
          <w:tcPr>
            <w:tcW w:w="1448"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46"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基本完成批复文件或项目合同书规定要求（实际总投资额</w:t>
            </w:r>
            <w:r>
              <w:rPr>
                <w:rFonts w:hint="eastAsia" w:cs="Arial"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计划总投资额≥80%），得分为12-19分。</w:t>
            </w:r>
          </w:p>
        </w:tc>
        <w:tc>
          <w:tcPr>
            <w:tcW w:w="355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90%≤比例＜100%，得16-19分；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80%≤比例＜90%，得12-15分。</w:t>
            </w:r>
          </w:p>
        </w:tc>
      </w:tr>
      <w:tr>
        <w:tblPrEx>
          <w:tblCellMar>
            <w:top w:w="0" w:type="dxa"/>
            <w:left w:w="108" w:type="dxa"/>
            <w:bottom w:w="0" w:type="dxa"/>
            <w:right w:w="108" w:type="dxa"/>
          </w:tblCellMar>
        </w:tblPrEx>
        <w:trPr>
          <w:trHeight w:val="1134" w:hRule="atLeast"/>
        </w:trPr>
        <w:tc>
          <w:tcPr>
            <w:tcW w:w="1448"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p>
        </w:tc>
        <w:tc>
          <w:tcPr>
            <w:tcW w:w="28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项目实际总投资额未达到计划总投资额80%的，不予安排验收。</w:t>
            </w:r>
          </w:p>
        </w:tc>
        <w:tc>
          <w:tcPr>
            <w:tcW w:w="355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1079" w:hRule="atLeast"/>
        </w:trPr>
        <w:tc>
          <w:tcPr>
            <w:tcW w:w="1448"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设备仪器建设情况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（20分）</w:t>
            </w:r>
          </w:p>
        </w:tc>
        <w:tc>
          <w:tcPr>
            <w:tcW w:w="28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全部或超额完成批复文件或项目合同书规定要求，得分为20分。</w:t>
            </w:r>
          </w:p>
        </w:tc>
        <w:tc>
          <w:tcPr>
            <w:tcW w:w="355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实际购置与项目相关的设备金额÷计划设备购置额≥100%</w:t>
            </w:r>
          </w:p>
        </w:tc>
      </w:tr>
      <w:tr>
        <w:tblPrEx>
          <w:tblCellMar>
            <w:top w:w="0" w:type="dxa"/>
            <w:left w:w="108" w:type="dxa"/>
            <w:bottom w:w="0" w:type="dxa"/>
            <w:right w:w="108" w:type="dxa"/>
          </w:tblCellMar>
        </w:tblPrEx>
        <w:trPr>
          <w:trHeight w:val="1840" w:hRule="atLeast"/>
        </w:trPr>
        <w:tc>
          <w:tcPr>
            <w:tcW w:w="1448"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基本完成批复文件或项目合同书规定要求，得分为12-19分。</w:t>
            </w:r>
          </w:p>
        </w:tc>
        <w:tc>
          <w:tcPr>
            <w:tcW w:w="355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90%≤实际购置与本项目相关的设备金额÷计划设备购置额＜100%，得16-19分；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80%≤实际购置与本项目相关的设备金额÷计划设备购置额＜90%，得 12-15分。</w:t>
            </w:r>
          </w:p>
        </w:tc>
      </w:tr>
      <w:tr>
        <w:tblPrEx>
          <w:tblCellMar>
            <w:top w:w="0" w:type="dxa"/>
            <w:left w:w="108" w:type="dxa"/>
            <w:bottom w:w="0" w:type="dxa"/>
            <w:right w:w="108" w:type="dxa"/>
          </w:tblCellMar>
        </w:tblPrEx>
        <w:trPr>
          <w:trHeight w:val="2372" w:hRule="atLeast"/>
        </w:trPr>
        <w:tc>
          <w:tcPr>
            <w:tcW w:w="144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部分完成批复文件或项目合同书规定要求，得分为0-11分。</w:t>
            </w:r>
          </w:p>
        </w:tc>
        <w:tc>
          <w:tcPr>
            <w:tcW w:w="355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70%≤实际购置与本项目相关设备金额÷计划设备购置额＜80%，得9-11分；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60%≤实际购置与本项目相关设备金额÷计划设备购置额＜70%，得5-8分；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③ 50%≤实际购置与本项目相关设备金额÷计划设备购置额＜60%，得1-4分；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④ 实际购置与本项目相关设备金额÷计划设备购置额＜50%，得0分。</w:t>
            </w:r>
          </w:p>
        </w:tc>
      </w:tr>
      <w:tr>
        <w:tblPrEx>
          <w:tblCellMar>
            <w:top w:w="0" w:type="dxa"/>
            <w:left w:w="108" w:type="dxa"/>
            <w:bottom w:w="0" w:type="dxa"/>
            <w:right w:w="108" w:type="dxa"/>
          </w:tblCellMar>
        </w:tblPrEx>
        <w:trPr>
          <w:trHeight w:val="1094" w:hRule="atLeast"/>
        </w:trPr>
        <w:tc>
          <w:tcPr>
            <w:tcW w:w="1448"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投资完成情况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（50分）</w:t>
            </w:r>
          </w:p>
        </w:tc>
        <w:tc>
          <w:tcPr>
            <w:tcW w:w="13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场地建设情况（10分）</w:t>
            </w:r>
          </w:p>
        </w:tc>
        <w:tc>
          <w:tcPr>
            <w:tcW w:w="28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全部或超额完成批复文件或项目合同书规定要求（实际改扩建场地面积</w:t>
            </w:r>
            <w:r>
              <w:rPr>
                <w:rFonts w:hint="eastAsia" w:cs="Arial"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计划改扩建场地面积≥100%），得分为10分。</w:t>
            </w:r>
          </w:p>
        </w:tc>
        <w:tc>
          <w:tcPr>
            <w:tcW w:w="355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1134" w:hRule="atLeast"/>
        </w:trPr>
        <w:tc>
          <w:tcPr>
            <w:tcW w:w="1448"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基本完成批复文件或项目合同书规定要求（实际改扩建场地面积</w:t>
            </w:r>
            <w:r>
              <w:rPr>
                <w:rFonts w:hint="eastAsia" w:cs="Arial"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计划改扩建场地面积≥80%），得分为6-9分。</w:t>
            </w:r>
          </w:p>
        </w:tc>
        <w:tc>
          <w:tcPr>
            <w:tcW w:w="355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95%≤比例＜100%，得9分；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90%≤比例＜95%，得8分；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③ 85%≤比例＜90%，得7分；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④ 80%≤比例＜85%，得6分。</w:t>
            </w:r>
          </w:p>
        </w:tc>
      </w:tr>
      <w:tr>
        <w:tblPrEx>
          <w:tblCellMar>
            <w:top w:w="0" w:type="dxa"/>
            <w:left w:w="108" w:type="dxa"/>
            <w:bottom w:w="0" w:type="dxa"/>
            <w:right w:w="108" w:type="dxa"/>
          </w:tblCellMar>
        </w:tblPrEx>
        <w:trPr>
          <w:trHeight w:val="1134" w:hRule="atLeast"/>
        </w:trPr>
        <w:tc>
          <w:tcPr>
            <w:tcW w:w="144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部分完成批复文件或项目合同书规定要求（实际改扩建场地面积</w:t>
            </w:r>
            <w:r>
              <w:rPr>
                <w:rFonts w:hint="eastAsia" w:cs="Arial"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计划改扩建场地面积&lt;80%），得分为0-5分。</w:t>
            </w:r>
          </w:p>
        </w:tc>
        <w:tc>
          <w:tcPr>
            <w:tcW w:w="355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60%≤比例＜80%，得4-5分；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30%≤比例＜60%，得1-3分；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③ 比例＜30%，得0分。</w:t>
            </w:r>
          </w:p>
        </w:tc>
      </w:tr>
      <w:tr>
        <w:tblPrEx>
          <w:tblCellMar>
            <w:top w:w="0" w:type="dxa"/>
            <w:left w:w="108" w:type="dxa"/>
            <w:bottom w:w="0" w:type="dxa"/>
            <w:right w:w="108" w:type="dxa"/>
          </w:tblCellMar>
        </w:tblPrEx>
        <w:trPr>
          <w:trHeight w:val="627" w:hRule="atLeast"/>
        </w:trPr>
        <w:tc>
          <w:tcPr>
            <w:tcW w:w="1448" w:type="dxa"/>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经济效益情况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（30分）</w:t>
            </w:r>
          </w:p>
        </w:tc>
        <w:tc>
          <w:tcPr>
            <w:tcW w:w="1346" w:type="dxa"/>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生产或服务能力指标完成情况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（30分）</w:t>
            </w:r>
          </w:p>
        </w:tc>
        <w:tc>
          <w:tcPr>
            <w:tcW w:w="282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达到或超出批复文件或项目合同书规定要求，得分为30分。</w:t>
            </w:r>
          </w:p>
        </w:tc>
        <w:tc>
          <w:tcPr>
            <w:tcW w:w="355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实际完成生产或服务能力指标÷批复要求完成生产或服务能力指标≥100%</w:t>
            </w:r>
          </w:p>
        </w:tc>
      </w:tr>
      <w:tr>
        <w:tblPrEx>
          <w:tblCellMar>
            <w:top w:w="0" w:type="dxa"/>
            <w:left w:w="108" w:type="dxa"/>
            <w:bottom w:w="0" w:type="dxa"/>
            <w:right w:w="108" w:type="dxa"/>
          </w:tblCellMar>
        </w:tblPrEx>
        <w:tc>
          <w:tcPr>
            <w:tcW w:w="1448"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46"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基本达到批复文件或项目合同书规定要求，得分为18-29分。</w:t>
            </w:r>
          </w:p>
        </w:tc>
        <w:tc>
          <w:tcPr>
            <w:tcW w:w="355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spacing w:line="250" w:lineRule="exact"/>
              <w:ind w:left="42" w:leftChars="20" w:right="42" w:rightChars="20"/>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① 90%≤实际完成生产或服务能力指标÷批复要求完成生产或服务能力指标＜100%，得25-29分；</w:t>
            </w:r>
          </w:p>
          <w:p>
            <w:pPr>
              <w:overflowPunct w:val="0"/>
              <w:adjustRightInd w:val="0"/>
              <w:snapToGrid w:val="0"/>
              <w:spacing w:line="250" w:lineRule="exact"/>
              <w:ind w:left="42" w:leftChars="20" w:right="42" w:rightChars="20"/>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② 80%≤实际完成生产或服务能力指标÷批复要求完成生产或服务能力指标＜90%，得18-24分。</w:t>
            </w:r>
          </w:p>
        </w:tc>
      </w:tr>
      <w:tr>
        <w:tblPrEx>
          <w:tblCellMar>
            <w:top w:w="0" w:type="dxa"/>
            <w:left w:w="108" w:type="dxa"/>
            <w:bottom w:w="0" w:type="dxa"/>
            <w:right w:w="108" w:type="dxa"/>
          </w:tblCellMar>
        </w:tblPrEx>
        <w:trPr>
          <w:trHeight w:val="2127" w:hRule="atLeast"/>
        </w:trPr>
        <w:tc>
          <w:tcPr>
            <w:tcW w:w="1448"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46"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与批复文件或项目合同书规定要求相差较大，得分为0-17分。</w:t>
            </w:r>
          </w:p>
        </w:tc>
        <w:tc>
          <w:tcPr>
            <w:tcW w:w="3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spacing w:line="250" w:lineRule="exact"/>
              <w:ind w:left="42" w:leftChars="20" w:right="42" w:rightChars="20"/>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① 70%≤实际完成生产或服务能力指标÷批复要求完成生产或服务能力指标＜80%，得 10-17分；</w:t>
            </w:r>
          </w:p>
          <w:p>
            <w:pPr>
              <w:overflowPunct w:val="0"/>
              <w:adjustRightInd w:val="0"/>
              <w:snapToGrid w:val="0"/>
              <w:spacing w:line="250" w:lineRule="exact"/>
              <w:ind w:left="42" w:leftChars="20" w:right="42" w:rightChars="20"/>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② 60%≤实际完成生产或服务能力指标÷批复要求完成生产或服务能力指标＜70%，得1-9分；</w:t>
            </w:r>
          </w:p>
          <w:p>
            <w:pPr>
              <w:overflowPunct w:val="0"/>
              <w:adjustRightInd w:val="0"/>
              <w:snapToGrid w:val="0"/>
              <w:spacing w:line="250" w:lineRule="exact"/>
              <w:ind w:left="42" w:leftChars="20" w:right="42" w:rightChars="20"/>
              <w:rPr>
                <w:rFonts w:cs="宋体" w:asciiTheme="minorEastAsia" w:hAnsiTheme="minorEastAsia" w:eastAsiaTheme="minorEastAsia"/>
                <w:b/>
                <w:bCs/>
                <w:color w:val="1D41D5"/>
                <w:sz w:val="18"/>
                <w:szCs w:val="18"/>
              </w:rPr>
            </w:pPr>
            <w:r>
              <w:rPr>
                <w:rFonts w:hint="eastAsia" w:cs="宋体" w:asciiTheme="minorEastAsia" w:hAnsiTheme="minorEastAsia" w:eastAsiaTheme="minorEastAsia"/>
                <w:color w:val="000000"/>
                <w:sz w:val="18"/>
                <w:szCs w:val="18"/>
              </w:rPr>
              <w:t>③ 实际完成生产或服务能力指标÷批复要求完成生产或服务能力指标＜60%，得0分。</w:t>
            </w:r>
          </w:p>
        </w:tc>
      </w:tr>
      <w:tr>
        <w:tblPrEx>
          <w:tblCellMar>
            <w:top w:w="0" w:type="dxa"/>
            <w:left w:w="108" w:type="dxa"/>
            <w:bottom w:w="0" w:type="dxa"/>
            <w:right w:w="108" w:type="dxa"/>
          </w:tblCellMar>
        </w:tblPrEx>
        <w:trPr>
          <w:trHeight w:val="1162" w:hRule="atLeast"/>
        </w:trPr>
        <w:tc>
          <w:tcPr>
            <w:tcW w:w="1448"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项目组织管理情况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（20分）</w:t>
            </w:r>
          </w:p>
        </w:tc>
        <w:tc>
          <w:tcPr>
            <w:tcW w:w="1346"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项目组织实施的规范性</w:t>
            </w:r>
          </w:p>
          <w:p>
            <w:pPr>
              <w:overflowPunct w:val="0"/>
              <w:adjustRightInd w:val="0"/>
              <w:snapToGrid w:val="0"/>
              <w:ind w:left="42" w:leftChars="20" w:right="42" w:rightChars="20"/>
              <w:jc w:val="center"/>
              <w:rPr>
                <w:rFonts w:asciiTheme="minorEastAsia" w:hAnsiTheme="minorEastAsia" w:eastAsiaTheme="minorEastAsia"/>
                <w:sz w:val="20"/>
                <w:szCs w:val="20"/>
              </w:rPr>
            </w:pPr>
            <w:r>
              <w:rPr>
                <w:rFonts w:hint="eastAsia" w:cs="宋体" w:asciiTheme="minorEastAsia" w:hAnsiTheme="minorEastAsia" w:eastAsiaTheme="minorEastAsia"/>
                <w:color w:val="000000"/>
                <w:kern w:val="0"/>
                <w:sz w:val="20"/>
                <w:szCs w:val="20"/>
              </w:rPr>
              <w:t>（15分）</w:t>
            </w:r>
          </w:p>
        </w:tc>
        <w:tc>
          <w:tcPr>
            <w:tcW w:w="282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财务制度健全，管理规范，购置设备按批复文件或项目合同书规定的要求执行，得分为15分。</w:t>
            </w:r>
          </w:p>
        </w:tc>
        <w:tc>
          <w:tcPr>
            <w:tcW w:w="355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spacing w:line="250" w:lineRule="exact"/>
              <w:ind w:left="42" w:leftChars="20" w:right="42" w:rightChars="20"/>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制定明确的项目专项资金管理办法、设备采购制度、核心支出费用管理办法、项目管理制度等关键制度，且实际购置批复清单内的设备全部采取公开招标进行购置。</w:t>
            </w:r>
          </w:p>
        </w:tc>
      </w:tr>
      <w:tr>
        <w:tblPrEx>
          <w:tblCellMar>
            <w:top w:w="0" w:type="dxa"/>
            <w:left w:w="108" w:type="dxa"/>
            <w:bottom w:w="0" w:type="dxa"/>
            <w:right w:w="108" w:type="dxa"/>
          </w:tblCellMar>
        </w:tblPrEx>
        <w:trPr>
          <w:trHeight w:val="4363" w:hRule="atLeast"/>
        </w:trPr>
        <w:tc>
          <w:tcPr>
            <w:tcW w:w="1448"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46"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财务制度健全，购置设备基本按批复文件或项目合同书规定的要求执行，得分为9－14分。</w:t>
            </w:r>
          </w:p>
        </w:tc>
        <w:tc>
          <w:tcPr>
            <w:tcW w:w="355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spacing w:line="250" w:lineRule="exact"/>
              <w:ind w:left="42" w:leftChars="20" w:right="42" w:rightChars="20"/>
              <w:rPr>
                <w:rFonts w:cs="宋体" w:asciiTheme="minorEastAsia" w:hAnsiTheme="minorEastAsia" w:eastAsiaTheme="minorEastAsia"/>
                <w:color w:val="000000"/>
                <w:sz w:val="18"/>
                <w:szCs w:val="18"/>
                <w:shd w:val="clear" w:color="auto" w:fill="FFFF00"/>
              </w:rPr>
            </w:pPr>
            <w:r>
              <w:rPr>
                <w:rFonts w:hint="eastAsia" w:cs="宋体" w:asciiTheme="minorEastAsia" w:hAnsiTheme="minorEastAsia" w:eastAsiaTheme="minorEastAsia"/>
                <w:color w:val="000000"/>
                <w:sz w:val="18"/>
                <w:szCs w:val="18"/>
              </w:rPr>
              <w:t>① 制定明确的项目专项资金管理办法、设备采购制度、核心支出费用管理办法等关键制度，得4分；90%≤实际使用专项资金采用公开招标方式购买批复清单内设备的金额占专项资金总额＜100%，得9-10分，共得 13-14分；</w:t>
            </w:r>
          </w:p>
          <w:p>
            <w:pPr>
              <w:overflowPunct w:val="0"/>
              <w:adjustRightInd w:val="0"/>
              <w:snapToGrid w:val="0"/>
              <w:spacing w:line="250" w:lineRule="exact"/>
              <w:ind w:left="42" w:leftChars="20" w:right="42" w:rightChars="20"/>
              <w:rPr>
                <w:rFonts w:cs="宋体" w:asciiTheme="minorEastAsia" w:hAnsiTheme="minorEastAsia" w:eastAsiaTheme="minorEastAsia"/>
                <w:color w:val="000000"/>
                <w:sz w:val="18"/>
                <w:szCs w:val="18"/>
                <w:shd w:val="clear" w:color="auto" w:fill="FFFF00"/>
              </w:rPr>
            </w:pPr>
            <w:r>
              <w:rPr>
                <w:rFonts w:hint="eastAsia" w:cs="宋体" w:asciiTheme="minorEastAsia" w:hAnsiTheme="minorEastAsia" w:eastAsiaTheme="minorEastAsia"/>
                <w:color w:val="000000"/>
                <w:sz w:val="18"/>
                <w:szCs w:val="18"/>
              </w:rPr>
              <w:t>② 制定明确的项目专项资金管理办法、设备采购制度、核心支出费用管理办法等关键制度，得4分；85%≤实际使用专项资金采用公开招标方式购买批复清单内设备的金额占专项资金总额＜90%，得7-8分；共得11-12分；</w:t>
            </w:r>
          </w:p>
          <w:p>
            <w:pPr>
              <w:overflowPunct w:val="0"/>
              <w:adjustRightInd w:val="0"/>
              <w:snapToGrid w:val="0"/>
              <w:spacing w:line="250" w:lineRule="exact"/>
              <w:ind w:left="42" w:leftChars="20" w:right="42" w:rightChars="20"/>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③ 制定明确的项目专项资金管理办法、设备采购制度、核心支出费用管理办法等关键制度，得4分；80%≤实际使用专项资金采用公开招标方式购买批复清单内设备的金额占专项资金总额＜85%，得5-6分；共得9-10分。</w:t>
            </w:r>
          </w:p>
        </w:tc>
      </w:tr>
      <w:tr>
        <w:tblPrEx>
          <w:tblCellMar>
            <w:top w:w="0" w:type="dxa"/>
            <w:left w:w="108" w:type="dxa"/>
            <w:bottom w:w="0" w:type="dxa"/>
            <w:right w:w="108" w:type="dxa"/>
          </w:tblCellMar>
        </w:tblPrEx>
        <w:trPr>
          <w:trHeight w:val="4576" w:hRule="atLeast"/>
        </w:trPr>
        <w:tc>
          <w:tcPr>
            <w:tcW w:w="1448"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项目组织管理情况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（20分）</w:t>
            </w:r>
          </w:p>
        </w:tc>
        <w:tc>
          <w:tcPr>
            <w:tcW w:w="134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项目组织实施的规范性</w:t>
            </w:r>
          </w:p>
          <w:p>
            <w:pPr>
              <w:overflowPunct w:val="0"/>
              <w:adjustRightInd w:val="0"/>
              <w:snapToGrid w:val="0"/>
              <w:ind w:left="42" w:leftChars="20" w:right="42" w:rightChars="20"/>
              <w:jc w:val="center"/>
              <w:rPr>
                <w:rFonts w:asciiTheme="minorEastAsia" w:hAnsiTheme="minorEastAsia" w:eastAsiaTheme="minorEastAsia"/>
                <w:sz w:val="20"/>
                <w:szCs w:val="20"/>
              </w:rPr>
            </w:pPr>
            <w:r>
              <w:rPr>
                <w:rFonts w:hint="eastAsia" w:cs="宋体" w:asciiTheme="minorEastAsia" w:hAnsiTheme="minorEastAsia" w:eastAsiaTheme="minorEastAsia"/>
                <w:color w:val="000000"/>
                <w:kern w:val="0"/>
                <w:sz w:val="20"/>
                <w:szCs w:val="20"/>
              </w:rPr>
              <w:t>（15分）</w:t>
            </w:r>
          </w:p>
        </w:tc>
        <w:tc>
          <w:tcPr>
            <w:tcW w:w="282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财务制度不规范，购置设备未按批复文件或项目合同书规定的要求执行，得分为0－8分。</w:t>
            </w:r>
          </w:p>
        </w:tc>
        <w:tc>
          <w:tcPr>
            <w:tcW w:w="3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shd w:val="clear" w:color="auto" w:fill="FFFF00"/>
              </w:rPr>
            </w:pPr>
            <w:r>
              <w:rPr>
                <w:rFonts w:hint="eastAsia" w:cs="宋体" w:asciiTheme="minorEastAsia" w:hAnsiTheme="minorEastAsia" w:eastAsiaTheme="minorEastAsia"/>
                <w:color w:val="000000"/>
                <w:sz w:val="20"/>
                <w:szCs w:val="20"/>
              </w:rPr>
              <w:t>① 未完整制定规范的项目专项资金管理办法、设备采购制度、核心支出费用管理办法等关键制度，有一项规范的关键制度得2分，总计不超过4分；</w:t>
            </w:r>
          </w:p>
          <w:p>
            <w:pPr>
              <w:overflowPunct w:val="0"/>
              <w:adjustRightInd w:val="0"/>
              <w:snapToGrid w:val="0"/>
              <w:ind w:left="42" w:leftChars="20" w:right="42" w:rightChars="20"/>
              <w:rPr>
                <w:rFonts w:cs="宋体" w:asciiTheme="minorEastAsia" w:hAnsiTheme="minorEastAsia" w:eastAsiaTheme="minorEastAsia"/>
                <w:color w:val="000000"/>
                <w:sz w:val="20"/>
                <w:szCs w:val="20"/>
                <w:shd w:val="clear" w:color="auto" w:fill="FFFF00"/>
              </w:rPr>
            </w:pPr>
            <w:r>
              <w:rPr>
                <w:rFonts w:hint="eastAsia" w:cs="宋体" w:asciiTheme="minorEastAsia" w:hAnsiTheme="minorEastAsia" w:eastAsiaTheme="minorEastAsia"/>
                <w:color w:val="000000"/>
                <w:sz w:val="20"/>
                <w:szCs w:val="20"/>
              </w:rPr>
              <w:t>② 若：</w:t>
            </w:r>
          </w:p>
          <w:p>
            <w:pPr>
              <w:overflowPunct w:val="0"/>
              <w:adjustRightInd w:val="0"/>
              <w:snapToGrid w:val="0"/>
              <w:ind w:left="42" w:leftChars="20" w:right="42" w:rightChars="20"/>
              <w:rPr>
                <w:rFonts w:cs="宋体" w:asciiTheme="minorEastAsia" w:hAnsiTheme="minorEastAsia" w:eastAsiaTheme="minorEastAsia"/>
                <w:color w:val="000000"/>
                <w:sz w:val="20"/>
                <w:szCs w:val="20"/>
                <w:shd w:val="clear" w:color="auto" w:fill="FFFF00"/>
              </w:rPr>
            </w:pPr>
            <w:r>
              <w:rPr>
                <w:rFonts w:hint="eastAsia" w:cs="宋体" w:asciiTheme="minorEastAsia" w:hAnsiTheme="minorEastAsia" w:eastAsiaTheme="minorEastAsia"/>
                <w:color w:val="000000"/>
                <w:sz w:val="20"/>
                <w:szCs w:val="20"/>
              </w:rPr>
              <w:t xml:space="preserve">  1).0%≤实际招标购置总金额÷计划招标购置金额＜30%，得0分；</w:t>
            </w:r>
          </w:p>
          <w:p>
            <w:pPr>
              <w:overflowPunct w:val="0"/>
              <w:adjustRightInd w:val="0"/>
              <w:snapToGrid w:val="0"/>
              <w:ind w:left="42" w:leftChars="20" w:right="42" w:rightChars="20"/>
              <w:rPr>
                <w:rFonts w:cs="宋体" w:asciiTheme="minorEastAsia" w:hAnsiTheme="minorEastAsia" w:eastAsiaTheme="minorEastAsia"/>
                <w:color w:val="000000"/>
                <w:sz w:val="20"/>
                <w:szCs w:val="20"/>
                <w:shd w:val="clear" w:color="auto" w:fill="FFFF00"/>
              </w:rPr>
            </w:pPr>
            <w:r>
              <w:rPr>
                <w:rFonts w:hint="eastAsia" w:cs="宋体" w:asciiTheme="minorEastAsia" w:hAnsiTheme="minorEastAsia" w:eastAsiaTheme="minorEastAsia"/>
                <w:color w:val="000000"/>
                <w:sz w:val="20"/>
                <w:szCs w:val="20"/>
              </w:rPr>
              <w:t xml:space="preserve">  2).30%≤实际招标购置总金额÷计划招标购置金额＜50%，得1分；</w:t>
            </w:r>
          </w:p>
          <w:p>
            <w:pPr>
              <w:overflowPunct w:val="0"/>
              <w:adjustRightInd w:val="0"/>
              <w:snapToGrid w:val="0"/>
              <w:ind w:left="42" w:leftChars="20" w:right="42" w:rightChars="20"/>
              <w:rPr>
                <w:rFonts w:cs="宋体" w:asciiTheme="minorEastAsia" w:hAnsiTheme="minorEastAsia" w:eastAsiaTheme="minorEastAsia"/>
                <w:color w:val="000000"/>
                <w:sz w:val="20"/>
                <w:szCs w:val="20"/>
                <w:shd w:val="clear" w:color="auto" w:fill="FFFF00"/>
              </w:rPr>
            </w:pPr>
            <w:r>
              <w:rPr>
                <w:rFonts w:hint="eastAsia" w:cs="宋体" w:asciiTheme="minorEastAsia" w:hAnsiTheme="minorEastAsia" w:eastAsiaTheme="minorEastAsia"/>
                <w:color w:val="000000"/>
                <w:sz w:val="20"/>
                <w:szCs w:val="20"/>
              </w:rPr>
              <w:t xml:space="preserve">  3).50%≤实际招标购置总金额÷计划招标购置金额＜60%，得2分；</w:t>
            </w:r>
          </w:p>
          <w:p>
            <w:pPr>
              <w:overflowPunct w:val="0"/>
              <w:adjustRightInd w:val="0"/>
              <w:snapToGrid w:val="0"/>
              <w:ind w:left="42" w:leftChars="20" w:right="42" w:rightChars="20"/>
              <w:rPr>
                <w:rFonts w:cs="宋体" w:asciiTheme="minorEastAsia" w:hAnsiTheme="minorEastAsia" w:eastAsiaTheme="minorEastAsia"/>
                <w:color w:val="000000"/>
                <w:sz w:val="20"/>
                <w:szCs w:val="20"/>
                <w:shd w:val="clear" w:color="auto" w:fill="FFFF00"/>
              </w:rPr>
            </w:pPr>
            <w:r>
              <w:rPr>
                <w:rFonts w:hint="eastAsia" w:cs="宋体" w:asciiTheme="minorEastAsia" w:hAnsiTheme="minorEastAsia" w:eastAsiaTheme="minorEastAsia"/>
                <w:color w:val="000000"/>
                <w:sz w:val="20"/>
                <w:szCs w:val="20"/>
              </w:rPr>
              <w:t xml:space="preserve">  4).60%≤实际招标购置总金额÷计划招标购置金额＜70%，得3分；</w:t>
            </w:r>
          </w:p>
          <w:p>
            <w:pPr>
              <w:overflowPunct w:val="0"/>
              <w:adjustRightInd w:val="0"/>
              <w:snapToGrid w:val="0"/>
              <w:ind w:left="42" w:leftChars="20" w:right="42" w:rightChars="20"/>
              <w:rPr>
                <w:rFonts w:cs="宋体" w:asciiTheme="minorEastAsia" w:hAnsiTheme="minorEastAsia" w:eastAsiaTheme="minorEastAsia"/>
                <w:color w:val="000000"/>
                <w:sz w:val="20"/>
                <w:szCs w:val="20"/>
                <w:shd w:val="clear" w:color="auto" w:fill="FFFF00"/>
              </w:rPr>
            </w:pPr>
            <w:r>
              <w:rPr>
                <w:rFonts w:hint="eastAsia" w:cs="宋体" w:asciiTheme="minorEastAsia" w:hAnsiTheme="minorEastAsia" w:eastAsiaTheme="minorEastAsia"/>
                <w:color w:val="000000"/>
                <w:sz w:val="20"/>
                <w:szCs w:val="20"/>
              </w:rPr>
              <w:t xml:space="preserve">  5).70%≤实际招标购置总金额÷计划招标购置金额＜80%，得4分；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此项得分计为①与②之和。</w:t>
            </w:r>
          </w:p>
        </w:tc>
      </w:tr>
      <w:tr>
        <w:tblPrEx>
          <w:tblCellMar>
            <w:top w:w="0" w:type="dxa"/>
            <w:left w:w="108" w:type="dxa"/>
            <w:bottom w:w="0" w:type="dxa"/>
            <w:right w:w="108" w:type="dxa"/>
          </w:tblCellMar>
        </w:tblPrEx>
        <w:trPr>
          <w:trHeight w:val="1246" w:hRule="atLeast"/>
        </w:trPr>
        <w:tc>
          <w:tcPr>
            <w:tcW w:w="144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p>
        </w:tc>
        <w:tc>
          <w:tcPr>
            <w:tcW w:w="134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定期报告项目实施进展情况（5分）</w:t>
            </w:r>
          </w:p>
        </w:tc>
        <w:tc>
          <w:tcPr>
            <w:tcW w:w="282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按时提交项目实施进展，满分5分，1次未按时提交扣0.5分，最多扣5分。</w:t>
            </w:r>
          </w:p>
        </w:tc>
        <w:tc>
          <w:tcPr>
            <w:tcW w:w="3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以市发展改革委项目验收管理系统的报告数据为依据。</w:t>
            </w:r>
          </w:p>
        </w:tc>
      </w:tr>
      <w:tr>
        <w:tblPrEx>
          <w:tblCellMar>
            <w:top w:w="0" w:type="dxa"/>
            <w:left w:w="108" w:type="dxa"/>
            <w:bottom w:w="0" w:type="dxa"/>
            <w:right w:w="108" w:type="dxa"/>
          </w:tblCellMar>
        </w:tblPrEx>
        <w:trPr>
          <w:trHeight w:val="3969" w:hRule="atLeast"/>
        </w:trPr>
        <w:tc>
          <w:tcPr>
            <w:tcW w:w="917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专家意见（可另附页，验收总体意见以及分别对投资、建设内容、绩效目标等完成情况作出具体评价）：</w:t>
            </w:r>
          </w:p>
        </w:tc>
      </w:tr>
    </w:tbl>
    <w:p>
      <w:pPr>
        <w:sectPr>
          <w:pgSz w:w="11906" w:h="16838"/>
          <w:pgMar w:top="1440" w:right="1800" w:bottom="1440" w:left="1800" w:header="851" w:footer="737" w:gutter="0"/>
          <w:cols w:space="425" w:num="1"/>
          <w:docGrid w:type="lines" w:linePitch="312" w:charSpace="0"/>
        </w:sectPr>
      </w:pPr>
    </w:p>
    <w:p>
      <w:pPr>
        <w:spacing w:line="500" w:lineRule="exact"/>
        <w:rPr>
          <w:rFonts w:ascii="仿宋_GB2312" w:hAnsi="Times New Roman" w:eastAsia="仿宋_GB2312"/>
          <w:b/>
          <w:color w:val="000000"/>
          <w:sz w:val="32"/>
          <w:szCs w:val="32"/>
        </w:rPr>
      </w:pPr>
      <w:r>
        <w:rPr>
          <w:rFonts w:hint="eastAsia" w:ascii="仿宋_GB2312" w:hAnsi="Times New Roman" w:eastAsia="仿宋_GB2312"/>
          <w:b/>
          <w:color w:val="000000"/>
          <w:sz w:val="32"/>
          <w:szCs w:val="32"/>
        </w:rPr>
        <w:t>附件5</w:t>
      </w:r>
    </w:p>
    <w:p>
      <w:pPr>
        <w:spacing w:line="500" w:lineRule="exact"/>
        <w:jc w:val="center"/>
        <w:rPr>
          <w:rFonts w:ascii="仿宋_GB2312" w:hAnsi="仿宋_GB2312" w:eastAsia="仿宋_GB2312" w:cs="仿宋_GB2312"/>
          <w:bCs/>
          <w:sz w:val="32"/>
          <w:szCs w:val="32"/>
        </w:rPr>
      </w:pPr>
    </w:p>
    <w:p>
      <w:pPr>
        <w:widowControl/>
        <w:snapToGrid w:val="0"/>
        <w:spacing w:line="500" w:lineRule="exact"/>
        <w:jc w:val="center"/>
        <w:rPr>
          <w:rFonts w:ascii="宋体" w:hAnsi="宋体" w:cs="宋体"/>
          <w:b/>
          <w:bCs/>
          <w:kern w:val="0"/>
          <w:sz w:val="38"/>
          <w:szCs w:val="38"/>
        </w:rPr>
      </w:pPr>
      <w:r>
        <w:rPr>
          <w:rFonts w:hint="eastAsia" w:ascii="宋体" w:hAnsi="宋体" w:cs="宋体"/>
          <w:b/>
          <w:bCs/>
          <w:kern w:val="0"/>
          <w:sz w:val="38"/>
          <w:szCs w:val="38"/>
        </w:rPr>
        <w:t>融资贴息资助类别项目验收专家综合评议打分表</w:t>
      </w:r>
    </w:p>
    <w:p>
      <w:pPr>
        <w:widowControl/>
        <w:snapToGrid w:val="0"/>
        <w:spacing w:line="500" w:lineRule="exact"/>
        <w:jc w:val="center"/>
        <w:rPr>
          <w:rFonts w:ascii="宋体" w:hAnsi="宋体" w:cs="宋体"/>
          <w:kern w:val="0"/>
          <w:sz w:val="38"/>
          <w:szCs w:val="38"/>
        </w:rPr>
      </w:pPr>
    </w:p>
    <w:p>
      <w:pPr>
        <w:widowControl/>
        <w:snapToGrid w:val="0"/>
        <w:spacing w:line="500" w:lineRule="exact"/>
        <w:jc w:val="left"/>
        <w:rPr>
          <w:rFonts w:ascii="仿宋_GB2312" w:hAnsi="仿宋" w:eastAsia="仿宋_GB2312" w:cs="宋体"/>
          <w:kern w:val="0"/>
          <w:sz w:val="30"/>
          <w:szCs w:val="30"/>
        </w:rPr>
      </w:pPr>
      <w:r>
        <w:rPr>
          <w:rFonts w:hint="eastAsia" w:ascii="仿宋_GB2312" w:hAnsi="仿宋" w:eastAsia="仿宋_GB2312" w:cs="宋体"/>
          <w:kern w:val="0"/>
          <w:sz w:val="30"/>
          <w:szCs w:val="30"/>
        </w:rPr>
        <w:t>项目名称：</w:t>
      </w:r>
    </w:p>
    <w:p>
      <w:pPr>
        <w:widowControl/>
        <w:snapToGrid w:val="0"/>
        <w:spacing w:line="500" w:lineRule="exact"/>
        <w:jc w:val="left"/>
        <w:rPr>
          <w:rFonts w:ascii="仿宋_GB2312" w:hAnsi="仿宋" w:eastAsia="仿宋_GB2312" w:cs="宋体"/>
          <w:kern w:val="0"/>
          <w:sz w:val="30"/>
          <w:szCs w:val="30"/>
        </w:rPr>
      </w:pPr>
      <w:r>
        <w:rPr>
          <w:rFonts w:hint="eastAsia" w:ascii="仿宋_GB2312" w:hAnsi="仿宋" w:eastAsia="仿宋_GB2312" w:cs="宋体"/>
          <w:kern w:val="0"/>
          <w:sz w:val="30"/>
          <w:szCs w:val="30"/>
        </w:rPr>
        <w:t>专家签名：</w:t>
      </w:r>
    </w:p>
    <w:p>
      <w:pPr>
        <w:spacing w:after="109" w:afterLines="35" w:line="500" w:lineRule="exact"/>
        <w:rPr>
          <w:rFonts w:ascii="仿宋_GB2312" w:hAnsi="仿宋" w:eastAsia="仿宋_GB2312" w:cs="宋体"/>
          <w:kern w:val="0"/>
          <w:sz w:val="30"/>
          <w:szCs w:val="30"/>
        </w:rPr>
      </w:pPr>
      <w:r>
        <w:rPr>
          <w:rFonts w:hint="eastAsia" w:ascii="仿宋_GB2312" w:hAnsi="仿宋" w:eastAsia="仿宋_GB2312" w:cs="宋体"/>
          <w:kern w:val="0"/>
          <w:sz w:val="30"/>
          <w:szCs w:val="30"/>
        </w:rPr>
        <w:t>项目综合得分：</w:t>
      </w:r>
    </w:p>
    <w:tbl>
      <w:tblPr>
        <w:tblStyle w:val="2"/>
        <w:tblW w:w="5483" w:type="pct"/>
        <w:tblInd w:w="-391" w:type="dxa"/>
        <w:tblLayout w:type="autofit"/>
        <w:tblCellMar>
          <w:top w:w="0" w:type="dxa"/>
          <w:left w:w="108" w:type="dxa"/>
          <w:bottom w:w="0" w:type="dxa"/>
          <w:right w:w="108" w:type="dxa"/>
        </w:tblCellMar>
      </w:tblPr>
      <w:tblGrid>
        <w:gridCol w:w="1428"/>
        <w:gridCol w:w="1346"/>
        <w:gridCol w:w="2826"/>
        <w:gridCol w:w="3541"/>
      </w:tblGrid>
      <w:tr>
        <w:tblPrEx>
          <w:tblCellMar>
            <w:top w:w="0" w:type="dxa"/>
            <w:left w:w="108" w:type="dxa"/>
            <w:bottom w:w="0" w:type="dxa"/>
            <w:right w:w="108" w:type="dxa"/>
          </w:tblCellMar>
        </w:tblPrEx>
        <w:trPr>
          <w:trHeight w:val="482" w:hRule="atLeast"/>
          <w:tblHeader/>
        </w:trPr>
        <w:tc>
          <w:tcPr>
            <w:tcW w:w="142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一级指标</w:t>
            </w:r>
          </w:p>
        </w:tc>
        <w:tc>
          <w:tcPr>
            <w:tcW w:w="134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二级指标</w:t>
            </w:r>
          </w:p>
        </w:tc>
        <w:tc>
          <w:tcPr>
            <w:tcW w:w="282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评分标准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参考评分细则</w:t>
            </w:r>
          </w:p>
        </w:tc>
      </w:tr>
      <w:tr>
        <w:tblPrEx>
          <w:tblCellMar>
            <w:top w:w="0" w:type="dxa"/>
            <w:left w:w="108" w:type="dxa"/>
            <w:bottom w:w="0" w:type="dxa"/>
            <w:right w:w="108" w:type="dxa"/>
          </w:tblCellMar>
        </w:tblPrEx>
        <w:trPr>
          <w:trHeight w:val="1304" w:hRule="atLeast"/>
        </w:trPr>
        <w:tc>
          <w:tcPr>
            <w:tcW w:w="1428"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投资完成情况（50分）</w:t>
            </w:r>
          </w:p>
        </w:tc>
        <w:tc>
          <w:tcPr>
            <w:tcW w:w="13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总投资额完成情况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（20分）</w:t>
            </w:r>
          </w:p>
        </w:tc>
        <w:tc>
          <w:tcPr>
            <w:tcW w:w="28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全部或超额完成批复文件或项目合同书规定要求（实际总投资额</w:t>
            </w:r>
            <w:r>
              <w:rPr>
                <w:rFonts w:hint="eastAsia" w:cs="Arial"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计划总投资额≥100%），得分为20分。</w:t>
            </w:r>
          </w:p>
        </w:tc>
        <w:tc>
          <w:tcPr>
            <w:tcW w:w="354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1304" w:hRule="atLeast"/>
        </w:trPr>
        <w:tc>
          <w:tcPr>
            <w:tcW w:w="1428"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基本完成批复文件或项目合同书规定要求（实际总投资额</w:t>
            </w:r>
            <w:r>
              <w:rPr>
                <w:rFonts w:hint="eastAsia" w:cs="Arial"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计划总投资额≥80%），得分为12-19分。</w:t>
            </w:r>
          </w:p>
        </w:tc>
        <w:tc>
          <w:tcPr>
            <w:tcW w:w="354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90%≤比例＜100%，得16-19分；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80%≤比例＜90%，得12-15分。</w:t>
            </w:r>
          </w:p>
        </w:tc>
      </w:tr>
      <w:tr>
        <w:tblPrEx>
          <w:tblCellMar>
            <w:top w:w="0" w:type="dxa"/>
            <w:left w:w="108" w:type="dxa"/>
            <w:bottom w:w="0" w:type="dxa"/>
            <w:right w:w="108" w:type="dxa"/>
          </w:tblCellMar>
        </w:tblPrEx>
        <w:trPr>
          <w:trHeight w:val="1134" w:hRule="atLeast"/>
        </w:trPr>
        <w:tc>
          <w:tcPr>
            <w:tcW w:w="1428"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p>
        </w:tc>
        <w:tc>
          <w:tcPr>
            <w:tcW w:w="28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项目实际总投资额未达到计划总投资额80%的，不予安排验收。</w:t>
            </w:r>
          </w:p>
        </w:tc>
        <w:tc>
          <w:tcPr>
            <w:tcW w:w="354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1134" w:hRule="atLeast"/>
        </w:trPr>
        <w:tc>
          <w:tcPr>
            <w:tcW w:w="1428"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设备仪器建设情况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（20分）</w:t>
            </w:r>
          </w:p>
        </w:tc>
        <w:tc>
          <w:tcPr>
            <w:tcW w:w="28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全部或超额完成批复文件或项目合同书规定要求，得分为20分。</w:t>
            </w:r>
          </w:p>
        </w:tc>
        <w:tc>
          <w:tcPr>
            <w:tcW w:w="354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实际购置与项目相关的设备金额÷计划设备购置额≥100%</w:t>
            </w:r>
          </w:p>
        </w:tc>
      </w:tr>
      <w:tr>
        <w:tblPrEx>
          <w:tblCellMar>
            <w:top w:w="0" w:type="dxa"/>
            <w:left w:w="108" w:type="dxa"/>
            <w:bottom w:w="0" w:type="dxa"/>
            <w:right w:w="108" w:type="dxa"/>
          </w:tblCellMar>
        </w:tblPrEx>
        <w:trPr>
          <w:trHeight w:val="2045" w:hRule="atLeast"/>
        </w:trPr>
        <w:tc>
          <w:tcPr>
            <w:tcW w:w="1428"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基本完成批复文件或项目合同书规定要求，得分为12-19分。</w:t>
            </w:r>
          </w:p>
        </w:tc>
        <w:tc>
          <w:tcPr>
            <w:tcW w:w="354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90%≤实际购置与本项目相关的设备金额÷计划设备购置额＜100%，得16-19分；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80%≤实际购置与本项目相关的设备金额÷计划设备购置额＜90%，得12-15分。</w:t>
            </w:r>
          </w:p>
        </w:tc>
      </w:tr>
      <w:tr>
        <w:tblPrEx>
          <w:tblCellMar>
            <w:top w:w="0" w:type="dxa"/>
            <w:left w:w="108" w:type="dxa"/>
            <w:bottom w:w="0" w:type="dxa"/>
            <w:right w:w="108" w:type="dxa"/>
          </w:tblCellMar>
        </w:tblPrEx>
        <w:trPr>
          <w:trHeight w:val="2532" w:hRule="atLeast"/>
        </w:trPr>
        <w:tc>
          <w:tcPr>
            <w:tcW w:w="142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部分完成批复文件或项目合同书规定要求，得分为0-11分。</w:t>
            </w:r>
          </w:p>
        </w:tc>
        <w:tc>
          <w:tcPr>
            <w:tcW w:w="354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70%≤实际购置与本项目相关设备金额÷计划设备购置额＜80%，得9-11分；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60%≤实际购置与本项目相关设备金额÷计划设备购置额＜70%，得5-8分；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③ 50%≤实际购置与本项目相关设备金额÷计划设备购置额＜60%，得1-4分；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④ 实际购置与本项目相关设备金额÷计划设备购置额＜50%，得0分。</w:t>
            </w:r>
          </w:p>
        </w:tc>
      </w:tr>
      <w:tr>
        <w:tblPrEx>
          <w:tblCellMar>
            <w:top w:w="0" w:type="dxa"/>
            <w:left w:w="108" w:type="dxa"/>
            <w:bottom w:w="0" w:type="dxa"/>
            <w:right w:w="108" w:type="dxa"/>
          </w:tblCellMar>
        </w:tblPrEx>
        <w:trPr>
          <w:trHeight w:val="1134" w:hRule="atLeast"/>
        </w:trPr>
        <w:tc>
          <w:tcPr>
            <w:tcW w:w="1428"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投资完成情况（50分）</w:t>
            </w:r>
          </w:p>
        </w:tc>
        <w:tc>
          <w:tcPr>
            <w:tcW w:w="13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场地建设情况（10分）</w:t>
            </w:r>
          </w:p>
        </w:tc>
        <w:tc>
          <w:tcPr>
            <w:tcW w:w="28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全部或超额完成批复文件或项目合同书规定要求（实际改扩建场地面积</w:t>
            </w:r>
            <w:r>
              <w:rPr>
                <w:rFonts w:hint="eastAsia" w:cs="Arial"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计划改扩建场地面积≥100%），得分为10分。</w:t>
            </w:r>
          </w:p>
        </w:tc>
        <w:tc>
          <w:tcPr>
            <w:tcW w:w="354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1134" w:hRule="atLeast"/>
        </w:trPr>
        <w:tc>
          <w:tcPr>
            <w:tcW w:w="1428"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基本完成批复文件或项目合同书规定要求（实际改扩建场地面积</w:t>
            </w:r>
            <w:r>
              <w:rPr>
                <w:rFonts w:hint="eastAsia" w:cs="Arial"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计划改扩建场地面积≥80%），得分为6-9分。</w:t>
            </w:r>
          </w:p>
        </w:tc>
        <w:tc>
          <w:tcPr>
            <w:tcW w:w="354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95%≤比例＜100%，得9分；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90%≤比例＜95%，得8分；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③ 85%≤比例＜90%，得7分；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④ 80%≤比例＜85%，得6分。</w:t>
            </w:r>
          </w:p>
        </w:tc>
      </w:tr>
      <w:tr>
        <w:tblPrEx>
          <w:tblCellMar>
            <w:top w:w="0" w:type="dxa"/>
            <w:left w:w="108" w:type="dxa"/>
            <w:bottom w:w="0" w:type="dxa"/>
            <w:right w:w="108" w:type="dxa"/>
          </w:tblCellMar>
        </w:tblPrEx>
        <w:trPr>
          <w:trHeight w:val="1134" w:hRule="atLeast"/>
        </w:trPr>
        <w:tc>
          <w:tcPr>
            <w:tcW w:w="142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部分完成批复文件或项目合同书规定要求（实际改扩建场地面积</w:t>
            </w:r>
            <w:r>
              <w:rPr>
                <w:rFonts w:hint="eastAsia" w:cs="Arial"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计划改扩建场地面积&lt;80%），得分为0-5分。</w:t>
            </w:r>
          </w:p>
        </w:tc>
        <w:tc>
          <w:tcPr>
            <w:tcW w:w="354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60%≤比例＜80%，得4-5分；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30%≤比例＜60%，得1-3分；</w:t>
            </w:r>
          </w:p>
          <w:p>
            <w:pPr>
              <w:overflowPunct w:val="0"/>
              <w:adjustRightInd w:val="0"/>
              <w:snapToGrid w:val="0"/>
              <w:ind w:left="42" w:leftChars="20" w:right="42" w:rightChars="20"/>
              <w:rPr>
                <w:rFonts w:cs="宋体" w:asciiTheme="minorEastAsia" w:hAnsiTheme="minorEastAsia" w:eastAsiaTheme="minorEastAsia"/>
                <w:b/>
                <w:bCs/>
                <w:color w:val="1D41D5"/>
                <w:sz w:val="20"/>
                <w:szCs w:val="20"/>
              </w:rPr>
            </w:pPr>
            <w:r>
              <w:rPr>
                <w:rFonts w:hint="eastAsia" w:cs="宋体" w:asciiTheme="minorEastAsia" w:hAnsiTheme="minorEastAsia" w:eastAsiaTheme="minorEastAsia"/>
                <w:color w:val="000000"/>
                <w:sz w:val="20"/>
                <w:szCs w:val="20"/>
              </w:rPr>
              <w:t>③ 比例＜30%，得0分。</w:t>
            </w:r>
          </w:p>
        </w:tc>
      </w:tr>
      <w:tr>
        <w:tblPrEx>
          <w:tblCellMar>
            <w:top w:w="0" w:type="dxa"/>
            <w:left w:w="108" w:type="dxa"/>
            <w:bottom w:w="0" w:type="dxa"/>
            <w:right w:w="108" w:type="dxa"/>
          </w:tblCellMar>
        </w:tblPrEx>
        <w:trPr>
          <w:trHeight w:val="669" w:hRule="atLeast"/>
        </w:trPr>
        <w:tc>
          <w:tcPr>
            <w:tcW w:w="1428" w:type="dxa"/>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经济效益情况（30分）</w:t>
            </w:r>
          </w:p>
        </w:tc>
        <w:tc>
          <w:tcPr>
            <w:tcW w:w="1346" w:type="dxa"/>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生产或服务能力指标完成情况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（30分）</w:t>
            </w:r>
          </w:p>
        </w:tc>
        <w:tc>
          <w:tcPr>
            <w:tcW w:w="282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达到或超出批复文件或项目合同书规定要求，得分为30分。</w:t>
            </w:r>
          </w:p>
        </w:tc>
        <w:tc>
          <w:tcPr>
            <w:tcW w:w="354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实际完成生产或服务能力指标÷批复要求完成生产或服务能力指标≥100%</w:t>
            </w:r>
          </w:p>
        </w:tc>
      </w:tr>
      <w:tr>
        <w:tblPrEx>
          <w:tblCellMar>
            <w:top w:w="0" w:type="dxa"/>
            <w:left w:w="108" w:type="dxa"/>
            <w:bottom w:w="0" w:type="dxa"/>
            <w:right w:w="108" w:type="dxa"/>
          </w:tblCellMar>
        </w:tblPrEx>
        <w:tc>
          <w:tcPr>
            <w:tcW w:w="1428"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46"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基本达到批复文件或项目合同书规定要求，得分为18-29分。</w:t>
            </w:r>
          </w:p>
        </w:tc>
        <w:tc>
          <w:tcPr>
            <w:tcW w:w="354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19"/>
                <w:szCs w:val="19"/>
              </w:rPr>
            </w:pPr>
            <w:r>
              <w:rPr>
                <w:rFonts w:hint="eastAsia" w:cs="宋体" w:asciiTheme="minorEastAsia" w:hAnsiTheme="minorEastAsia" w:eastAsiaTheme="minorEastAsia"/>
                <w:color w:val="000000"/>
                <w:sz w:val="19"/>
                <w:szCs w:val="19"/>
              </w:rPr>
              <w:t>① 90%≤实际完成生产或服务能力指标÷批复要求完成生产或服务能力指标＜100%，得25-29分；</w:t>
            </w:r>
          </w:p>
          <w:p>
            <w:pPr>
              <w:overflowPunct w:val="0"/>
              <w:adjustRightInd w:val="0"/>
              <w:snapToGrid w:val="0"/>
              <w:ind w:left="42" w:leftChars="20" w:right="42" w:rightChars="20"/>
              <w:rPr>
                <w:rFonts w:cs="宋体" w:asciiTheme="minorEastAsia" w:hAnsiTheme="minorEastAsia" w:eastAsiaTheme="minorEastAsia"/>
                <w:color w:val="000000"/>
                <w:sz w:val="19"/>
                <w:szCs w:val="19"/>
              </w:rPr>
            </w:pPr>
            <w:r>
              <w:rPr>
                <w:rFonts w:hint="eastAsia" w:cs="宋体" w:asciiTheme="minorEastAsia" w:hAnsiTheme="minorEastAsia" w:eastAsiaTheme="minorEastAsia"/>
                <w:color w:val="000000"/>
                <w:sz w:val="19"/>
                <w:szCs w:val="19"/>
              </w:rPr>
              <w:t>② 80%≤实际完成生产或服务能力指标÷批复要求完成生产或服务能力指标＜90%，得18-24分。</w:t>
            </w:r>
          </w:p>
        </w:tc>
      </w:tr>
      <w:tr>
        <w:tblPrEx>
          <w:tblCellMar>
            <w:top w:w="0" w:type="dxa"/>
            <w:left w:w="108" w:type="dxa"/>
            <w:bottom w:w="0" w:type="dxa"/>
            <w:right w:w="108" w:type="dxa"/>
          </w:tblCellMar>
        </w:tblPrEx>
        <w:trPr>
          <w:trHeight w:val="2043" w:hRule="atLeast"/>
        </w:trPr>
        <w:tc>
          <w:tcPr>
            <w:tcW w:w="1428"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46"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与批复文件或项目合同书规定要求相差较大，得分为0-17分。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pacing w:val="-3"/>
                <w:sz w:val="19"/>
                <w:szCs w:val="19"/>
              </w:rPr>
            </w:pPr>
            <w:r>
              <w:rPr>
                <w:rFonts w:hint="eastAsia" w:cs="宋体" w:asciiTheme="minorEastAsia" w:hAnsiTheme="minorEastAsia" w:eastAsiaTheme="minorEastAsia"/>
                <w:color w:val="000000"/>
                <w:spacing w:val="-3"/>
                <w:sz w:val="19"/>
                <w:szCs w:val="19"/>
              </w:rPr>
              <w:t>① 70%≤实际完成生产或服务能力指标÷批复要求完成生产或服务能力指标＜80%，得 10-17分；</w:t>
            </w:r>
          </w:p>
          <w:p>
            <w:pPr>
              <w:overflowPunct w:val="0"/>
              <w:adjustRightInd w:val="0"/>
              <w:snapToGrid w:val="0"/>
              <w:ind w:left="42" w:leftChars="20" w:right="42" w:rightChars="20"/>
              <w:rPr>
                <w:rFonts w:cs="宋体" w:asciiTheme="minorEastAsia" w:hAnsiTheme="minorEastAsia" w:eastAsiaTheme="minorEastAsia"/>
                <w:color w:val="000000"/>
                <w:spacing w:val="-3"/>
                <w:sz w:val="19"/>
                <w:szCs w:val="19"/>
              </w:rPr>
            </w:pPr>
            <w:r>
              <w:rPr>
                <w:rFonts w:hint="eastAsia" w:cs="宋体" w:asciiTheme="minorEastAsia" w:hAnsiTheme="minorEastAsia" w:eastAsiaTheme="minorEastAsia"/>
                <w:color w:val="000000"/>
                <w:spacing w:val="-3"/>
                <w:sz w:val="19"/>
                <w:szCs w:val="19"/>
              </w:rPr>
              <w:t>② 60%≤实际完成生产或服务能力指标÷批复要求完成生产或服务能力指标＜70%，得1-9分；</w:t>
            </w:r>
          </w:p>
          <w:p>
            <w:pPr>
              <w:overflowPunct w:val="0"/>
              <w:adjustRightInd w:val="0"/>
              <w:snapToGrid w:val="0"/>
              <w:ind w:left="42" w:leftChars="20" w:right="42" w:rightChars="20"/>
              <w:rPr>
                <w:rFonts w:cs="宋体" w:asciiTheme="minorEastAsia" w:hAnsiTheme="minorEastAsia" w:eastAsiaTheme="minorEastAsia"/>
                <w:color w:val="000000"/>
                <w:sz w:val="19"/>
                <w:szCs w:val="19"/>
              </w:rPr>
            </w:pPr>
            <w:r>
              <w:rPr>
                <w:rFonts w:hint="eastAsia" w:cs="宋体" w:asciiTheme="minorEastAsia" w:hAnsiTheme="minorEastAsia" w:eastAsiaTheme="minorEastAsia"/>
                <w:color w:val="000000"/>
                <w:spacing w:val="-3"/>
                <w:sz w:val="19"/>
                <w:szCs w:val="19"/>
              </w:rPr>
              <w:t>③ 实际完成生产或服务能力指标÷批复要求完成生产或服务能力指标＜60%，得0分。</w:t>
            </w:r>
          </w:p>
        </w:tc>
      </w:tr>
      <w:tr>
        <w:tblPrEx>
          <w:tblCellMar>
            <w:top w:w="0" w:type="dxa"/>
            <w:left w:w="108" w:type="dxa"/>
            <w:bottom w:w="0" w:type="dxa"/>
            <w:right w:w="108" w:type="dxa"/>
          </w:tblCellMar>
        </w:tblPrEx>
        <w:trPr>
          <w:trHeight w:val="1092" w:hRule="atLeast"/>
        </w:trPr>
        <w:tc>
          <w:tcPr>
            <w:tcW w:w="1428"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项目组织管理情况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（20分）</w:t>
            </w:r>
          </w:p>
        </w:tc>
        <w:tc>
          <w:tcPr>
            <w:tcW w:w="1346"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项目组织实施的规范性</w:t>
            </w:r>
          </w:p>
          <w:p>
            <w:pPr>
              <w:overflowPunct w:val="0"/>
              <w:adjustRightInd w:val="0"/>
              <w:snapToGrid w:val="0"/>
              <w:ind w:left="42" w:leftChars="20" w:right="42" w:rightChars="20"/>
              <w:jc w:val="center"/>
              <w:rPr>
                <w:rFonts w:asciiTheme="minorEastAsia" w:hAnsiTheme="minorEastAsia" w:eastAsiaTheme="minorEastAsia"/>
                <w:sz w:val="20"/>
                <w:szCs w:val="20"/>
              </w:rPr>
            </w:pPr>
            <w:r>
              <w:rPr>
                <w:rFonts w:hint="eastAsia" w:cs="宋体" w:asciiTheme="minorEastAsia" w:hAnsiTheme="minorEastAsia" w:eastAsiaTheme="minorEastAsia"/>
                <w:color w:val="000000"/>
                <w:kern w:val="0"/>
                <w:sz w:val="20"/>
                <w:szCs w:val="20"/>
              </w:rPr>
              <w:t>（15分</w:t>
            </w:r>
            <w:r>
              <w:rPr>
                <w:rFonts w:hint="eastAsia" w:asciiTheme="minorEastAsia" w:hAnsiTheme="minorEastAsia" w:eastAsiaTheme="minorEastAsia"/>
                <w:sz w:val="20"/>
                <w:szCs w:val="20"/>
              </w:rPr>
              <w:t>）</w:t>
            </w:r>
          </w:p>
        </w:tc>
        <w:tc>
          <w:tcPr>
            <w:tcW w:w="28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财务管理及相关制度健全，管理规范，效果和作用明显，得分为15分。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19"/>
                <w:szCs w:val="19"/>
              </w:rPr>
            </w:pPr>
            <w:r>
              <w:rPr>
                <w:rFonts w:hint="eastAsia" w:cs="宋体" w:asciiTheme="minorEastAsia" w:hAnsiTheme="minorEastAsia" w:eastAsiaTheme="minorEastAsia"/>
                <w:color w:val="000000"/>
                <w:sz w:val="19"/>
                <w:szCs w:val="19"/>
              </w:rPr>
              <w:t>制定明确的项目专项资金管理办法、设备采购制度、核心支出费用管理办法、项目管理制度等关键制度，且实际购置批复清单内的设备全部采取公开招标进行购置。</w:t>
            </w:r>
          </w:p>
        </w:tc>
      </w:tr>
      <w:tr>
        <w:tblPrEx>
          <w:tblCellMar>
            <w:top w:w="0" w:type="dxa"/>
            <w:left w:w="108" w:type="dxa"/>
            <w:bottom w:w="0" w:type="dxa"/>
            <w:right w:w="108" w:type="dxa"/>
          </w:tblCellMar>
        </w:tblPrEx>
        <w:tc>
          <w:tcPr>
            <w:tcW w:w="1428"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46"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财务管理及相关制度基本健全，效果和作用较明显，得分为9－14分。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19"/>
                <w:szCs w:val="19"/>
                <w:shd w:val="clear" w:color="auto" w:fill="FFFF00"/>
              </w:rPr>
            </w:pPr>
            <w:r>
              <w:rPr>
                <w:rFonts w:hint="eastAsia" w:cs="宋体" w:asciiTheme="minorEastAsia" w:hAnsiTheme="minorEastAsia" w:eastAsiaTheme="minorEastAsia"/>
                <w:color w:val="000000"/>
                <w:sz w:val="19"/>
                <w:szCs w:val="19"/>
              </w:rPr>
              <w:t>① 制定明确的项目专项资金管理办法、设备采购制度、核心支出费用管理办法等关键制度，得4分；90%≤实际使用专项资金采用公开招标方式购买批复清单内设备的金额占专项资金总额＜100%，得9-10分，共得 13-14分；</w:t>
            </w:r>
          </w:p>
          <w:p>
            <w:pPr>
              <w:overflowPunct w:val="0"/>
              <w:adjustRightInd w:val="0"/>
              <w:snapToGrid w:val="0"/>
              <w:ind w:left="42" w:leftChars="20" w:right="42" w:rightChars="20"/>
              <w:rPr>
                <w:rFonts w:cs="宋体" w:asciiTheme="minorEastAsia" w:hAnsiTheme="minorEastAsia" w:eastAsiaTheme="minorEastAsia"/>
                <w:color w:val="000000"/>
                <w:sz w:val="19"/>
                <w:szCs w:val="19"/>
                <w:shd w:val="clear" w:color="auto" w:fill="FFFF00"/>
              </w:rPr>
            </w:pPr>
            <w:r>
              <w:rPr>
                <w:rFonts w:hint="eastAsia" w:cs="宋体" w:asciiTheme="minorEastAsia" w:hAnsiTheme="minorEastAsia" w:eastAsiaTheme="minorEastAsia"/>
                <w:color w:val="000000"/>
                <w:sz w:val="19"/>
                <w:szCs w:val="19"/>
              </w:rPr>
              <w:t>② 制定明确的项目专项资金管理办法、设备采购制度、核心支出费用管理办法等关键制度，得4分；85%≤实际使用专项资金采用公开招标方式购买批复清单内设备的金额占专项资金总额＜90%，得7-8分；共得11-12分；</w:t>
            </w:r>
          </w:p>
          <w:p>
            <w:pPr>
              <w:overflowPunct w:val="0"/>
              <w:adjustRightInd w:val="0"/>
              <w:snapToGrid w:val="0"/>
              <w:ind w:left="42" w:leftChars="20" w:right="42" w:rightChars="20"/>
              <w:rPr>
                <w:rFonts w:cs="宋体" w:asciiTheme="minorEastAsia" w:hAnsiTheme="minorEastAsia" w:eastAsiaTheme="minorEastAsia"/>
                <w:color w:val="000000"/>
                <w:sz w:val="19"/>
                <w:szCs w:val="19"/>
              </w:rPr>
            </w:pPr>
            <w:r>
              <w:rPr>
                <w:rFonts w:hint="eastAsia" w:cs="宋体" w:asciiTheme="minorEastAsia" w:hAnsiTheme="minorEastAsia" w:eastAsiaTheme="minorEastAsia"/>
                <w:color w:val="000000"/>
                <w:sz w:val="19"/>
                <w:szCs w:val="19"/>
              </w:rPr>
              <w:t>③ 制定明确的项目专项资金管理办法、设备采购制度、核心支出费用管理办法等关键制度，得4分；80%≤实际使用专项资金采用公开招标方式购买批复清单内设备的金额占专项资金总额＜85%，得5-6分；共得9-10分。</w:t>
            </w:r>
          </w:p>
        </w:tc>
      </w:tr>
      <w:tr>
        <w:tblPrEx>
          <w:tblCellMar>
            <w:top w:w="0" w:type="dxa"/>
            <w:left w:w="108" w:type="dxa"/>
            <w:bottom w:w="0" w:type="dxa"/>
            <w:right w:w="108" w:type="dxa"/>
          </w:tblCellMar>
        </w:tblPrEx>
        <w:trPr>
          <w:trHeight w:val="4238" w:hRule="atLeast"/>
        </w:trPr>
        <w:tc>
          <w:tcPr>
            <w:tcW w:w="1428"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项目组织管理情况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（20分）</w:t>
            </w:r>
          </w:p>
        </w:tc>
        <w:tc>
          <w:tcPr>
            <w:tcW w:w="134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项目组织实施的规范性</w:t>
            </w:r>
          </w:p>
          <w:p>
            <w:pPr>
              <w:overflowPunct w:val="0"/>
              <w:adjustRightInd w:val="0"/>
              <w:snapToGrid w:val="0"/>
              <w:ind w:left="42" w:leftChars="20" w:right="42" w:rightChars="20"/>
              <w:jc w:val="center"/>
              <w:rPr>
                <w:rFonts w:asciiTheme="minorEastAsia" w:hAnsiTheme="minorEastAsia" w:eastAsiaTheme="minorEastAsia"/>
                <w:sz w:val="20"/>
                <w:szCs w:val="20"/>
              </w:rPr>
            </w:pPr>
            <w:r>
              <w:rPr>
                <w:rFonts w:hint="eastAsia" w:cs="宋体" w:asciiTheme="minorEastAsia" w:hAnsiTheme="minorEastAsia" w:eastAsiaTheme="minorEastAsia"/>
                <w:color w:val="000000"/>
                <w:kern w:val="0"/>
                <w:sz w:val="20"/>
                <w:szCs w:val="20"/>
              </w:rPr>
              <w:t>（15分</w:t>
            </w:r>
            <w:r>
              <w:rPr>
                <w:rFonts w:hint="eastAsia" w:asciiTheme="minorEastAsia" w:hAnsiTheme="minorEastAsia" w:eastAsiaTheme="minorEastAsia"/>
                <w:sz w:val="20"/>
                <w:szCs w:val="20"/>
              </w:rPr>
              <w:t>）</w:t>
            </w:r>
          </w:p>
        </w:tc>
        <w:tc>
          <w:tcPr>
            <w:tcW w:w="28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财务管理有明显欠缺，得分为0－8分。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19"/>
                <w:szCs w:val="19"/>
                <w:shd w:val="clear" w:color="auto" w:fill="FFFF00"/>
              </w:rPr>
            </w:pPr>
            <w:r>
              <w:rPr>
                <w:rFonts w:hint="eastAsia" w:cs="宋体" w:asciiTheme="minorEastAsia" w:hAnsiTheme="minorEastAsia" w:eastAsiaTheme="minorEastAsia"/>
                <w:color w:val="000000"/>
                <w:sz w:val="19"/>
                <w:szCs w:val="19"/>
              </w:rPr>
              <w:t>① 未完整制定规范的项目专项资金管理办法、设备采购制度、核心支出费用管理办法等关键制度，有一项规范的关键制度得2分，总计不超过4分；</w:t>
            </w:r>
          </w:p>
          <w:p>
            <w:pPr>
              <w:overflowPunct w:val="0"/>
              <w:adjustRightInd w:val="0"/>
              <w:snapToGrid w:val="0"/>
              <w:ind w:left="42" w:leftChars="20" w:right="42" w:rightChars="20"/>
              <w:rPr>
                <w:rFonts w:cs="宋体" w:asciiTheme="minorEastAsia" w:hAnsiTheme="minorEastAsia" w:eastAsiaTheme="minorEastAsia"/>
                <w:color w:val="000000"/>
                <w:sz w:val="19"/>
                <w:szCs w:val="19"/>
                <w:shd w:val="clear" w:color="auto" w:fill="FFFF00"/>
              </w:rPr>
            </w:pPr>
            <w:r>
              <w:rPr>
                <w:rFonts w:hint="eastAsia" w:cs="宋体" w:asciiTheme="minorEastAsia" w:hAnsiTheme="minorEastAsia" w:eastAsiaTheme="minorEastAsia"/>
                <w:color w:val="000000"/>
                <w:sz w:val="19"/>
                <w:szCs w:val="19"/>
              </w:rPr>
              <w:t>② 若：</w:t>
            </w:r>
          </w:p>
          <w:p>
            <w:pPr>
              <w:overflowPunct w:val="0"/>
              <w:adjustRightInd w:val="0"/>
              <w:snapToGrid w:val="0"/>
              <w:ind w:left="42" w:leftChars="20" w:right="42" w:rightChars="20"/>
              <w:rPr>
                <w:rFonts w:cs="宋体" w:asciiTheme="minorEastAsia" w:hAnsiTheme="minorEastAsia" w:eastAsiaTheme="minorEastAsia"/>
                <w:color w:val="000000"/>
                <w:sz w:val="19"/>
                <w:szCs w:val="19"/>
                <w:shd w:val="clear" w:color="auto" w:fill="FFFF00"/>
              </w:rPr>
            </w:pPr>
            <w:r>
              <w:rPr>
                <w:rFonts w:hint="eastAsia" w:cs="宋体" w:asciiTheme="minorEastAsia" w:hAnsiTheme="minorEastAsia" w:eastAsiaTheme="minorEastAsia"/>
                <w:color w:val="000000"/>
                <w:sz w:val="19"/>
                <w:szCs w:val="19"/>
              </w:rPr>
              <w:t xml:space="preserve">  1).0%≤实际招标购置总金额÷计划招标购置金额＜30%，得0分；</w:t>
            </w:r>
          </w:p>
          <w:p>
            <w:pPr>
              <w:overflowPunct w:val="0"/>
              <w:adjustRightInd w:val="0"/>
              <w:snapToGrid w:val="0"/>
              <w:ind w:left="42" w:leftChars="20" w:right="42" w:rightChars="20"/>
              <w:rPr>
                <w:rFonts w:cs="宋体" w:asciiTheme="minorEastAsia" w:hAnsiTheme="minorEastAsia" w:eastAsiaTheme="minorEastAsia"/>
                <w:color w:val="000000"/>
                <w:sz w:val="19"/>
                <w:szCs w:val="19"/>
                <w:shd w:val="clear" w:color="auto" w:fill="FFFF00"/>
              </w:rPr>
            </w:pPr>
            <w:r>
              <w:rPr>
                <w:rFonts w:hint="eastAsia" w:cs="宋体" w:asciiTheme="minorEastAsia" w:hAnsiTheme="minorEastAsia" w:eastAsiaTheme="minorEastAsia"/>
                <w:color w:val="000000"/>
                <w:sz w:val="19"/>
                <w:szCs w:val="19"/>
              </w:rPr>
              <w:t xml:space="preserve">  2).30%≤实际招标购置总金额÷计划招标购置金额＜50%，得1分；</w:t>
            </w:r>
          </w:p>
          <w:p>
            <w:pPr>
              <w:overflowPunct w:val="0"/>
              <w:adjustRightInd w:val="0"/>
              <w:snapToGrid w:val="0"/>
              <w:ind w:left="42" w:leftChars="20" w:right="42" w:rightChars="20"/>
              <w:rPr>
                <w:rFonts w:cs="宋体" w:asciiTheme="minorEastAsia" w:hAnsiTheme="minorEastAsia" w:eastAsiaTheme="minorEastAsia"/>
                <w:color w:val="000000"/>
                <w:sz w:val="19"/>
                <w:szCs w:val="19"/>
                <w:shd w:val="clear" w:color="auto" w:fill="FFFF00"/>
              </w:rPr>
            </w:pPr>
            <w:r>
              <w:rPr>
                <w:rFonts w:hint="eastAsia" w:cs="宋体" w:asciiTheme="minorEastAsia" w:hAnsiTheme="minorEastAsia" w:eastAsiaTheme="minorEastAsia"/>
                <w:color w:val="000000"/>
                <w:sz w:val="19"/>
                <w:szCs w:val="19"/>
              </w:rPr>
              <w:t xml:space="preserve">  3).50%≤实际招标购置总金额÷计划招标购置金额＜60%，得2分；</w:t>
            </w:r>
          </w:p>
          <w:p>
            <w:pPr>
              <w:overflowPunct w:val="0"/>
              <w:adjustRightInd w:val="0"/>
              <w:snapToGrid w:val="0"/>
              <w:ind w:left="42" w:leftChars="20" w:right="42" w:rightChars="20"/>
              <w:rPr>
                <w:rFonts w:cs="宋体" w:asciiTheme="minorEastAsia" w:hAnsiTheme="minorEastAsia" w:eastAsiaTheme="minorEastAsia"/>
                <w:color w:val="000000"/>
                <w:sz w:val="19"/>
                <w:szCs w:val="19"/>
                <w:shd w:val="clear" w:color="auto" w:fill="FFFF00"/>
              </w:rPr>
            </w:pPr>
            <w:r>
              <w:rPr>
                <w:rFonts w:hint="eastAsia" w:cs="宋体" w:asciiTheme="minorEastAsia" w:hAnsiTheme="minorEastAsia" w:eastAsiaTheme="minorEastAsia"/>
                <w:color w:val="000000"/>
                <w:sz w:val="19"/>
                <w:szCs w:val="19"/>
              </w:rPr>
              <w:t xml:space="preserve">  4).60%≤实际招标购置总金额÷计划招标购置金额＜70%，得3分；</w:t>
            </w:r>
          </w:p>
          <w:p>
            <w:pPr>
              <w:overflowPunct w:val="0"/>
              <w:adjustRightInd w:val="0"/>
              <w:snapToGrid w:val="0"/>
              <w:ind w:left="42" w:leftChars="20" w:right="42" w:rightChars="20"/>
              <w:rPr>
                <w:rFonts w:cs="宋体" w:asciiTheme="minorEastAsia" w:hAnsiTheme="minorEastAsia" w:eastAsiaTheme="minorEastAsia"/>
                <w:color w:val="000000"/>
                <w:sz w:val="19"/>
                <w:szCs w:val="19"/>
                <w:shd w:val="clear" w:color="auto" w:fill="FFFF00"/>
              </w:rPr>
            </w:pPr>
            <w:r>
              <w:rPr>
                <w:rFonts w:hint="eastAsia" w:cs="宋体" w:asciiTheme="minorEastAsia" w:hAnsiTheme="minorEastAsia" w:eastAsiaTheme="minorEastAsia"/>
                <w:color w:val="000000"/>
                <w:sz w:val="19"/>
                <w:szCs w:val="19"/>
              </w:rPr>
              <w:t xml:space="preserve">  5).70%≤实际招标购置总金额÷计划招标购置金额＜80%，得4分；</w:t>
            </w:r>
          </w:p>
          <w:p>
            <w:pPr>
              <w:overflowPunct w:val="0"/>
              <w:adjustRightInd w:val="0"/>
              <w:snapToGrid w:val="0"/>
              <w:ind w:left="42" w:leftChars="20" w:right="42" w:rightChars="20"/>
              <w:rPr>
                <w:rFonts w:cs="宋体" w:asciiTheme="minorEastAsia" w:hAnsiTheme="minorEastAsia" w:eastAsiaTheme="minorEastAsia"/>
                <w:color w:val="000000"/>
                <w:sz w:val="19"/>
                <w:szCs w:val="19"/>
              </w:rPr>
            </w:pPr>
            <w:r>
              <w:rPr>
                <w:rFonts w:hint="eastAsia" w:cs="宋体" w:asciiTheme="minorEastAsia" w:hAnsiTheme="minorEastAsia" w:eastAsiaTheme="minorEastAsia"/>
                <w:color w:val="000000"/>
                <w:sz w:val="19"/>
                <w:szCs w:val="19"/>
              </w:rPr>
              <w:t>此项得分计为①与②之和。</w:t>
            </w:r>
          </w:p>
        </w:tc>
      </w:tr>
      <w:tr>
        <w:tblPrEx>
          <w:tblCellMar>
            <w:top w:w="0" w:type="dxa"/>
            <w:left w:w="108" w:type="dxa"/>
            <w:bottom w:w="0" w:type="dxa"/>
            <w:right w:w="108" w:type="dxa"/>
          </w:tblCellMar>
        </w:tblPrEx>
        <w:trPr>
          <w:trHeight w:val="1034" w:hRule="atLeast"/>
        </w:trPr>
        <w:tc>
          <w:tcPr>
            <w:tcW w:w="1428"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p>
        </w:tc>
        <w:tc>
          <w:tcPr>
            <w:tcW w:w="134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定期报告项目实施进展情况（5分）</w:t>
            </w:r>
          </w:p>
        </w:tc>
        <w:tc>
          <w:tcPr>
            <w:tcW w:w="282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按时提交项目实施进展，满分5分，1次未按时提交扣0.5分，最多扣5分。</w:t>
            </w:r>
          </w:p>
        </w:tc>
        <w:tc>
          <w:tcPr>
            <w:tcW w:w="354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以市发展改革委项目验收管理系统的报告数据为依据。</w:t>
            </w:r>
          </w:p>
        </w:tc>
      </w:tr>
      <w:tr>
        <w:tblPrEx>
          <w:tblCellMar>
            <w:top w:w="0" w:type="dxa"/>
            <w:left w:w="108" w:type="dxa"/>
            <w:bottom w:w="0" w:type="dxa"/>
            <w:right w:w="108" w:type="dxa"/>
          </w:tblCellMar>
        </w:tblPrEx>
        <w:trPr>
          <w:trHeight w:val="3969" w:hRule="atLeast"/>
        </w:trPr>
        <w:tc>
          <w:tcPr>
            <w:tcW w:w="9141" w:type="dxa"/>
            <w:gridSpan w:val="4"/>
            <w:tcBorders>
              <w:top w:val="single" w:color="auto" w:sz="4" w:space="0"/>
              <w:left w:val="single" w:color="000000" w:sz="4" w:space="0"/>
              <w:bottom w:val="single" w:color="000000" w:sz="4" w:space="0"/>
              <w:right w:val="single" w:color="000000" w:sz="4" w:space="0"/>
            </w:tcBorders>
            <w:tcMar>
              <w:top w:w="15" w:type="dxa"/>
              <w:left w:w="15" w:type="dxa"/>
              <w:right w:w="15" w:type="dxa"/>
            </w:tcMa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p>
          <w:p>
            <w:pPr>
              <w:widowControl/>
              <w:overflowPunct w:val="0"/>
              <w:adjustRightInd w:val="0"/>
              <w:snapToGrid w:val="0"/>
              <w:ind w:left="42" w:leftChars="20" w:right="42" w:rightChars="20"/>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专家意见（可另附页，验收总体意见以及分别对投资、建设内容、绩效目标、专项资金使用等完成情况作出具体评价）：</w:t>
            </w:r>
          </w:p>
        </w:tc>
      </w:tr>
    </w:tbl>
    <w:p>
      <w:pPr>
        <w:sectPr>
          <w:pgSz w:w="11906" w:h="16838"/>
          <w:pgMar w:top="1440" w:right="1800" w:bottom="1440" w:left="1800" w:header="851" w:footer="737" w:gutter="0"/>
          <w:cols w:space="425" w:num="1"/>
          <w:docGrid w:type="lines" w:linePitch="312" w:charSpace="0"/>
        </w:sectPr>
      </w:pPr>
    </w:p>
    <w:p>
      <w:pPr>
        <w:spacing w:line="500" w:lineRule="exact"/>
        <w:rPr>
          <w:rFonts w:ascii="仿宋_GB2312" w:hAnsi="Times New Roman" w:eastAsia="仿宋_GB2312"/>
          <w:b/>
          <w:color w:val="000000"/>
          <w:sz w:val="32"/>
          <w:szCs w:val="32"/>
        </w:rPr>
      </w:pPr>
      <w:r>
        <w:rPr>
          <w:rFonts w:hint="eastAsia" w:ascii="仿宋_GB2312" w:hAnsi="Times New Roman" w:eastAsia="仿宋_GB2312"/>
          <w:b/>
          <w:color w:val="000000"/>
          <w:sz w:val="32"/>
          <w:szCs w:val="32"/>
        </w:rPr>
        <w:t>附件6</w:t>
      </w:r>
    </w:p>
    <w:p>
      <w:pPr>
        <w:spacing w:line="500" w:lineRule="exact"/>
        <w:jc w:val="center"/>
        <w:rPr>
          <w:rFonts w:ascii="仿宋_GB2312" w:hAnsi="仿宋_GB2312" w:cs="仿宋_GB2312"/>
          <w:b/>
          <w:szCs w:val="32"/>
        </w:rPr>
      </w:pPr>
    </w:p>
    <w:p>
      <w:pPr>
        <w:widowControl/>
        <w:snapToGrid w:val="0"/>
        <w:spacing w:line="500" w:lineRule="exact"/>
        <w:jc w:val="center"/>
        <w:rPr>
          <w:rFonts w:ascii="宋体" w:hAnsi="宋体" w:cs="宋体"/>
          <w:kern w:val="0"/>
          <w:sz w:val="38"/>
          <w:szCs w:val="38"/>
        </w:rPr>
      </w:pPr>
      <w:r>
        <w:rPr>
          <w:rFonts w:hint="eastAsia" w:ascii="宋体" w:hAnsi="宋体" w:cs="宋体"/>
          <w:b/>
          <w:bCs/>
          <w:kern w:val="0"/>
          <w:sz w:val="38"/>
          <w:szCs w:val="38"/>
        </w:rPr>
        <w:t>“创新链+产业链”融合资助类项目验收专家综合评议打分表</w:t>
      </w:r>
    </w:p>
    <w:p>
      <w:pPr>
        <w:widowControl/>
        <w:snapToGrid w:val="0"/>
        <w:spacing w:line="500" w:lineRule="exact"/>
        <w:jc w:val="left"/>
        <w:rPr>
          <w:rFonts w:ascii="仿宋_GB2312" w:hAnsi="仿宋" w:eastAsia="仿宋_GB2312" w:cs="宋体"/>
          <w:kern w:val="0"/>
          <w:sz w:val="30"/>
          <w:szCs w:val="30"/>
        </w:rPr>
      </w:pPr>
      <w:r>
        <w:rPr>
          <w:rFonts w:hint="eastAsia" w:ascii="仿宋_GB2312" w:hAnsi="仿宋" w:eastAsia="仿宋_GB2312" w:cs="宋体"/>
          <w:kern w:val="0"/>
          <w:sz w:val="30"/>
          <w:szCs w:val="30"/>
        </w:rPr>
        <w:t>项目名称：</w:t>
      </w:r>
    </w:p>
    <w:p>
      <w:pPr>
        <w:widowControl/>
        <w:snapToGrid w:val="0"/>
        <w:spacing w:line="500" w:lineRule="exact"/>
        <w:jc w:val="left"/>
        <w:rPr>
          <w:rFonts w:ascii="仿宋_GB2312" w:hAnsi="仿宋" w:eastAsia="仿宋_GB2312" w:cs="宋体"/>
          <w:kern w:val="0"/>
          <w:sz w:val="30"/>
          <w:szCs w:val="30"/>
        </w:rPr>
      </w:pPr>
      <w:r>
        <w:rPr>
          <w:rFonts w:hint="eastAsia" w:ascii="仿宋_GB2312" w:hAnsi="仿宋" w:eastAsia="仿宋_GB2312" w:cs="宋体"/>
          <w:kern w:val="0"/>
          <w:sz w:val="30"/>
          <w:szCs w:val="30"/>
        </w:rPr>
        <w:t>专家签名：</w:t>
      </w:r>
    </w:p>
    <w:p>
      <w:pPr>
        <w:spacing w:after="109" w:afterLines="35" w:line="500" w:lineRule="exact"/>
        <w:rPr>
          <w:rFonts w:ascii="仿宋_GB2312" w:hAnsi="仿宋" w:eastAsia="仿宋_GB2312" w:cs="宋体"/>
          <w:kern w:val="0"/>
          <w:sz w:val="30"/>
          <w:szCs w:val="30"/>
        </w:rPr>
      </w:pPr>
      <w:r>
        <w:rPr>
          <w:rFonts w:hint="eastAsia" w:ascii="仿宋_GB2312" w:hAnsi="仿宋" w:eastAsia="仿宋_GB2312" w:cs="宋体"/>
          <w:kern w:val="0"/>
          <w:sz w:val="30"/>
          <w:szCs w:val="30"/>
        </w:rPr>
        <w:t>项目综合得分：</w:t>
      </w:r>
    </w:p>
    <w:tbl>
      <w:tblPr>
        <w:tblStyle w:val="2"/>
        <w:tblW w:w="5474" w:type="pct"/>
        <w:tblInd w:w="-377" w:type="dxa"/>
        <w:tblLayout w:type="autofit"/>
        <w:tblCellMar>
          <w:top w:w="0" w:type="dxa"/>
          <w:left w:w="108" w:type="dxa"/>
          <w:bottom w:w="0" w:type="dxa"/>
          <w:right w:w="108" w:type="dxa"/>
        </w:tblCellMar>
      </w:tblPr>
      <w:tblGrid>
        <w:gridCol w:w="1413"/>
        <w:gridCol w:w="1345"/>
        <w:gridCol w:w="2827"/>
        <w:gridCol w:w="3541"/>
      </w:tblGrid>
      <w:tr>
        <w:tblPrEx>
          <w:tblCellMar>
            <w:top w:w="0" w:type="dxa"/>
            <w:left w:w="108" w:type="dxa"/>
            <w:bottom w:w="0" w:type="dxa"/>
            <w:right w:w="108" w:type="dxa"/>
          </w:tblCellMar>
        </w:tblPrEx>
        <w:trPr>
          <w:trHeight w:val="482" w:hRule="atLeast"/>
          <w:tblHeader/>
        </w:trPr>
        <w:tc>
          <w:tcPr>
            <w:tcW w:w="14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kern w:val="0"/>
                <w:sz w:val="20"/>
                <w:szCs w:val="20"/>
              </w:rPr>
              <w:t>一级指标</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kern w:val="0"/>
                <w:sz w:val="20"/>
                <w:szCs w:val="20"/>
              </w:rPr>
              <w:t>二级指标</w:t>
            </w:r>
          </w:p>
        </w:tc>
        <w:tc>
          <w:tcPr>
            <w:tcW w:w="2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kern w:val="0"/>
                <w:sz w:val="20"/>
                <w:szCs w:val="20"/>
              </w:rPr>
              <w:t>评分标准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kern w:val="0"/>
                <w:sz w:val="20"/>
                <w:szCs w:val="20"/>
              </w:rPr>
              <w:t>得分</w:t>
            </w:r>
          </w:p>
        </w:tc>
      </w:tr>
      <w:tr>
        <w:tblPrEx>
          <w:tblCellMar>
            <w:top w:w="0" w:type="dxa"/>
            <w:left w:w="108" w:type="dxa"/>
            <w:bottom w:w="0" w:type="dxa"/>
            <w:right w:w="108" w:type="dxa"/>
          </w:tblCellMar>
        </w:tblPrEx>
        <w:trPr>
          <w:trHeight w:val="1418" w:hRule="atLeast"/>
        </w:trPr>
        <w:tc>
          <w:tcPr>
            <w:tcW w:w="141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投资完成情况（35分）</w:t>
            </w:r>
          </w:p>
        </w:tc>
        <w:tc>
          <w:tcPr>
            <w:tcW w:w="134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总投资额完成情况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（15分）</w:t>
            </w:r>
          </w:p>
        </w:tc>
        <w:tc>
          <w:tcPr>
            <w:tcW w:w="2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全部或超额完成批复文件或项目合同书规定要求（实际总投资额</w:t>
            </w:r>
            <w:r>
              <w:rPr>
                <w:rFonts w:hint="eastAsia" w:cs="Arial"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计划总投资额≥100%），得分为15分。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1418" w:hRule="atLeast"/>
        </w:trPr>
        <w:tc>
          <w:tcPr>
            <w:tcW w:w="1413" w:type="dxa"/>
            <w:vMerge w:val="continue"/>
            <w:tcBorders>
              <w:left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45" w:type="dxa"/>
            <w:vMerge w:val="continue"/>
            <w:tcBorders>
              <w:left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基本完成批复文件或项目合同书规定要求（实际总投资额</w:t>
            </w:r>
            <w:r>
              <w:rPr>
                <w:rFonts w:hint="eastAsia" w:cs="Arial"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计划总投资额≥80%），得分为9-14分。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90%≤比例＜100%，得12-14分；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80%≤比例＜90%，得9-11分。</w:t>
            </w:r>
          </w:p>
        </w:tc>
      </w:tr>
      <w:tr>
        <w:tblPrEx>
          <w:tblCellMar>
            <w:top w:w="0" w:type="dxa"/>
            <w:left w:w="108" w:type="dxa"/>
            <w:bottom w:w="0" w:type="dxa"/>
            <w:right w:w="108" w:type="dxa"/>
          </w:tblCellMar>
        </w:tblPrEx>
        <w:trPr>
          <w:trHeight w:val="1134" w:hRule="atLeast"/>
        </w:trPr>
        <w:tc>
          <w:tcPr>
            <w:tcW w:w="1413" w:type="dxa"/>
            <w:vMerge w:val="continue"/>
            <w:tcBorders>
              <w:left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4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项目实际总投资额未达到计划总投资额80%的，不予安排验收。</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1280" w:hRule="atLeast"/>
        </w:trPr>
        <w:tc>
          <w:tcPr>
            <w:tcW w:w="1413" w:type="dxa"/>
            <w:vMerge w:val="continue"/>
            <w:tcBorders>
              <w:left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设备仪器建设情况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（15分）</w:t>
            </w:r>
          </w:p>
        </w:tc>
        <w:tc>
          <w:tcPr>
            <w:tcW w:w="2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全部或超额完成批复文件或项目合同书规定要求，得分为15分。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实际购置与本项目相关的设备金额÷计划设备购置额≥100%</w:t>
            </w:r>
          </w:p>
        </w:tc>
      </w:tr>
      <w:tr>
        <w:tblPrEx>
          <w:tblCellMar>
            <w:top w:w="0" w:type="dxa"/>
            <w:left w:w="108" w:type="dxa"/>
            <w:bottom w:w="0" w:type="dxa"/>
            <w:right w:w="108" w:type="dxa"/>
          </w:tblCellMar>
        </w:tblPrEx>
        <w:trPr>
          <w:trHeight w:val="2092" w:hRule="atLeast"/>
        </w:trPr>
        <w:tc>
          <w:tcPr>
            <w:tcW w:w="1413" w:type="dxa"/>
            <w:vMerge w:val="continue"/>
            <w:tcBorders>
              <w:left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基本完成批复文件或项目合同书规定要求，得分为9-14分。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90%≤实际购置与本项目相关的设备金额÷计划设备购置额＜100%，得12-14 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80%≤实际购置与本项目相关的设备金额÷计划设备购置额＜90%，得9-11 分。</w:t>
            </w:r>
          </w:p>
        </w:tc>
      </w:tr>
      <w:tr>
        <w:tblPrEx>
          <w:tblCellMar>
            <w:top w:w="0" w:type="dxa"/>
            <w:left w:w="108" w:type="dxa"/>
            <w:bottom w:w="0" w:type="dxa"/>
            <w:right w:w="108" w:type="dxa"/>
          </w:tblCellMar>
        </w:tblPrEx>
        <w:trPr>
          <w:trHeight w:val="2105" w:hRule="atLeast"/>
        </w:trPr>
        <w:tc>
          <w:tcPr>
            <w:tcW w:w="141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部分完成批复文件或项目合同书规定要求，得分为0-8分。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70%≤实际购置与本项目相关设备金额÷计划设备购置额＜80%，得5-8分；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50%≤实际购置与本项目相关设备金额÷计划设备购置额＜70%，得1-4分；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③ 实际购置与本项目相关设备金额÷计划设备购置额＜50%，得0分。</w:t>
            </w:r>
          </w:p>
        </w:tc>
      </w:tr>
      <w:tr>
        <w:tblPrEx>
          <w:tblCellMar>
            <w:top w:w="0" w:type="dxa"/>
            <w:left w:w="108" w:type="dxa"/>
            <w:bottom w:w="0" w:type="dxa"/>
            <w:right w:w="108" w:type="dxa"/>
          </w:tblCellMar>
        </w:tblPrEx>
        <w:trPr>
          <w:trHeight w:val="1276" w:hRule="atLeast"/>
        </w:trPr>
        <w:tc>
          <w:tcPr>
            <w:tcW w:w="141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投资完成情况（35分）</w:t>
            </w:r>
          </w:p>
        </w:tc>
        <w:tc>
          <w:tcPr>
            <w:tcW w:w="13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场地建设情况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（5分）</w:t>
            </w:r>
          </w:p>
        </w:tc>
        <w:tc>
          <w:tcPr>
            <w:tcW w:w="2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全部或超额完成批复文件或项目合同书规定要求（实际改扩建场地面积</w:t>
            </w:r>
            <w:r>
              <w:rPr>
                <w:rFonts w:hint="eastAsia" w:cs="Arial"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计划改扩建场地面积≥100%），得分为5分。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1276" w:hRule="atLeast"/>
        </w:trPr>
        <w:tc>
          <w:tcPr>
            <w:tcW w:w="1413" w:type="dxa"/>
            <w:vMerge w:val="continue"/>
            <w:tcBorders>
              <w:left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基本完成批复文件或项目合同书规定要求（实际改扩建场地面积</w:t>
            </w:r>
            <w:r>
              <w:rPr>
                <w:rFonts w:hint="eastAsia" w:cs="Arial"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计划改扩建场地面积≥80%），得分为3-4分。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90%≤比例＜100%，得 4分；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80%≤比例＜90%，得3分；</w:t>
            </w:r>
          </w:p>
        </w:tc>
      </w:tr>
      <w:tr>
        <w:tblPrEx>
          <w:tblCellMar>
            <w:top w:w="0" w:type="dxa"/>
            <w:left w:w="108" w:type="dxa"/>
            <w:bottom w:w="0" w:type="dxa"/>
            <w:right w:w="108" w:type="dxa"/>
          </w:tblCellMar>
        </w:tblPrEx>
        <w:trPr>
          <w:trHeight w:val="1276" w:hRule="atLeast"/>
        </w:trPr>
        <w:tc>
          <w:tcPr>
            <w:tcW w:w="1413"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部分完成批复文件或项目合同书规定要求（实际改扩建场地面积</w:t>
            </w:r>
            <w:r>
              <w:rPr>
                <w:rFonts w:hint="eastAsia" w:cs="Arial"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计划改扩建场地面积&lt;80%），得分为0-2分。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60%≤比例＜80%，得2分；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30%≤比例＜60%，得1分；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③ 比例＜30%，得0分。</w:t>
            </w:r>
          </w:p>
        </w:tc>
      </w:tr>
      <w:tr>
        <w:tblPrEx>
          <w:tblCellMar>
            <w:top w:w="0" w:type="dxa"/>
            <w:left w:w="108" w:type="dxa"/>
            <w:bottom w:w="0" w:type="dxa"/>
            <w:right w:w="108" w:type="dxa"/>
          </w:tblCellMar>
        </w:tblPrEx>
        <w:trPr>
          <w:trHeight w:val="829" w:hRule="atLeast"/>
        </w:trPr>
        <w:tc>
          <w:tcPr>
            <w:tcW w:w="141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成果产出情况</w:t>
            </w:r>
            <w:r>
              <w:rPr>
                <w:rFonts w:hint="eastAsia" w:cs="宋体" w:asciiTheme="minorEastAsia" w:hAnsiTheme="minorEastAsia" w:eastAsiaTheme="minorEastAsia"/>
                <w:color w:val="000000"/>
                <w:kern w:val="0"/>
                <w:sz w:val="20"/>
                <w:szCs w:val="20"/>
              </w:rPr>
              <w:t>（40分）</w:t>
            </w:r>
          </w:p>
        </w:tc>
        <w:tc>
          <w:tcPr>
            <w:tcW w:w="1345" w:type="dxa"/>
            <w:vMerge w:val="restar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主要技术指标完成情况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（15分）</w:t>
            </w:r>
          </w:p>
        </w:tc>
        <w:tc>
          <w:tcPr>
            <w:tcW w:w="2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达到或超出批复文件或项目合同书规定要求，得分为15分。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1829" w:hRule="atLeast"/>
        </w:trPr>
        <w:tc>
          <w:tcPr>
            <w:tcW w:w="1413"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45" w:type="dxa"/>
            <w:vMerge w:val="continue"/>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基本达到批复文件或项目合同书规定要求，得分为9-14分。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如技术指标完成情况可用完成比例评估，则：</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90%≤完成比例＜100%，得12-14分；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80%≤实际比例＜90%，得9-11分。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如技术指标完成情况不可用完成比例评估，则由专家进行专业判断打分。</w:t>
            </w:r>
          </w:p>
        </w:tc>
      </w:tr>
      <w:tr>
        <w:tblPrEx>
          <w:tblCellMar>
            <w:top w:w="0" w:type="dxa"/>
            <w:left w:w="108" w:type="dxa"/>
            <w:bottom w:w="0" w:type="dxa"/>
            <w:right w:w="108" w:type="dxa"/>
          </w:tblCellMar>
        </w:tblPrEx>
        <w:trPr>
          <w:trHeight w:val="2079" w:hRule="atLeast"/>
        </w:trPr>
        <w:tc>
          <w:tcPr>
            <w:tcW w:w="1413"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45" w:type="dxa"/>
            <w:vMerge w:val="continue"/>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与批复文件或项目合同书规定要求相差较大，得分为0-8分。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如技术指标完成情况可用完成比例评估，则：</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60%≤完成比例＜80%，得5-8分；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30%≤完成比例＜60%，得1-4分；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③ 完成比例＜30%，得0分。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如技术指标完成情况不可用完成比例评估，则由专家进行专业判断打分。</w:t>
            </w:r>
          </w:p>
        </w:tc>
      </w:tr>
      <w:tr>
        <w:tblPrEx>
          <w:tblCellMar>
            <w:top w:w="0" w:type="dxa"/>
            <w:left w:w="108" w:type="dxa"/>
            <w:bottom w:w="0" w:type="dxa"/>
            <w:right w:w="108" w:type="dxa"/>
          </w:tblCellMar>
        </w:tblPrEx>
        <w:trPr>
          <w:trHeight w:val="936" w:hRule="atLeast"/>
        </w:trPr>
        <w:tc>
          <w:tcPr>
            <w:tcW w:w="1413"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45" w:type="dxa"/>
            <w:vMerge w:val="restar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关键共性技术 突破情况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（5分）</w:t>
            </w:r>
          </w:p>
        </w:tc>
        <w:tc>
          <w:tcPr>
            <w:tcW w:w="2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全部或超额完成批复文件或项目合同书规定要求，得分为5分。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由专家进行专业判断打分。</w:t>
            </w:r>
          </w:p>
        </w:tc>
      </w:tr>
      <w:tr>
        <w:tblPrEx>
          <w:tblCellMar>
            <w:top w:w="0" w:type="dxa"/>
            <w:left w:w="108" w:type="dxa"/>
            <w:bottom w:w="0" w:type="dxa"/>
            <w:right w:w="108" w:type="dxa"/>
          </w:tblCellMar>
        </w:tblPrEx>
        <w:trPr>
          <w:trHeight w:val="879" w:hRule="atLeast"/>
        </w:trPr>
        <w:tc>
          <w:tcPr>
            <w:tcW w:w="1413"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45" w:type="dxa"/>
            <w:vMerge w:val="continue"/>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基本完成批复文件或项目合同书规定要求，得分为3-4分。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由专家进行专业判断打分。</w:t>
            </w:r>
          </w:p>
        </w:tc>
      </w:tr>
      <w:tr>
        <w:tblPrEx>
          <w:tblCellMar>
            <w:top w:w="0" w:type="dxa"/>
            <w:left w:w="108" w:type="dxa"/>
            <w:bottom w:w="0" w:type="dxa"/>
            <w:right w:w="108" w:type="dxa"/>
          </w:tblCellMar>
        </w:tblPrEx>
        <w:trPr>
          <w:trHeight w:val="879" w:hRule="atLeast"/>
        </w:trPr>
        <w:tc>
          <w:tcPr>
            <w:tcW w:w="1413"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45" w:type="dxa"/>
            <w:vMerge w:val="continue"/>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没有完成批复文件或项目合同书规定要求，得分为0-2分。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由专家进行专业判断打分。</w:t>
            </w:r>
          </w:p>
        </w:tc>
      </w:tr>
      <w:tr>
        <w:tblPrEx>
          <w:tblCellMar>
            <w:top w:w="0" w:type="dxa"/>
            <w:left w:w="108" w:type="dxa"/>
            <w:bottom w:w="0" w:type="dxa"/>
            <w:right w:w="108" w:type="dxa"/>
          </w:tblCellMar>
        </w:tblPrEx>
        <w:trPr>
          <w:trHeight w:val="567" w:hRule="atLeast"/>
        </w:trPr>
        <w:tc>
          <w:tcPr>
            <w:tcW w:w="1413" w:type="dxa"/>
            <w:vMerge w:val="continue"/>
            <w:tcBorders>
              <w:left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p>
        </w:tc>
        <w:tc>
          <w:tcPr>
            <w:tcW w:w="1345" w:type="dxa"/>
            <w:vMerge w:val="restart"/>
            <w:tcBorders>
              <w:top w:val="single" w:color="000000" w:sz="4" w:space="0"/>
              <w:left w:val="single" w:color="auto"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产业化应用示范情况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（10分）</w:t>
            </w:r>
          </w:p>
        </w:tc>
        <w:tc>
          <w:tcPr>
            <w:tcW w:w="2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效果和作用明显，得分为10分。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由专家进行专业判断打分。</w:t>
            </w:r>
          </w:p>
        </w:tc>
      </w:tr>
      <w:tr>
        <w:tblPrEx>
          <w:tblCellMar>
            <w:top w:w="0" w:type="dxa"/>
            <w:left w:w="108" w:type="dxa"/>
            <w:bottom w:w="0" w:type="dxa"/>
            <w:right w:w="108" w:type="dxa"/>
          </w:tblCellMar>
        </w:tblPrEx>
        <w:trPr>
          <w:trHeight w:val="567" w:hRule="atLeast"/>
        </w:trPr>
        <w:tc>
          <w:tcPr>
            <w:tcW w:w="1413" w:type="dxa"/>
            <w:vMerge w:val="continue"/>
            <w:tcBorders>
              <w:left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p>
        </w:tc>
        <w:tc>
          <w:tcPr>
            <w:tcW w:w="1345" w:type="dxa"/>
            <w:vMerge w:val="continue"/>
            <w:tcBorders>
              <w:left w:val="single" w:color="auto"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p>
        </w:tc>
        <w:tc>
          <w:tcPr>
            <w:tcW w:w="2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具有一定效果，得分为6—9分。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由专家进行专业判断打分。</w:t>
            </w:r>
          </w:p>
        </w:tc>
      </w:tr>
      <w:tr>
        <w:tblPrEx>
          <w:tblCellMar>
            <w:top w:w="0" w:type="dxa"/>
            <w:left w:w="108" w:type="dxa"/>
            <w:bottom w:w="0" w:type="dxa"/>
            <w:right w:w="108" w:type="dxa"/>
          </w:tblCellMar>
        </w:tblPrEx>
        <w:trPr>
          <w:trHeight w:val="567" w:hRule="atLeast"/>
        </w:trPr>
        <w:tc>
          <w:tcPr>
            <w:tcW w:w="141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p>
        </w:tc>
        <w:tc>
          <w:tcPr>
            <w:tcW w:w="1345" w:type="dxa"/>
            <w:vMerge w:val="continue"/>
            <w:tcBorders>
              <w:left w:val="single" w:color="auto"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p>
        </w:tc>
        <w:tc>
          <w:tcPr>
            <w:tcW w:w="2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效果较差，得分为0-5分。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由专家进行专业判断打分。</w:t>
            </w:r>
          </w:p>
        </w:tc>
      </w:tr>
      <w:tr>
        <w:tblPrEx>
          <w:tblCellMar>
            <w:top w:w="0" w:type="dxa"/>
            <w:left w:w="108" w:type="dxa"/>
            <w:bottom w:w="0" w:type="dxa"/>
            <w:right w:w="108" w:type="dxa"/>
          </w:tblCellMar>
        </w:tblPrEx>
        <w:trPr>
          <w:trHeight w:val="1588" w:hRule="atLeast"/>
        </w:trPr>
        <w:tc>
          <w:tcPr>
            <w:tcW w:w="141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成果产出情况</w:t>
            </w:r>
            <w:r>
              <w:rPr>
                <w:rFonts w:hint="eastAsia" w:cs="宋体" w:asciiTheme="minorEastAsia" w:hAnsiTheme="minorEastAsia" w:eastAsiaTheme="minorEastAsia"/>
                <w:color w:val="000000"/>
                <w:kern w:val="0"/>
                <w:sz w:val="20"/>
                <w:szCs w:val="20"/>
              </w:rPr>
              <w:t>（40分）</w:t>
            </w:r>
          </w:p>
        </w:tc>
        <w:tc>
          <w:tcPr>
            <w:tcW w:w="1345" w:type="dxa"/>
            <w:vMerge w:val="restar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知识产权取得、标准制定情况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（5分）</w:t>
            </w:r>
          </w:p>
        </w:tc>
        <w:tc>
          <w:tcPr>
            <w:tcW w:w="2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全部或超额完成批复文件或项目合同书规定要求（实际取得专利和制定标准数量</w:t>
            </w:r>
            <w:r>
              <w:rPr>
                <w:rFonts w:hint="eastAsia" w:cs="Arial"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计划取得专利和制定标准数量≥100%），得分为5分。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1588" w:hRule="atLeast"/>
        </w:trPr>
        <w:tc>
          <w:tcPr>
            <w:tcW w:w="1413"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45" w:type="dxa"/>
            <w:vMerge w:val="continue"/>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基本完成批复文件或项目合同书规定要求（实际取得专利和制定标准数量</w:t>
            </w:r>
            <w:r>
              <w:rPr>
                <w:rFonts w:hint="eastAsia" w:cs="Arial"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计划取得专利和制定标准数量≥80%），得分为3-4分。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90%≤比例＜100%，得 4分；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80%≤比例＜90%，得3分。</w:t>
            </w:r>
          </w:p>
        </w:tc>
      </w:tr>
      <w:tr>
        <w:tblPrEx>
          <w:tblCellMar>
            <w:top w:w="0" w:type="dxa"/>
            <w:left w:w="108" w:type="dxa"/>
            <w:bottom w:w="0" w:type="dxa"/>
            <w:right w:w="108" w:type="dxa"/>
          </w:tblCellMar>
        </w:tblPrEx>
        <w:trPr>
          <w:trHeight w:val="1588" w:hRule="atLeast"/>
        </w:trPr>
        <w:tc>
          <w:tcPr>
            <w:tcW w:w="1413"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45" w:type="dxa"/>
            <w:vMerge w:val="continue"/>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没有完成批复文件或项目合同书规定要求（实际取得专利和制定标准数量</w:t>
            </w:r>
            <w:r>
              <w:rPr>
                <w:rFonts w:hint="eastAsia" w:cs="Arial"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计划取得专利和制定标准数量&lt;80%），得分为0-2分。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60%≤比例＜80%，得2分；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30%≤比例＜60%，得1分；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③ 比例＜30%，得0分。</w:t>
            </w:r>
          </w:p>
        </w:tc>
      </w:tr>
      <w:tr>
        <w:tblPrEx>
          <w:tblCellMar>
            <w:top w:w="0" w:type="dxa"/>
            <w:left w:w="108" w:type="dxa"/>
            <w:bottom w:w="0" w:type="dxa"/>
            <w:right w:w="108" w:type="dxa"/>
          </w:tblCellMar>
        </w:tblPrEx>
        <w:trPr>
          <w:trHeight w:val="1588" w:hRule="atLeast"/>
        </w:trPr>
        <w:tc>
          <w:tcPr>
            <w:tcW w:w="1413"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45" w:type="dxa"/>
            <w:vMerge w:val="restar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人才培养、论文发表情况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（5分）</w:t>
            </w:r>
          </w:p>
        </w:tc>
        <w:tc>
          <w:tcPr>
            <w:tcW w:w="2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全部或超额完成批复文件或项目合同书规定要求（实际培养人才和发表论文数量</w:t>
            </w:r>
            <w:r>
              <w:rPr>
                <w:rFonts w:hint="eastAsia" w:cs="Arial"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计划培养人才和发表论文数量≥100%），得分为5分。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1588" w:hRule="atLeast"/>
        </w:trPr>
        <w:tc>
          <w:tcPr>
            <w:tcW w:w="1413"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45" w:type="dxa"/>
            <w:vMerge w:val="continue"/>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基本完成批复文件或项目合同书规定要求（实际培养人才和发表论文数量</w:t>
            </w:r>
            <w:r>
              <w:rPr>
                <w:rFonts w:hint="eastAsia" w:cs="Arial"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计划培养人才和发表论文数量≥80%），得分为3-4分。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90%≤比例＜100%，得 4分；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80%≤比例＜90%，得3分。</w:t>
            </w:r>
          </w:p>
        </w:tc>
      </w:tr>
      <w:tr>
        <w:tblPrEx>
          <w:tblCellMar>
            <w:top w:w="0" w:type="dxa"/>
            <w:left w:w="108" w:type="dxa"/>
            <w:bottom w:w="0" w:type="dxa"/>
            <w:right w:w="108" w:type="dxa"/>
          </w:tblCellMar>
        </w:tblPrEx>
        <w:trPr>
          <w:trHeight w:val="1588" w:hRule="atLeast"/>
        </w:trPr>
        <w:tc>
          <w:tcPr>
            <w:tcW w:w="141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45" w:type="dxa"/>
            <w:vMerge w:val="continue"/>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没有完成批复文件或项目合同书规定要求（实际培养人才和发表论文数量</w:t>
            </w:r>
            <w:r>
              <w:rPr>
                <w:rFonts w:hint="eastAsia" w:cs="Arial"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计划培养人才和发表论文数量&lt;80%），得分为0-2分。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60%≤比例＜80%，得2分；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30%≤比例＜60%，得1分；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③ 比例＜30%，得0分。</w:t>
            </w:r>
          </w:p>
        </w:tc>
      </w:tr>
      <w:tr>
        <w:tblPrEx>
          <w:tblCellMar>
            <w:top w:w="0" w:type="dxa"/>
            <w:left w:w="108" w:type="dxa"/>
            <w:bottom w:w="0" w:type="dxa"/>
            <w:right w:w="108" w:type="dxa"/>
          </w:tblCellMar>
        </w:tblPrEx>
        <w:trPr>
          <w:trHeight w:val="3395" w:hRule="atLeast"/>
        </w:trPr>
        <w:tc>
          <w:tcPr>
            <w:tcW w:w="141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专项资金管理使用情况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（15分）</w:t>
            </w:r>
          </w:p>
        </w:tc>
        <w:tc>
          <w:tcPr>
            <w:tcW w:w="13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项目专项资金使用情况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（10分）</w:t>
            </w:r>
          </w:p>
        </w:tc>
        <w:tc>
          <w:tcPr>
            <w:tcW w:w="282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按批复文件或项目合同书执行，得分为10分。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批复专项资金全部用于软硬件设备购置：专项资金被全部用于购置批复清单内的设备，得10分；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批复专项资金用于软硬件设备购置和研发费用：批复资助设备购置资金全部被用于购置批复清单范围内的设备，且实际用于研发费用总金额小于计划用于研发费用总金额，得10分。</w:t>
            </w:r>
          </w:p>
        </w:tc>
      </w:tr>
      <w:tr>
        <w:tblPrEx>
          <w:tblCellMar>
            <w:top w:w="0" w:type="dxa"/>
            <w:left w:w="108" w:type="dxa"/>
            <w:bottom w:w="0" w:type="dxa"/>
            <w:right w:w="108" w:type="dxa"/>
          </w:tblCellMar>
        </w:tblPrEx>
        <w:trPr>
          <w:trHeight w:val="10876" w:hRule="atLeast"/>
        </w:trPr>
        <w:tc>
          <w:tcPr>
            <w:tcW w:w="141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专项资金管理使用情况</w:t>
            </w:r>
          </w:p>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（15分）</w:t>
            </w:r>
          </w:p>
        </w:tc>
        <w:tc>
          <w:tcPr>
            <w:tcW w:w="1345"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项目专项资金使用情况</w:t>
            </w:r>
          </w:p>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（10分）</w:t>
            </w:r>
          </w:p>
        </w:tc>
        <w:tc>
          <w:tcPr>
            <w:tcW w:w="282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基本按批复文件或项目合同书执行，得分为0－9分。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spacing w:line="280" w:lineRule="exact"/>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批复专项资金全部用于软硬件设备购置：</w:t>
            </w:r>
          </w:p>
          <w:p>
            <w:pPr>
              <w:overflowPunct w:val="0"/>
              <w:adjustRightInd w:val="0"/>
              <w:snapToGrid w:val="0"/>
              <w:spacing w:line="280" w:lineRule="exact"/>
              <w:ind w:left="42" w:leftChars="20" w:right="42" w:rightChars="20" w:firstLine="200" w:firstLineChars="10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1).90%≤实际使用专项资金购买批复清单内设备的金额占专项资金总额＜100%，得7-9分；</w:t>
            </w:r>
          </w:p>
          <w:p>
            <w:pPr>
              <w:overflowPunct w:val="0"/>
              <w:adjustRightInd w:val="0"/>
              <w:snapToGrid w:val="0"/>
              <w:spacing w:line="280" w:lineRule="exact"/>
              <w:ind w:left="42" w:leftChars="20" w:right="42" w:rightChars="20" w:firstLine="200" w:firstLineChars="10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2).80%≤实际使用专项资金购买批复清单内设备的金额占专项资金总额＜90%，得5-6分；</w:t>
            </w:r>
          </w:p>
          <w:p>
            <w:pPr>
              <w:overflowPunct w:val="0"/>
              <w:adjustRightInd w:val="0"/>
              <w:snapToGrid w:val="0"/>
              <w:spacing w:line="280" w:lineRule="exact"/>
              <w:ind w:left="42" w:leftChars="20" w:right="42" w:rightChars="20" w:firstLine="200" w:firstLineChars="10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3).70%≤实际使用专项资金购买批复清单内设备的金额占专项资金总额＜80%，得3-4分；</w:t>
            </w:r>
          </w:p>
          <w:p>
            <w:pPr>
              <w:overflowPunct w:val="0"/>
              <w:adjustRightInd w:val="0"/>
              <w:snapToGrid w:val="0"/>
              <w:spacing w:line="280" w:lineRule="exact"/>
              <w:ind w:left="42" w:leftChars="20" w:right="42" w:rightChars="20" w:firstLine="200" w:firstLineChars="10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4).60%≤实际使用专项资金购买批复清单内设备的金额占专项资金总额＜70%，得1-2分；</w:t>
            </w:r>
          </w:p>
          <w:p>
            <w:pPr>
              <w:overflowPunct w:val="0"/>
              <w:adjustRightInd w:val="0"/>
              <w:snapToGrid w:val="0"/>
              <w:spacing w:line="280" w:lineRule="exact"/>
              <w:ind w:left="42" w:leftChars="20" w:right="42" w:rightChars="20" w:firstLine="200" w:firstLineChars="10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5).实际使用专项资金购买批复清单内设备的金额占专项资金总额＜60%，得0分。</w:t>
            </w:r>
          </w:p>
          <w:p>
            <w:pPr>
              <w:overflowPunct w:val="0"/>
              <w:adjustRightInd w:val="0"/>
              <w:snapToGrid w:val="0"/>
              <w:spacing w:line="280" w:lineRule="exact"/>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批复专项资金用于软硬件设备购置与研发费用：</w:t>
            </w:r>
          </w:p>
          <w:p>
            <w:pPr>
              <w:overflowPunct w:val="0"/>
              <w:adjustRightInd w:val="0"/>
              <w:snapToGrid w:val="0"/>
              <w:spacing w:line="280" w:lineRule="exact"/>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实际用于研发费用总金额小于计划用于研发费用总金额，且实际用于研发费用的各分项费用未超过批复清单中参考金额上限，若：</w:t>
            </w:r>
          </w:p>
          <w:p>
            <w:pPr>
              <w:overflowPunct w:val="0"/>
              <w:adjustRightInd w:val="0"/>
              <w:snapToGrid w:val="0"/>
              <w:spacing w:line="280" w:lineRule="exact"/>
              <w:ind w:left="42" w:leftChars="20" w:right="42" w:rightChars="20" w:firstLine="200" w:firstLineChars="10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1).90%≤实际使用专项资金购买批复清单内设备的金额占批复资助设备购置总金额＜100%，得7-9分；</w:t>
            </w:r>
          </w:p>
          <w:p>
            <w:pPr>
              <w:overflowPunct w:val="0"/>
              <w:adjustRightInd w:val="0"/>
              <w:snapToGrid w:val="0"/>
              <w:spacing w:line="280" w:lineRule="exact"/>
              <w:ind w:left="42" w:leftChars="20" w:right="42" w:rightChars="20" w:firstLine="200" w:firstLineChars="10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2).80%≤实际使用专项资金购买批复清单内设备的金额占批复资助设备购置总金额＜90%，得5-6分；</w:t>
            </w:r>
          </w:p>
          <w:p>
            <w:pPr>
              <w:overflowPunct w:val="0"/>
              <w:adjustRightInd w:val="0"/>
              <w:snapToGrid w:val="0"/>
              <w:spacing w:line="280" w:lineRule="exact"/>
              <w:ind w:left="42" w:leftChars="20" w:right="42" w:rightChars="20" w:firstLine="200" w:firstLineChars="10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3).70%≤实际使用专项资金购买批复清单内设备的金额占批复资助设备购置总金额＜80%，得3-4分；</w:t>
            </w:r>
          </w:p>
          <w:p>
            <w:pPr>
              <w:overflowPunct w:val="0"/>
              <w:adjustRightInd w:val="0"/>
              <w:snapToGrid w:val="0"/>
              <w:spacing w:line="280" w:lineRule="exact"/>
              <w:ind w:left="42" w:leftChars="20" w:right="42" w:rightChars="20" w:firstLine="200" w:firstLineChars="10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4).60%≤实际使用专项资金购买批复清单内设备的金额占批复资助设备购置总金额＜70%，得1-2分；</w:t>
            </w:r>
          </w:p>
          <w:p>
            <w:pPr>
              <w:overflowPunct w:val="0"/>
              <w:adjustRightInd w:val="0"/>
              <w:snapToGrid w:val="0"/>
              <w:spacing w:line="280" w:lineRule="exact"/>
              <w:ind w:left="42" w:leftChars="20" w:right="42" w:rightChars="20" w:firstLine="200" w:firstLineChars="10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5).实际使用专项资金购买批复清单内设备的金额占批复资助设备购置总金额＜60%，得0分。</w:t>
            </w:r>
          </w:p>
        </w:tc>
      </w:tr>
      <w:tr>
        <w:tblPrEx>
          <w:tblCellMar>
            <w:top w:w="0" w:type="dxa"/>
            <w:left w:w="108" w:type="dxa"/>
            <w:bottom w:w="0" w:type="dxa"/>
            <w:right w:w="108" w:type="dxa"/>
          </w:tblCellMar>
        </w:tblPrEx>
        <w:trPr>
          <w:trHeight w:val="2236" w:hRule="atLeast"/>
        </w:trPr>
        <w:tc>
          <w:tcPr>
            <w:tcW w:w="141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45"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p>
        </w:tc>
        <w:tc>
          <w:tcPr>
            <w:tcW w:w="282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没有按批复文件或项目合同书执行，且未按规定程序申请调整或申请未获批复的，不予安排验收。</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资助资金用于研发费用支出金额相较批复文件或项目合同书有所增加，且增加金额超过资助总金额20%，又未按规定程序申请调整或申请未获批复；</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超过批复资助设备购置总金额的40%被用于购置批复清单范围以外的设备，且未按规定程序申请调整或申请未获批复。</w:t>
            </w:r>
          </w:p>
        </w:tc>
      </w:tr>
      <w:tr>
        <w:tblPrEx>
          <w:tblCellMar>
            <w:top w:w="0" w:type="dxa"/>
            <w:left w:w="108" w:type="dxa"/>
            <w:bottom w:w="0" w:type="dxa"/>
            <w:right w:w="108" w:type="dxa"/>
          </w:tblCellMar>
        </w:tblPrEx>
        <w:trPr>
          <w:trHeight w:val="607" w:hRule="atLeast"/>
        </w:trPr>
        <w:tc>
          <w:tcPr>
            <w:tcW w:w="141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专项资金管理使用情况</w:t>
            </w:r>
          </w:p>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（15分）</w:t>
            </w:r>
          </w:p>
        </w:tc>
        <w:tc>
          <w:tcPr>
            <w:tcW w:w="134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财务管理情况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（2分）</w:t>
            </w:r>
          </w:p>
        </w:tc>
        <w:tc>
          <w:tcPr>
            <w:tcW w:w="282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制定了完善的政府专项资金管理相关配套制度，得分为2分。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由专家进行专业判断打分。</w:t>
            </w:r>
          </w:p>
        </w:tc>
      </w:tr>
      <w:tr>
        <w:tblPrEx>
          <w:tblCellMar>
            <w:top w:w="0" w:type="dxa"/>
            <w:left w:w="108" w:type="dxa"/>
            <w:bottom w:w="0" w:type="dxa"/>
            <w:right w:w="108" w:type="dxa"/>
          </w:tblCellMar>
        </w:tblPrEx>
        <w:trPr>
          <w:trHeight w:val="851" w:hRule="atLeast"/>
        </w:trPr>
        <w:tc>
          <w:tcPr>
            <w:tcW w:w="1413"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4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kern w:val="0"/>
                <w:sz w:val="20"/>
                <w:szCs w:val="20"/>
              </w:rPr>
            </w:pPr>
          </w:p>
        </w:tc>
        <w:tc>
          <w:tcPr>
            <w:tcW w:w="282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制定了较为完善的政府专项资金管理相关配套制度，得分为1分。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由专家进行专业判断打分。</w:t>
            </w:r>
          </w:p>
        </w:tc>
      </w:tr>
      <w:tr>
        <w:tblPrEx>
          <w:tblCellMar>
            <w:top w:w="0" w:type="dxa"/>
            <w:left w:w="108" w:type="dxa"/>
            <w:bottom w:w="0" w:type="dxa"/>
            <w:right w:w="108" w:type="dxa"/>
          </w:tblCellMar>
        </w:tblPrEx>
        <w:trPr>
          <w:trHeight w:val="656" w:hRule="atLeast"/>
        </w:trPr>
        <w:tc>
          <w:tcPr>
            <w:tcW w:w="1413"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4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kern w:val="0"/>
                <w:sz w:val="20"/>
                <w:szCs w:val="20"/>
              </w:rPr>
            </w:pPr>
          </w:p>
        </w:tc>
        <w:tc>
          <w:tcPr>
            <w:tcW w:w="282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未制定政府专项资金管理相关配套制度，得分为0分。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由专家进行专业判断打分。</w:t>
            </w:r>
          </w:p>
        </w:tc>
      </w:tr>
      <w:tr>
        <w:tblPrEx>
          <w:tblCellMar>
            <w:top w:w="0" w:type="dxa"/>
            <w:left w:w="108" w:type="dxa"/>
            <w:bottom w:w="0" w:type="dxa"/>
            <w:right w:w="108" w:type="dxa"/>
          </w:tblCellMar>
        </w:tblPrEx>
        <w:trPr>
          <w:trHeight w:val="851" w:hRule="atLeast"/>
        </w:trPr>
        <w:tc>
          <w:tcPr>
            <w:tcW w:w="1413"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4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项目专项资金会计核算情况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（3分)</w:t>
            </w:r>
          </w:p>
        </w:tc>
        <w:tc>
          <w:tcPr>
            <w:tcW w:w="282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单独核算，核算内容真实、准确、完整，审批程序和手续完备，得分为3分。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由专家进行专业判断打分。</w:t>
            </w:r>
          </w:p>
        </w:tc>
      </w:tr>
      <w:tr>
        <w:tblPrEx>
          <w:tblCellMar>
            <w:top w:w="0" w:type="dxa"/>
            <w:left w:w="108" w:type="dxa"/>
            <w:bottom w:w="0" w:type="dxa"/>
            <w:right w:w="108" w:type="dxa"/>
          </w:tblCellMar>
        </w:tblPrEx>
        <w:trPr>
          <w:trHeight w:val="851" w:hRule="atLeast"/>
        </w:trPr>
        <w:tc>
          <w:tcPr>
            <w:tcW w:w="1413"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4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单独核算，核算内容基本真实、准确、完整，审批程序和手续基本完善，得分为1－2分。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由专家进行专业判断打分。</w:t>
            </w:r>
          </w:p>
        </w:tc>
      </w:tr>
      <w:tr>
        <w:tblPrEx>
          <w:tblCellMar>
            <w:top w:w="0" w:type="dxa"/>
            <w:left w:w="108" w:type="dxa"/>
            <w:bottom w:w="0" w:type="dxa"/>
            <w:right w:w="108" w:type="dxa"/>
          </w:tblCellMar>
        </w:tblPrEx>
        <w:trPr>
          <w:trHeight w:val="478" w:hRule="atLeast"/>
        </w:trPr>
        <w:tc>
          <w:tcPr>
            <w:tcW w:w="141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4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未单独核算的，不予安排验收。</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556" w:hRule="atLeast"/>
        </w:trPr>
        <w:tc>
          <w:tcPr>
            <w:tcW w:w="1413" w:type="dxa"/>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项目组织管理情况</w:t>
            </w:r>
          </w:p>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（10分）</w:t>
            </w:r>
          </w:p>
        </w:tc>
        <w:tc>
          <w:tcPr>
            <w:tcW w:w="1345" w:type="dxa"/>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专项资金购买设备情况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（5分）</w:t>
            </w:r>
          </w:p>
        </w:tc>
        <w:tc>
          <w:tcPr>
            <w:tcW w:w="2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全部设备购置按公开招标方式执行，得分为5分。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实际购置批复清单内的设备全部采取公开招标进行购置。</w:t>
            </w:r>
          </w:p>
        </w:tc>
      </w:tr>
      <w:tr>
        <w:tblPrEx>
          <w:tblCellMar>
            <w:top w:w="0" w:type="dxa"/>
            <w:left w:w="108" w:type="dxa"/>
            <w:bottom w:w="0" w:type="dxa"/>
            <w:right w:w="108" w:type="dxa"/>
          </w:tblCellMar>
        </w:tblPrEx>
        <w:trPr>
          <w:trHeight w:val="2945" w:hRule="atLeast"/>
        </w:trPr>
        <w:tc>
          <w:tcPr>
            <w:tcW w:w="1413"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45"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部分设备购置按公开招标方式执行，得分为1-4分。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pacing w:val="-3"/>
                <w:sz w:val="20"/>
                <w:szCs w:val="20"/>
              </w:rPr>
            </w:pPr>
            <w:r>
              <w:rPr>
                <w:rFonts w:hint="eastAsia" w:cs="宋体" w:asciiTheme="minorEastAsia" w:hAnsiTheme="minorEastAsia" w:eastAsiaTheme="minorEastAsia"/>
                <w:color w:val="000000"/>
                <w:spacing w:val="-3"/>
                <w:sz w:val="20"/>
                <w:szCs w:val="20"/>
              </w:rPr>
              <w:t>① 75%≤公开招标购置专项设备总金额÷实际购置专项设备总金额＜100%，得4分；</w:t>
            </w:r>
          </w:p>
          <w:p>
            <w:pPr>
              <w:overflowPunct w:val="0"/>
              <w:adjustRightInd w:val="0"/>
              <w:snapToGrid w:val="0"/>
              <w:ind w:left="42" w:leftChars="20" w:right="42" w:rightChars="20"/>
              <w:rPr>
                <w:rFonts w:cs="宋体" w:asciiTheme="minorEastAsia" w:hAnsiTheme="minorEastAsia" w:eastAsiaTheme="minorEastAsia"/>
                <w:color w:val="000000"/>
                <w:spacing w:val="-3"/>
                <w:sz w:val="20"/>
                <w:szCs w:val="20"/>
              </w:rPr>
            </w:pPr>
            <w:r>
              <w:rPr>
                <w:rFonts w:hint="eastAsia" w:cs="宋体" w:asciiTheme="minorEastAsia" w:hAnsiTheme="minorEastAsia" w:eastAsiaTheme="minorEastAsia"/>
                <w:color w:val="000000"/>
                <w:spacing w:val="-3"/>
                <w:sz w:val="20"/>
                <w:szCs w:val="20"/>
              </w:rPr>
              <w:t>② 50%≤公开招标购置专项设备总金额÷实际购置专项设备总金额＜75%，得3分；</w:t>
            </w:r>
          </w:p>
          <w:p>
            <w:pPr>
              <w:overflowPunct w:val="0"/>
              <w:adjustRightInd w:val="0"/>
              <w:snapToGrid w:val="0"/>
              <w:ind w:left="42" w:leftChars="20" w:right="42" w:rightChars="20"/>
              <w:rPr>
                <w:rFonts w:cs="宋体" w:asciiTheme="minorEastAsia" w:hAnsiTheme="minorEastAsia" w:eastAsiaTheme="minorEastAsia"/>
                <w:color w:val="000000"/>
                <w:spacing w:val="-3"/>
                <w:sz w:val="20"/>
                <w:szCs w:val="20"/>
              </w:rPr>
            </w:pPr>
            <w:r>
              <w:rPr>
                <w:rFonts w:hint="eastAsia" w:cs="宋体" w:asciiTheme="minorEastAsia" w:hAnsiTheme="minorEastAsia" w:eastAsiaTheme="minorEastAsia"/>
                <w:color w:val="000000"/>
                <w:spacing w:val="-3"/>
                <w:sz w:val="20"/>
                <w:szCs w:val="20"/>
              </w:rPr>
              <w:t>③ 25%≤公开招标购置专项设备总金额÷实际购置专项设备总金额＜50%，得2分；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pacing w:val="-3"/>
                <w:sz w:val="20"/>
                <w:szCs w:val="20"/>
              </w:rPr>
              <w:t>④ 0%＜公开招标购置专项设备总金额÷实际购置专项设备总金额＜25%，得1分。</w:t>
            </w:r>
          </w:p>
        </w:tc>
      </w:tr>
      <w:tr>
        <w:tblPrEx>
          <w:tblCellMar>
            <w:top w:w="0" w:type="dxa"/>
            <w:left w:w="108" w:type="dxa"/>
            <w:bottom w:w="0" w:type="dxa"/>
            <w:right w:w="108" w:type="dxa"/>
          </w:tblCellMar>
        </w:tblPrEx>
        <w:trPr>
          <w:trHeight w:val="617" w:hRule="atLeast"/>
        </w:trPr>
        <w:tc>
          <w:tcPr>
            <w:tcW w:w="1413"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45"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全部设备购置未按公开招标方式执行，得分为0分。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944" w:hRule="atLeast"/>
        </w:trPr>
        <w:tc>
          <w:tcPr>
            <w:tcW w:w="1413" w:type="dxa"/>
            <w:vMerge w:val="continue"/>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34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定期报告项目实施进展情况（5分）</w:t>
            </w:r>
          </w:p>
        </w:tc>
        <w:tc>
          <w:tcPr>
            <w:tcW w:w="2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按时提交项目实施进展，满分5分，1次未按时提交扣0.5分，最多扣5分。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以市发展改革委项目验收管理系统的报告数据为依据。</w:t>
            </w:r>
          </w:p>
        </w:tc>
      </w:tr>
      <w:tr>
        <w:tblPrEx>
          <w:tblCellMar>
            <w:top w:w="0" w:type="dxa"/>
            <w:left w:w="108" w:type="dxa"/>
            <w:bottom w:w="0" w:type="dxa"/>
            <w:right w:w="108" w:type="dxa"/>
          </w:tblCellMar>
        </w:tblPrEx>
        <w:trPr>
          <w:trHeight w:val="3686" w:hRule="atLeast"/>
        </w:trPr>
        <w:tc>
          <w:tcPr>
            <w:tcW w:w="912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p>
          <w:p>
            <w:pPr>
              <w:widowControl/>
              <w:overflowPunct w:val="0"/>
              <w:adjustRightInd w:val="0"/>
              <w:snapToGrid w:val="0"/>
              <w:ind w:left="42" w:leftChars="20" w:right="42" w:rightChars="20"/>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专家意见（可另附页，验收总体意见以及分别对投资、建设内容、绩效目标、专项资金使用等完成情况作出具体评价）：</w:t>
            </w:r>
          </w:p>
        </w:tc>
      </w:tr>
    </w:tbl>
    <w:p>
      <w:pPr>
        <w:sectPr>
          <w:pgSz w:w="11906" w:h="16838"/>
          <w:pgMar w:top="1440" w:right="1800" w:bottom="1440" w:left="1800" w:header="851" w:footer="737" w:gutter="0"/>
          <w:cols w:space="425" w:num="1"/>
          <w:docGrid w:type="lines" w:linePitch="312" w:charSpace="0"/>
        </w:sectPr>
      </w:pPr>
    </w:p>
    <w:p>
      <w:pPr>
        <w:spacing w:line="500" w:lineRule="exact"/>
        <w:rPr>
          <w:rFonts w:ascii="仿宋_GB2312" w:hAnsi="Times New Roman" w:eastAsia="仿宋_GB2312"/>
          <w:b/>
          <w:color w:val="000000"/>
          <w:sz w:val="32"/>
          <w:szCs w:val="32"/>
        </w:rPr>
      </w:pPr>
      <w:r>
        <w:rPr>
          <w:rFonts w:hint="eastAsia" w:ascii="仿宋_GB2312" w:hAnsi="Times New Roman" w:eastAsia="仿宋_GB2312"/>
          <w:b/>
          <w:color w:val="000000"/>
          <w:sz w:val="32"/>
          <w:szCs w:val="32"/>
        </w:rPr>
        <w:t>附件7</w:t>
      </w:r>
    </w:p>
    <w:p>
      <w:pPr>
        <w:spacing w:line="500" w:lineRule="exact"/>
        <w:jc w:val="center"/>
        <w:rPr>
          <w:rFonts w:ascii="仿宋_GB2312" w:hAnsi="仿宋_GB2312" w:cs="仿宋_GB2312"/>
          <w:b/>
          <w:szCs w:val="32"/>
        </w:rPr>
      </w:pPr>
    </w:p>
    <w:p>
      <w:pPr>
        <w:widowControl/>
        <w:snapToGrid w:val="0"/>
        <w:spacing w:line="500" w:lineRule="exact"/>
        <w:jc w:val="center"/>
        <w:rPr>
          <w:rFonts w:ascii="宋体" w:hAnsi="宋体" w:cs="宋体"/>
          <w:b/>
          <w:bCs/>
          <w:kern w:val="0"/>
          <w:sz w:val="38"/>
          <w:szCs w:val="38"/>
        </w:rPr>
      </w:pPr>
      <w:r>
        <w:rPr>
          <w:rFonts w:hint="eastAsia" w:ascii="宋体" w:hAnsi="宋体" w:cs="宋体"/>
          <w:b/>
          <w:bCs/>
          <w:kern w:val="0"/>
          <w:sz w:val="38"/>
          <w:szCs w:val="38"/>
        </w:rPr>
        <w:t>学科建设类别项目验收专家综合评议打分表</w:t>
      </w:r>
    </w:p>
    <w:p>
      <w:pPr>
        <w:widowControl/>
        <w:snapToGrid w:val="0"/>
        <w:spacing w:line="500" w:lineRule="exact"/>
        <w:jc w:val="center"/>
        <w:rPr>
          <w:rFonts w:ascii="宋体" w:hAnsi="宋体" w:cs="宋体"/>
          <w:kern w:val="0"/>
          <w:sz w:val="38"/>
          <w:szCs w:val="38"/>
        </w:rPr>
      </w:pPr>
    </w:p>
    <w:p>
      <w:pPr>
        <w:widowControl/>
        <w:snapToGrid w:val="0"/>
        <w:spacing w:line="500" w:lineRule="exact"/>
        <w:jc w:val="left"/>
        <w:rPr>
          <w:rFonts w:ascii="仿宋_GB2312" w:hAnsi="仿宋" w:eastAsia="仿宋_GB2312" w:cs="宋体"/>
          <w:kern w:val="0"/>
          <w:sz w:val="30"/>
          <w:szCs w:val="30"/>
        </w:rPr>
      </w:pPr>
      <w:r>
        <w:rPr>
          <w:rFonts w:hint="eastAsia" w:ascii="仿宋_GB2312" w:hAnsi="仿宋" w:eastAsia="仿宋_GB2312" w:cs="宋体"/>
          <w:kern w:val="0"/>
          <w:sz w:val="30"/>
          <w:szCs w:val="30"/>
        </w:rPr>
        <w:t>项目名称：</w:t>
      </w:r>
    </w:p>
    <w:p>
      <w:pPr>
        <w:widowControl/>
        <w:snapToGrid w:val="0"/>
        <w:spacing w:line="500" w:lineRule="exact"/>
        <w:jc w:val="left"/>
        <w:rPr>
          <w:rFonts w:ascii="仿宋_GB2312" w:hAnsi="仿宋" w:eastAsia="仿宋_GB2312" w:cs="宋体"/>
          <w:kern w:val="0"/>
          <w:sz w:val="30"/>
          <w:szCs w:val="30"/>
        </w:rPr>
      </w:pPr>
      <w:r>
        <w:rPr>
          <w:rFonts w:hint="eastAsia" w:ascii="仿宋_GB2312" w:hAnsi="仿宋" w:eastAsia="仿宋_GB2312" w:cs="宋体"/>
          <w:kern w:val="0"/>
          <w:sz w:val="30"/>
          <w:szCs w:val="30"/>
        </w:rPr>
        <w:t>专家签名：</w:t>
      </w:r>
    </w:p>
    <w:p>
      <w:pPr>
        <w:spacing w:after="109" w:afterLines="35" w:line="500" w:lineRule="exact"/>
        <w:rPr>
          <w:rFonts w:ascii="仿宋_GB2312" w:hAnsi="仿宋" w:eastAsia="仿宋_GB2312" w:cs="宋体"/>
          <w:kern w:val="0"/>
          <w:sz w:val="30"/>
          <w:szCs w:val="30"/>
        </w:rPr>
      </w:pPr>
      <w:r>
        <w:rPr>
          <w:rFonts w:hint="eastAsia" w:ascii="仿宋_GB2312" w:hAnsi="仿宋" w:eastAsia="仿宋_GB2312" w:cs="宋体"/>
          <w:kern w:val="0"/>
          <w:sz w:val="30"/>
          <w:szCs w:val="30"/>
        </w:rPr>
        <w:t>项目综合得分：</w:t>
      </w:r>
    </w:p>
    <w:tbl>
      <w:tblPr>
        <w:tblStyle w:val="2"/>
        <w:tblW w:w="5474" w:type="pct"/>
        <w:tblInd w:w="-377" w:type="dxa"/>
        <w:tblLayout w:type="autofit"/>
        <w:tblCellMar>
          <w:top w:w="0" w:type="dxa"/>
          <w:left w:w="108" w:type="dxa"/>
          <w:bottom w:w="0" w:type="dxa"/>
          <w:right w:w="108" w:type="dxa"/>
        </w:tblCellMar>
      </w:tblPr>
      <w:tblGrid>
        <w:gridCol w:w="1567"/>
        <w:gridCol w:w="1191"/>
        <w:gridCol w:w="2827"/>
        <w:gridCol w:w="3541"/>
      </w:tblGrid>
      <w:tr>
        <w:tblPrEx>
          <w:tblCellMar>
            <w:top w:w="0" w:type="dxa"/>
            <w:left w:w="108" w:type="dxa"/>
            <w:bottom w:w="0" w:type="dxa"/>
            <w:right w:w="108" w:type="dxa"/>
          </w:tblCellMar>
        </w:tblPrEx>
        <w:trPr>
          <w:trHeight w:val="482" w:hRule="atLeast"/>
          <w:tblHeader/>
        </w:trPr>
        <w:tc>
          <w:tcPr>
            <w:tcW w:w="1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kern w:val="0"/>
                <w:sz w:val="20"/>
                <w:szCs w:val="20"/>
              </w:rPr>
              <w:t>一级指标</w:t>
            </w:r>
          </w:p>
        </w:tc>
        <w:tc>
          <w:tcPr>
            <w:tcW w:w="1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kern w:val="0"/>
                <w:sz w:val="20"/>
                <w:szCs w:val="20"/>
              </w:rPr>
              <w:t>二级指标</w:t>
            </w:r>
          </w:p>
        </w:tc>
        <w:tc>
          <w:tcPr>
            <w:tcW w:w="2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kern w:val="0"/>
                <w:sz w:val="20"/>
                <w:szCs w:val="20"/>
              </w:rPr>
              <w:t>评分标准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kern w:val="0"/>
                <w:sz w:val="20"/>
                <w:szCs w:val="20"/>
              </w:rPr>
              <w:t>参考评分细则</w:t>
            </w:r>
          </w:p>
        </w:tc>
      </w:tr>
      <w:tr>
        <w:tblPrEx>
          <w:tblCellMar>
            <w:top w:w="0" w:type="dxa"/>
            <w:left w:w="108" w:type="dxa"/>
            <w:bottom w:w="0" w:type="dxa"/>
            <w:right w:w="108" w:type="dxa"/>
          </w:tblCellMar>
        </w:tblPrEx>
        <w:trPr>
          <w:trHeight w:val="1418" w:hRule="atLeast"/>
        </w:trPr>
        <w:tc>
          <w:tcPr>
            <w:tcW w:w="15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投资完成情况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（30分）</w:t>
            </w:r>
          </w:p>
        </w:tc>
        <w:tc>
          <w:tcPr>
            <w:tcW w:w="119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总投资额完成情况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（15分）</w:t>
            </w:r>
          </w:p>
        </w:tc>
        <w:tc>
          <w:tcPr>
            <w:tcW w:w="2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全部或超额完成批复文件或项目合同书规定要求（实际总投资额</w:t>
            </w:r>
            <w:r>
              <w:rPr>
                <w:rFonts w:hint="eastAsia" w:cs="Arial"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计划总投资额≥100%），得分为15分。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1418" w:hRule="atLeast"/>
        </w:trPr>
        <w:tc>
          <w:tcPr>
            <w:tcW w:w="1567" w:type="dxa"/>
            <w:vMerge w:val="continue"/>
            <w:tcBorders>
              <w:left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191" w:type="dxa"/>
            <w:vMerge w:val="continue"/>
            <w:tcBorders>
              <w:left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基本完成批复文件或项目合同书规定要求（实际总投资额</w:t>
            </w:r>
            <w:r>
              <w:rPr>
                <w:rFonts w:hint="eastAsia" w:cs="Arial"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计划总投资额≥80%），得分为9-14分。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90%≤比例＜100%，得12-14分；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80%≤比例＜90%，得9-11分。</w:t>
            </w:r>
          </w:p>
        </w:tc>
      </w:tr>
      <w:tr>
        <w:tblPrEx>
          <w:tblCellMar>
            <w:top w:w="0" w:type="dxa"/>
            <w:left w:w="108" w:type="dxa"/>
            <w:bottom w:w="0" w:type="dxa"/>
            <w:right w:w="108" w:type="dxa"/>
          </w:tblCellMar>
        </w:tblPrEx>
        <w:trPr>
          <w:trHeight w:val="1292" w:hRule="atLeast"/>
        </w:trPr>
        <w:tc>
          <w:tcPr>
            <w:tcW w:w="1567" w:type="dxa"/>
            <w:vMerge w:val="continue"/>
            <w:tcBorders>
              <w:left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19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项目实际总投资额未达到计划总投资额80%的，不予安排验收。</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1134" w:hRule="atLeast"/>
        </w:trPr>
        <w:tc>
          <w:tcPr>
            <w:tcW w:w="1567" w:type="dxa"/>
            <w:vMerge w:val="continue"/>
            <w:tcBorders>
              <w:left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19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设备仪器建设情况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（10分）</w:t>
            </w:r>
          </w:p>
        </w:tc>
        <w:tc>
          <w:tcPr>
            <w:tcW w:w="2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全部或超额完成批复文件或项目合同书规定要求，得分为10分。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实际购置与本项目相关的设备金额÷计划设备购置额≥100%</w:t>
            </w:r>
          </w:p>
        </w:tc>
      </w:tr>
      <w:tr>
        <w:tblPrEx>
          <w:tblCellMar>
            <w:top w:w="0" w:type="dxa"/>
            <w:left w:w="108" w:type="dxa"/>
            <w:bottom w:w="0" w:type="dxa"/>
            <w:right w:w="108" w:type="dxa"/>
          </w:tblCellMar>
        </w:tblPrEx>
        <w:trPr>
          <w:trHeight w:val="2078" w:hRule="atLeast"/>
        </w:trPr>
        <w:tc>
          <w:tcPr>
            <w:tcW w:w="1567" w:type="dxa"/>
            <w:vMerge w:val="continue"/>
            <w:tcBorders>
              <w:left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1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基本完成批复文件或项目合同书规定要求，得分为6-9分。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90%≤实际购置与本项目相关的设备金额÷计划设备购置额＜100%，得8-9分；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80%≤实际购置与本项目相关的设备金额÷计划设备购置额＜90%，得 6-7分。</w:t>
            </w:r>
          </w:p>
        </w:tc>
      </w:tr>
      <w:tr>
        <w:tblPrEx>
          <w:tblCellMar>
            <w:top w:w="0" w:type="dxa"/>
            <w:left w:w="108" w:type="dxa"/>
            <w:bottom w:w="0" w:type="dxa"/>
            <w:right w:w="108" w:type="dxa"/>
          </w:tblCellMar>
        </w:tblPrEx>
        <w:trPr>
          <w:trHeight w:val="2085" w:hRule="atLeast"/>
        </w:trPr>
        <w:tc>
          <w:tcPr>
            <w:tcW w:w="15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1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部分完成批复文件或项目合同书规定要求，得分为0-5分。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70%≤实际购置与本项目相关设备金额÷计划设备购置额＜80%，得4-5分；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50%≤实际购置与本项目相关设备金额÷计划设备购置额＜70%，得1-3分；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③ 实际购置与本项目相关设备金额÷计划设备购置额＜50%，得0分。</w:t>
            </w:r>
          </w:p>
        </w:tc>
      </w:tr>
      <w:tr>
        <w:tblPrEx>
          <w:tblCellMar>
            <w:top w:w="0" w:type="dxa"/>
            <w:left w:w="108" w:type="dxa"/>
            <w:bottom w:w="0" w:type="dxa"/>
            <w:right w:w="108" w:type="dxa"/>
          </w:tblCellMar>
        </w:tblPrEx>
        <w:trPr>
          <w:trHeight w:val="1304" w:hRule="atLeast"/>
        </w:trPr>
        <w:tc>
          <w:tcPr>
            <w:tcW w:w="15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投资完成情况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（30分）</w:t>
            </w:r>
          </w:p>
        </w:tc>
        <w:tc>
          <w:tcPr>
            <w:tcW w:w="119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场地建设情况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（5分）</w:t>
            </w:r>
          </w:p>
        </w:tc>
        <w:tc>
          <w:tcPr>
            <w:tcW w:w="2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全部或超额完成批复文件或项目合同书规定要求（实际改扩建场地面积</w:t>
            </w:r>
            <w:r>
              <w:rPr>
                <w:rFonts w:hint="eastAsia" w:cs="Arial"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计划改扩建场地面积≥100%），得分为5分。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1304" w:hRule="atLeast"/>
        </w:trPr>
        <w:tc>
          <w:tcPr>
            <w:tcW w:w="1567" w:type="dxa"/>
            <w:vMerge w:val="continue"/>
            <w:tcBorders>
              <w:left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1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基本完成批复文件或项目合同书规定要求（实际改扩建场地面积</w:t>
            </w:r>
            <w:r>
              <w:rPr>
                <w:rFonts w:hint="eastAsia" w:cs="Arial"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计划改扩建场地面积≥80%），得分为3-4分。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90%≤比例＜100%，得 4分；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80%≤比例＜90%，得3分。</w:t>
            </w:r>
          </w:p>
        </w:tc>
      </w:tr>
      <w:tr>
        <w:tblPrEx>
          <w:tblCellMar>
            <w:top w:w="0" w:type="dxa"/>
            <w:left w:w="108" w:type="dxa"/>
            <w:bottom w:w="0" w:type="dxa"/>
            <w:right w:w="108" w:type="dxa"/>
          </w:tblCellMar>
        </w:tblPrEx>
        <w:trPr>
          <w:trHeight w:val="1304" w:hRule="atLeast"/>
        </w:trPr>
        <w:tc>
          <w:tcPr>
            <w:tcW w:w="1567"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1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部分完成批复文件或项目合同书规定要求（实际改扩建场地面积</w:t>
            </w:r>
            <w:r>
              <w:rPr>
                <w:rFonts w:hint="eastAsia" w:cs="Arial"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计划改扩建场地面积&lt;80%），得分为0-2分。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60%≤比例＜80%，得2分；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30%≤比例＜60%，得1分；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③ 比例＜30%，得0分。</w:t>
            </w:r>
          </w:p>
        </w:tc>
      </w:tr>
      <w:tr>
        <w:tblPrEx>
          <w:tblCellMar>
            <w:top w:w="0" w:type="dxa"/>
            <w:left w:w="108" w:type="dxa"/>
            <w:bottom w:w="0" w:type="dxa"/>
            <w:right w:w="108" w:type="dxa"/>
          </w:tblCellMar>
        </w:tblPrEx>
        <w:trPr>
          <w:trHeight w:val="1003" w:hRule="atLeast"/>
        </w:trPr>
        <w:tc>
          <w:tcPr>
            <w:tcW w:w="1567"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成果产出情况</w:t>
            </w:r>
            <w:r>
              <w:rPr>
                <w:rFonts w:hint="eastAsia" w:cs="宋体" w:asciiTheme="minorEastAsia" w:hAnsiTheme="minorEastAsia" w:eastAsiaTheme="minorEastAsia"/>
                <w:color w:val="000000"/>
                <w:kern w:val="0"/>
                <w:sz w:val="20"/>
                <w:szCs w:val="20"/>
              </w:rPr>
              <w:t>（35分）</w:t>
            </w:r>
          </w:p>
        </w:tc>
        <w:tc>
          <w:tcPr>
            <w:tcW w:w="1191" w:type="dxa"/>
            <w:vMerge w:val="restar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对外提供专业技术培训情况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（20分）</w:t>
            </w:r>
          </w:p>
        </w:tc>
        <w:tc>
          <w:tcPr>
            <w:tcW w:w="2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达到或超出批复文件或项目合同书规定要求，得分为20分。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2109" w:hRule="atLeast"/>
        </w:trPr>
        <w:tc>
          <w:tcPr>
            <w:tcW w:w="1567"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191" w:type="dxa"/>
            <w:vMerge w:val="continue"/>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基本达到批复文件或项目合同书规定要求，得分为12-19分。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90%≤实际完成对外提供专业技术培训指标÷批复要求对外提供专业技术培训指标100%，得16-19分；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80%≤实际完成对外提供专业技术培训指标÷批复要求对外提供专业技术培训指标＜90%，得12-15分。</w:t>
            </w:r>
          </w:p>
        </w:tc>
      </w:tr>
      <w:tr>
        <w:tblPrEx>
          <w:tblCellMar>
            <w:top w:w="0" w:type="dxa"/>
            <w:left w:w="108" w:type="dxa"/>
            <w:bottom w:w="0" w:type="dxa"/>
            <w:right w:w="108" w:type="dxa"/>
          </w:tblCellMar>
        </w:tblPrEx>
        <w:trPr>
          <w:trHeight w:val="3528" w:hRule="atLeast"/>
        </w:trPr>
        <w:tc>
          <w:tcPr>
            <w:tcW w:w="1567"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191" w:type="dxa"/>
            <w:vMerge w:val="continue"/>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与批复文件或项目合同书规定要求相差较大，得分为0-11分。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60%≤实际完成对外提供专业技术培训指标÷批复要求对外提供专业技术培训指标＜80%，得9-11分；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40%≤实际完成对外提供专业技术培训指标÷批复要求对外提供专业技术培训指标＜60%， 得6-8分；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③ 20%≤实际完成对外提供专业技术培训指标÷批复要求对外提供专业技术培训指标＜40%， 得3-5分；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④ 0%≤实际完成对外提供专业技术培训指标÷批复要求对外提供专业技术培训指标＜20%， 得0-2分。</w:t>
            </w:r>
          </w:p>
        </w:tc>
      </w:tr>
      <w:tr>
        <w:tblPrEx>
          <w:tblCellMar>
            <w:top w:w="0" w:type="dxa"/>
            <w:left w:w="108" w:type="dxa"/>
            <w:bottom w:w="0" w:type="dxa"/>
            <w:right w:w="108" w:type="dxa"/>
          </w:tblCellMar>
        </w:tblPrEx>
        <w:trPr>
          <w:trHeight w:val="953" w:hRule="atLeast"/>
        </w:trPr>
        <w:tc>
          <w:tcPr>
            <w:tcW w:w="1567"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191" w:type="dxa"/>
            <w:vMerge w:val="restar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关键共性技术突破情况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（5分）</w:t>
            </w:r>
          </w:p>
        </w:tc>
        <w:tc>
          <w:tcPr>
            <w:tcW w:w="2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全部或超额完成批复文件或项目合同书规定要求，得分为5分。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由专家进行专业判断打分。</w:t>
            </w:r>
          </w:p>
        </w:tc>
      </w:tr>
      <w:tr>
        <w:tblPrEx>
          <w:tblCellMar>
            <w:top w:w="0" w:type="dxa"/>
            <w:left w:w="108" w:type="dxa"/>
            <w:bottom w:w="0" w:type="dxa"/>
            <w:right w:w="108" w:type="dxa"/>
          </w:tblCellMar>
        </w:tblPrEx>
        <w:trPr>
          <w:trHeight w:val="765" w:hRule="atLeast"/>
        </w:trPr>
        <w:tc>
          <w:tcPr>
            <w:tcW w:w="1567"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191" w:type="dxa"/>
            <w:vMerge w:val="continue"/>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基本完成批复文件或项目合同书规定要求，得分为3-4分。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由专家进行专业判断打分。</w:t>
            </w:r>
          </w:p>
        </w:tc>
      </w:tr>
      <w:tr>
        <w:tblPrEx>
          <w:tblCellMar>
            <w:top w:w="0" w:type="dxa"/>
            <w:left w:w="108" w:type="dxa"/>
            <w:bottom w:w="0" w:type="dxa"/>
            <w:right w:w="108" w:type="dxa"/>
          </w:tblCellMar>
        </w:tblPrEx>
        <w:trPr>
          <w:trHeight w:val="765" w:hRule="atLeast"/>
        </w:trPr>
        <w:tc>
          <w:tcPr>
            <w:tcW w:w="156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191" w:type="dxa"/>
            <w:vMerge w:val="continue"/>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没有完成批复文件或项目合同书规定要求，得分为0-2分。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由专家进行专业判断打分。</w:t>
            </w:r>
          </w:p>
        </w:tc>
      </w:tr>
      <w:tr>
        <w:tblPrEx>
          <w:tblCellMar>
            <w:top w:w="0" w:type="dxa"/>
            <w:left w:w="108" w:type="dxa"/>
            <w:bottom w:w="0" w:type="dxa"/>
            <w:right w:w="108" w:type="dxa"/>
          </w:tblCellMar>
        </w:tblPrEx>
        <w:trPr>
          <w:trHeight w:val="1503" w:hRule="atLeast"/>
        </w:trPr>
        <w:tc>
          <w:tcPr>
            <w:tcW w:w="1567"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成果产出情况</w:t>
            </w:r>
            <w:r>
              <w:rPr>
                <w:rFonts w:hint="eastAsia" w:cs="宋体" w:asciiTheme="minorEastAsia" w:hAnsiTheme="minorEastAsia" w:eastAsiaTheme="minorEastAsia"/>
                <w:color w:val="000000"/>
                <w:kern w:val="0"/>
                <w:sz w:val="20"/>
                <w:szCs w:val="20"/>
              </w:rPr>
              <w:t>（35分）</w:t>
            </w:r>
          </w:p>
        </w:tc>
        <w:tc>
          <w:tcPr>
            <w:tcW w:w="1191" w:type="dxa"/>
            <w:vMerge w:val="restar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知识产权取得、标准制定情况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（5分）</w:t>
            </w:r>
          </w:p>
        </w:tc>
        <w:tc>
          <w:tcPr>
            <w:tcW w:w="2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全部或超额完成批复文件或项目合同书规定要求（实际取得专利和制定标准数量</w:t>
            </w:r>
            <w:r>
              <w:rPr>
                <w:rFonts w:hint="eastAsia" w:cs="Arial"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计划取得专利和制定标准数量≥100%），得分为5分。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1503" w:hRule="atLeast"/>
        </w:trPr>
        <w:tc>
          <w:tcPr>
            <w:tcW w:w="1567"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191" w:type="dxa"/>
            <w:vMerge w:val="continue"/>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基本完成批复文件或项目合同书规定要求（实际取得专利和制定标准数量</w:t>
            </w:r>
            <w:r>
              <w:rPr>
                <w:rFonts w:hint="eastAsia" w:cs="Arial"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计划取得专利和制定标准数量≥80%），得分为3-4分。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90%≤比例＜100%，得4分；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80%≤比例＜90%，得3分。</w:t>
            </w:r>
          </w:p>
        </w:tc>
      </w:tr>
      <w:tr>
        <w:tblPrEx>
          <w:tblCellMar>
            <w:top w:w="0" w:type="dxa"/>
            <w:left w:w="108" w:type="dxa"/>
            <w:bottom w:w="0" w:type="dxa"/>
            <w:right w:w="108" w:type="dxa"/>
          </w:tblCellMar>
        </w:tblPrEx>
        <w:trPr>
          <w:trHeight w:val="1503" w:hRule="atLeast"/>
        </w:trPr>
        <w:tc>
          <w:tcPr>
            <w:tcW w:w="1567"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191" w:type="dxa"/>
            <w:vMerge w:val="continue"/>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没有完成批复文件或项目合同书规定要求（实际取得专利和制定标准数量</w:t>
            </w:r>
            <w:r>
              <w:rPr>
                <w:rFonts w:hint="eastAsia" w:cs="Arial"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计划取得专利和制定标准数量&lt;80%），得分为0-2分。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60%≤比例＜80%，得2分；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30%≤比例＜60%，得1分；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③ 比例＜30%，得0分。</w:t>
            </w:r>
          </w:p>
        </w:tc>
      </w:tr>
      <w:tr>
        <w:tblPrEx>
          <w:tblCellMar>
            <w:top w:w="0" w:type="dxa"/>
            <w:left w:w="108" w:type="dxa"/>
            <w:bottom w:w="0" w:type="dxa"/>
            <w:right w:w="108" w:type="dxa"/>
          </w:tblCellMar>
        </w:tblPrEx>
        <w:trPr>
          <w:trHeight w:val="1503" w:hRule="atLeast"/>
        </w:trPr>
        <w:tc>
          <w:tcPr>
            <w:tcW w:w="1567"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191" w:type="dxa"/>
            <w:vMerge w:val="restar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人才培养、论文发表情况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（5分）</w:t>
            </w:r>
          </w:p>
        </w:tc>
        <w:tc>
          <w:tcPr>
            <w:tcW w:w="2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全部或超额完成批复文件或项目合同书规定要求（实际培养人才和发表论文数量</w:t>
            </w:r>
            <w:r>
              <w:rPr>
                <w:rFonts w:hint="eastAsia" w:cs="Arial"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计划培养人才和发表论文数量≥100%），得分为5分。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1503" w:hRule="atLeast"/>
        </w:trPr>
        <w:tc>
          <w:tcPr>
            <w:tcW w:w="1567"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191" w:type="dxa"/>
            <w:vMerge w:val="continue"/>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基本完成批复文件或项目合同书规定要求（实际培养人才和发表论文数量</w:t>
            </w:r>
            <w:r>
              <w:rPr>
                <w:rFonts w:hint="eastAsia" w:cs="Arial"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计划培养人才和发表论文数量≥80%），得分为3-4分。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90%≤比例＜100%，得4分；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80%≤比例＜90%，得3分。</w:t>
            </w:r>
          </w:p>
        </w:tc>
      </w:tr>
      <w:tr>
        <w:tblPrEx>
          <w:tblCellMar>
            <w:top w:w="0" w:type="dxa"/>
            <w:left w:w="108" w:type="dxa"/>
            <w:bottom w:w="0" w:type="dxa"/>
            <w:right w:w="108" w:type="dxa"/>
          </w:tblCellMar>
        </w:tblPrEx>
        <w:trPr>
          <w:trHeight w:val="1503" w:hRule="atLeast"/>
        </w:trPr>
        <w:tc>
          <w:tcPr>
            <w:tcW w:w="156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191" w:type="dxa"/>
            <w:vMerge w:val="continue"/>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没有完成批复文件或项目合同书规定要求（实际培养人才和发表论文数量</w:t>
            </w:r>
            <w:r>
              <w:rPr>
                <w:rFonts w:hint="eastAsia" w:cs="Arial"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计划培养人才和发表论文数量&lt;80%），得分为0-2分。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 xml:space="preserve">① 60%≤比例＜80%，得2分； </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30%≤比例＜60%，得1分；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③ 比例＜30%，得0分。</w:t>
            </w:r>
          </w:p>
        </w:tc>
      </w:tr>
      <w:tr>
        <w:tblPrEx>
          <w:tblCellMar>
            <w:top w:w="0" w:type="dxa"/>
            <w:left w:w="108" w:type="dxa"/>
            <w:bottom w:w="0" w:type="dxa"/>
            <w:right w:w="108" w:type="dxa"/>
          </w:tblCellMar>
        </w:tblPrEx>
        <w:trPr>
          <w:trHeight w:val="567" w:hRule="atLeast"/>
        </w:trPr>
        <w:tc>
          <w:tcPr>
            <w:tcW w:w="156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创新成果辐射扩散情况</w:t>
            </w:r>
          </w:p>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（10分）</w:t>
            </w:r>
          </w:p>
        </w:tc>
        <w:tc>
          <w:tcPr>
            <w:tcW w:w="1191"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成果转化与技术转移情况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（10分）</w:t>
            </w:r>
          </w:p>
        </w:tc>
        <w:tc>
          <w:tcPr>
            <w:tcW w:w="282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效果和作用明显，得分为10分。</w:t>
            </w:r>
          </w:p>
        </w:tc>
        <w:tc>
          <w:tcPr>
            <w:tcW w:w="354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由专家进行专业判断打分。</w:t>
            </w:r>
          </w:p>
        </w:tc>
      </w:tr>
      <w:tr>
        <w:tblPrEx>
          <w:tblCellMar>
            <w:top w:w="0" w:type="dxa"/>
            <w:left w:w="108" w:type="dxa"/>
            <w:bottom w:w="0" w:type="dxa"/>
            <w:right w:w="108" w:type="dxa"/>
          </w:tblCellMar>
        </w:tblPrEx>
        <w:trPr>
          <w:trHeight w:val="567" w:hRule="atLeast"/>
        </w:trPr>
        <w:tc>
          <w:tcPr>
            <w:tcW w:w="156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19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kern w:val="0"/>
                <w:sz w:val="20"/>
                <w:szCs w:val="20"/>
              </w:rPr>
            </w:pPr>
          </w:p>
        </w:tc>
        <w:tc>
          <w:tcPr>
            <w:tcW w:w="282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具有一定效果，得分为6—9分。</w:t>
            </w:r>
          </w:p>
        </w:tc>
        <w:tc>
          <w:tcPr>
            <w:tcW w:w="354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由专家进行专业判断打分。</w:t>
            </w:r>
          </w:p>
        </w:tc>
      </w:tr>
      <w:tr>
        <w:tblPrEx>
          <w:tblCellMar>
            <w:top w:w="0" w:type="dxa"/>
            <w:left w:w="108" w:type="dxa"/>
            <w:bottom w:w="0" w:type="dxa"/>
            <w:right w:w="108" w:type="dxa"/>
          </w:tblCellMar>
        </w:tblPrEx>
        <w:trPr>
          <w:trHeight w:val="567" w:hRule="atLeast"/>
        </w:trPr>
        <w:tc>
          <w:tcPr>
            <w:tcW w:w="156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19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kern w:val="0"/>
                <w:sz w:val="20"/>
                <w:szCs w:val="20"/>
              </w:rPr>
            </w:pPr>
          </w:p>
        </w:tc>
        <w:tc>
          <w:tcPr>
            <w:tcW w:w="282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效果较差，得分为0-5分。</w:t>
            </w:r>
          </w:p>
        </w:tc>
        <w:tc>
          <w:tcPr>
            <w:tcW w:w="354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由专家进行专业判断打分。</w:t>
            </w:r>
          </w:p>
        </w:tc>
      </w:tr>
      <w:tr>
        <w:tblPrEx>
          <w:tblCellMar>
            <w:top w:w="0" w:type="dxa"/>
            <w:left w:w="108" w:type="dxa"/>
            <w:bottom w:w="0" w:type="dxa"/>
            <w:right w:w="108" w:type="dxa"/>
          </w:tblCellMar>
        </w:tblPrEx>
        <w:trPr>
          <w:trHeight w:val="2278" w:hRule="atLeast"/>
        </w:trPr>
        <w:tc>
          <w:tcPr>
            <w:tcW w:w="15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专项资金管理使用情况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（15分）</w:t>
            </w:r>
          </w:p>
        </w:tc>
        <w:tc>
          <w:tcPr>
            <w:tcW w:w="11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项目专项资金使用情况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（10分）</w:t>
            </w:r>
          </w:p>
        </w:tc>
        <w:tc>
          <w:tcPr>
            <w:tcW w:w="282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按批复文件或项目合同书执行，得分为10分。</w:t>
            </w:r>
          </w:p>
        </w:tc>
        <w:tc>
          <w:tcPr>
            <w:tcW w:w="3541" w:type="dxa"/>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批复专项资金全部用于软硬件设备购置：专项资金被全部用于购置批复清单内的设备，得10分；</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批复专项资金用于软硬件设备购置和研发费用：批复资助设备购置资金全部被用于购置批复清单范围内的设备，且实际用于研发费用总金额小于计划用于研发费用总金额，得10分。</w:t>
            </w:r>
          </w:p>
        </w:tc>
      </w:tr>
      <w:tr>
        <w:tblPrEx>
          <w:tblCellMar>
            <w:top w:w="0" w:type="dxa"/>
            <w:left w:w="108" w:type="dxa"/>
            <w:bottom w:w="0" w:type="dxa"/>
            <w:right w:w="108" w:type="dxa"/>
          </w:tblCellMar>
        </w:tblPrEx>
        <w:trPr>
          <w:trHeight w:val="10954" w:hRule="atLeast"/>
        </w:trPr>
        <w:tc>
          <w:tcPr>
            <w:tcW w:w="1567"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专项资金管理使用情况</w:t>
            </w:r>
          </w:p>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（15分）</w:t>
            </w:r>
          </w:p>
        </w:tc>
        <w:tc>
          <w:tcPr>
            <w:tcW w:w="1191"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项目专项资金使用情况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（10分）</w:t>
            </w:r>
          </w:p>
        </w:tc>
        <w:tc>
          <w:tcPr>
            <w:tcW w:w="2827" w:type="dxa"/>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基本按批复文件或项目合同书执行，得分为0－9分。</w:t>
            </w:r>
          </w:p>
        </w:tc>
        <w:tc>
          <w:tcPr>
            <w:tcW w:w="354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spacing w:line="280" w:lineRule="exact"/>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批复专项资金全部用于软硬件设备购置：</w:t>
            </w:r>
          </w:p>
          <w:p>
            <w:pPr>
              <w:overflowPunct w:val="0"/>
              <w:adjustRightInd w:val="0"/>
              <w:snapToGrid w:val="0"/>
              <w:spacing w:line="280" w:lineRule="exact"/>
              <w:ind w:left="42" w:leftChars="20" w:right="42" w:rightChars="20" w:firstLine="200" w:firstLineChars="10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1).90%≤实际使用专项资金购买批复清单内设备的金额占专项资金总额＜100%，得7-9分；</w:t>
            </w:r>
          </w:p>
          <w:p>
            <w:pPr>
              <w:overflowPunct w:val="0"/>
              <w:adjustRightInd w:val="0"/>
              <w:snapToGrid w:val="0"/>
              <w:spacing w:line="280" w:lineRule="exact"/>
              <w:ind w:left="42" w:leftChars="20" w:right="42" w:rightChars="20" w:firstLine="200" w:firstLineChars="10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2).80%≤实际使用专项资金购买批复清单内设备的金额占专项资金总额＜90%，得5-6分；</w:t>
            </w:r>
          </w:p>
          <w:p>
            <w:pPr>
              <w:overflowPunct w:val="0"/>
              <w:adjustRightInd w:val="0"/>
              <w:snapToGrid w:val="0"/>
              <w:spacing w:line="280" w:lineRule="exact"/>
              <w:ind w:left="42" w:leftChars="20" w:right="42" w:rightChars="20" w:firstLine="200" w:firstLineChars="10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3).70%≤实际使用专项资金购买批复清单内设备的金额占专项资金总额＜80%，得3-4分；</w:t>
            </w:r>
          </w:p>
          <w:p>
            <w:pPr>
              <w:overflowPunct w:val="0"/>
              <w:adjustRightInd w:val="0"/>
              <w:snapToGrid w:val="0"/>
              <w:spacing w:line="280" w:lineRule="exact"/>
              <w:ind w:left="42" w:leftChars="20" w:right="42" w:rightChars="20" w:firstLine="200" w:firstLineChars="10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4).60%≤实际使用专项资金购买批复清单内设备的金额占专项资金总额＜70%，得1-2分；</w:t>
            </w:r>
          </w:p>
          <w:p>
            <w:pPr>
              <w:overflowPunct w:val="0"/>
              <w:adjustRightInd w:val="0"/>
              <w:snapToGrid w:val="0"/>
              <w:spacing w:line="280" w:lineRule="exact"/>
              <w:ind w:left="42" w:leftChars="20" w:right="42" w:rightChars="20" w:firstLine="200" w:firstLineChars="10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5).实际使用专项资金购买批复清单内设备的金额占专项资金总额＜60%，得0分。</w:t>
            </w:r>
          </w:p>
          <w:p>
            <w:pPr>
              <w:overflowPunct w:val="0"/>
              <w:adjustRightInd w:val="0"/>
              <w:snapToGrid w:val="0"/>
              <w:spacing w:line="280" w:lineRule="exact"/>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批复专项资金用于软硬件设备购置与研发费用：</w:t>
            </w:r>
          </w:p>
          <w:p>
            <w:pPr>
              <w:overflowPunct w:val="0"/>
              <w:adjustRightInd w:val="0"/>
              <w:snapToGrid w:val="0"/>
              <w:spacing w:line="280" w:lineRule="exact"/>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实际用于研发费用总金额小于计划用于研发费用总金额，且实际用于研发费用的各分项费用未超过批复清单中参考金额上限，若：</w:t>
            </w:r>
          </w:p>
          <w:p>
            <w:pPr>
              <w:overflowPunct w:val="0"/>
              <w:adjustRightInd w:val="0"/>
              <w:snapToGrid w:val="0"/>
              <w:spacing w:line="280" w:lineRule="exact"/>
              <w:ind w:left="42" w:leftChars="20" w:right="42" w:rightChars="20" w:firstLine="200" w:firstLineChars="10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1).90%≤实际使用专项资金购买批复清单内设备的金额占批复资助设备购置总金额＜100%，得7-9分；</w:t>
            </w:r>
          </w:p>
          <w:p>
            <w:pPr>
              <w:overflowPunct w:val="0"/>
              <w:adjustRightInd w:val="0"/>
              <w:snapToGrid w:val="0"/>
              <w:spacing w:line="280" w:lineRule="exact"/>
              <w:ind w:left="42" w:leftChars="20" w:right="42" w:rightChars="20" w:firstLine="200" w:firstLineChars="10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2).80%≤实际使用专项资金购买批复清单内设备的金额占批复资助设备购置总金额＜90%，得5-6分；</w:t>
            </w:r>
          </w:p>
          <w:p>
            <w:pPr>
              <w:overflowPunct w:val="0"/>
              <w:adjustRightInd w:val="0"/>
              <w:snapToGrid w:val="0"/>
              <w:spacing w:line="280" w:lineRule="exact"/>
              <w:ind w:left="42" w:leftChars="20" w:right="42" w:rightChars="20" w:firstLine="200" w:firstLineChars="10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3).70%≤实际使用专项资金购买批复清单内设备的金额占批复资助设备购置总金额＜80%，得3-4分；</w:t>
            </w:r>
          </w:p>
          <w:p>
            <w:pPr>
              <w:overflowPunct w:val="0"/>
              <w:adjustRightInd w:val="0"/>
              <w:snapToGrid w:val="0"/>
              <w:spacing w:line="280" w:lineRule="exact"/>
              <w:ind w:left="42" w:leftChars="20" w:right="42" w:rightChars="20" w:firstLine="200" w:firstLineChars="10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4).60%≤实际使用专项资金购买批复清单内设备的金额占批复资助设备购置总金额＜70%，得1-2分；</w:t>
            </w:r>
          </w:p>
          <w:p>
            <w:pPr>
              <w:overflowPunct w:val="0"/>
              <w:adjustRightInd w:val="0"/>
              <w:snapToGrid w:val="0"/>
              <w:spacing w:line="280" w:lineRule="exact"/>
              <w:ind w:left="42" w:leftChars="20" w:right="42" w:rightChars="20" w:firstLine="200" w:firstLineChars="10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5).实际使用专项资金购买批复清单内设备的金额占批复资助设备购置总金额＜60%，得0分。</w:t>
            </w:r>
          </w:p>
        </w:tc>
      </w:tr>
      <w:tr>
        <w:tblPrEx>
          <w:tblCellMar>
            <w:top w:w="0" w:type="dxa"/>
            <w:left w:w="108" w:type="dxa"/>
            <w:bottom w:w="0" w:type="dxa"/>
            <w:right w:w="108" w:type="dxa"/>
          </w:tblCellMar>
        </w:tblPrEx>
        <w:trPr>
          <w:trHeight w:val="2224" w:hRule="atLeast"/>
        </w:trPr>
        <w:tc>
          <w:tcPr>
            <w:tcW w:w="156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191"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没有按批复文件或项目合同书执行，且未按规定程序申请调整或申请未获批复的，不予安排验收。</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① 资助资金用于研发费用支出金额相较批复文件或项目合同书有所增加，且增加金额超过资助总金额20%，又未按规定程序申请调整或申请未获批复；</w:t>
            </w:r>
          </w:p>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② 超过批复资助设备购置总金额的40%被用于购置批复清单范围以外的设备，且未按规定程序申请调整或申请未获批复。</w:t>
            </w:r>
          </w:p>
        </w:tc>
      </w:tr>
      <w:tr>
        <w:tblPrEx>
          <w:tblCellMar>
            <w:top w:w="0" w:type="dxa"/>
            <w:left w:w="108" w:type="dxa"/>
            <w:bottom w:w="0" w:type="dxa"/>
            <w:right w:w="108" w:type="dxa"/>
          </w:tblCellMar>
        </w:tblPrEx>
        <w:trPr>
          <w:trHeight w:val="842" w:hRule="atLeast"/>
        </w:trPr>
        <w:tc>
          <w:tcPr>
            <w:tcW w:w="1567"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专项资金管理使用情况</w:t>
            </w:r>
          </w:p>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（15分）</w:t>
            </w:r>
          </w:p>
        </w:tc>
        <w:tc>
          <w:tcPr>
            <w:tcW w:w="1191"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jc w:val="center"/>
              <w:textAlignment w:val="center"/>
              <w:rPr>
                <w:rFonts w:ascii="仿宋_GB2312" w:hAnsi="宋体" w:cs="宋体"/>
                <w:color w:val="000000"/>
                <w:kern w:val="0"/>
                <w:sz w:val="20"/>
              </w:rPr>
            </w:pPr>
            <w:r>
              <w:rPr>
                <w:rFonts w:hint="eastAsia" w:ascii="仿宋_GB2312" w:hAnsi="宋体" w:cs="宋体"/>
                <w:color w:val="000000"/>
                <w:kern w:val="0"/>
                <w:sz w:val="20"/>
              </w:rPr>
              <w:t>财务管理情况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ascii="仿宋_GB2312" w:hAnsi="宋体" w:cs="宋体"/>
                <w:color w:val="000000"/>
                <w:kern w:val="0"/>
                <w:sz w:val="20"/>
              </w:rPr>
              <w:t>（2分）</w:t>
            </w:r>
          </w:p>
        </w:tc>
        <w:tc>
          <w:tcPr>
            <w:tcW w:w="282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制定了完善的政府专项资金管理相关配套制度，得分为2分。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制定明确的项目专项资金管理办法及招投标管理办法、核心支出费用管理办法等相关配套制度。</w:t>
            </w:r>
          </w:p>
        </w:tc>
      </w:tr>
      <w:tr>
        <w:tblPrEx>
          <w:tblCellMar>
            <w:top w:w="0" w:type="dxa"/>
            <w:left w:w="108" w:type="dxa"/>
            <w:bottom w:w="0" w:type="dxa"/>
            <w:right w:w="108" w:type="dxa"/>
          </w:tblCellMar>
        </w:tblPrEx>
        <w:trPr>
          <w:trHeight w:val="567" w:hRule="atLeast"/>
        </w:trPr>
        <w:tc>
          <w:tcPr>
            <w:tcW w:w="1567"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19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kern w:val="0"/>
                <w:sz w:val="20"/>
                <w:szCs w:val="20"/>
              </w:rPr>
            </w:pPr>
          </w:p>
        </w:tc>
        <w:tc>
          <w:tcPr>
            <w:tcW w:w="282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制定了较为完善的政府专项资金管理相关配套制度，得分为1分。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制定项目专项资金管理办法及招投标管理办法或核心支出费用管理办法等相关配套制度。</w:t>
            </w:r>
          </w:p>
        </w:tc>
      </w:tr>
      <w:tr>
        <w:tblPrEx>
          <w:tblCellMar>
            <w:top w:w="0" w:type="dxa"/>
            <w:left w:w="108" w:type="dxa"/>
            <w:bottom w:w="0" w:type="dxa"/>
            <w:right w:w="108" w:type="dxa"/>
          </w:tblCellMar>
        </w:tblPrEx>
        <w:trPr>
          <w:trHeight w:val="841" w:hRule="atLeast"/>
        </w:trPr>
        <w:tc>
          <w:tcPr>
            <w:tcW w:w="1567"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19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kern w:val="0"/>
                <w:sz w:val="20"/>
                <w:szCs w:val="20"/>
              </w:rPr>
            </w:pPr>
          </w:p>
        </w:tc>
        <w:tc>
          <w:tcPr>
            <w:tcW w:w="282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未制定政府专项资金管理相关配套制度，得分为0分。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未制定项目专项资金管理办法，或招投标管理办法，或核心支出费用管理办法等相关配套制度。</w:t>
            </w:r>
          </w:p>
        </w:tc>
      </w:tr>
      <w:tr>
        <w:tblPrEx>
          <w:tblCellMar>
            <w:top w:w="0" w:type="dxa"/>
            <w:left w:w="108" w:type="dxa"/>
            <w:bottom w:w="0" w:type="dxa"/>
            <w:right w:w="108" w:type="dxa"/>
          </w:tblCellMar>
        </w:tblPrEx>
        <w:trPr>
          <w:trHeight w:val="567" w:hRule="atLeast"/>
        </w:trPr>
        <w:tc>
          <w:tcPr>
            <w:tcW w:w="1567"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191"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项目专项资金会计核算情况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（3分）</w:t>
            </w:r>
          </w:p>
        </w:tc>
        <w:tc>
          <w:tcPr>
            <w:tcW w:w="282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单独核算，核算内容真实、准确、完整，审批程序和手续完备，得分为3分。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由专家进行专业判断打分。</w:t>
            </w:r>
          </w:p>
        </w:tc>
      </w:tr>
      <w:tr>
        <w:tblPrEx>
          <w:tblCellMar>
            <w:top w:w="0" w:type="dxa"/>
            <w:left w:w="108" w:type="dxa"/>
            <w:bottom w:w="0" w:type="dxa"/>
            <w:right w:w="108" w:type="dxa"/>
          </w:tblCellMar>
        </w:tblPrEx>
        <w:trPr>
          <w:trHeight w:val="883" w:hRule="atLeast"/>
        </w:trPr>
        <w:tc>
          <w:tcPr>
            <w:tcW w:w="1567" w:type="dxa"/>
            <w:vMerge w:val="continue"/>
            <w:tcBorders>
              <w:left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19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单独核算，核算内容基本真实、准确、完整，审批程序和手续基本完善，得分为1－2分。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由专家进行专业判断打分。</w:t>
            </w:r>
          </w:p>
        </w:tc>
      </w:tr>
      <w:tr>
        <w:tblPrEx>
          <w:tblCellMar>
            <w:top w:w="0" w:type="dxa"/>
            <w:left w:w="108" w:type="dxa"/>
            <w:bottom w:w="0" w:type="dxa"/>
            <w:right w:w="108" w:type="dxa"/>
          </w:tblCellMar>
        </w:tblPrEx>
        <w:trPr>
          <w:trHeight w:val="482" w:hRule="atLeast"/>
        </w:trPr>
        <w:tc>
          <w:tcPr>
            <w:tcW w:w="156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19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未单独核算的，不予安排验收。</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567" w:hRule="atLeast"/>
        </w:trPr>
        <w:tc>
          <w:tcPr>
            <w:tcW w:w="1567" w:type="dxa"/>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项目组织管理情况</w:t>
            </w:r>
          </w:p>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（10分）</w:t>
            </w:r>
          </w:p>
        </w:tc>
        <w:tc>
          <w:tcPr>
            <w:tcW w:w="1191" w:type="dxa"/>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专项资金购买设备情况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（5分）</w:t>
            </w:r>
          </w:p>
        </w:tc>
        <w:tc>
          <w:tcPr>
            <w:tcW w:w="2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全部设备购置按公开招标方式执行，得分为5分。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实际购置批复清单内的设备全部采取公开招标进行购置。</w:t>
            </w:r>
          </w:p>
        </w:tc>
      </w:tr>
      <w:tr>
        <w:tblPrEx>
          <w:tblCellMar>
            <w:top w:w="0" w:type="dxa"/>
            <w:left w:w="108" w:type="dxa"/>
            <w:bottom w:w="0" w:type="dxa"/>
            <w:right w:w="108" w:type="dxa"/>
          </w:tblCellMar>
        </w:tblPrEx>
        <w:trPr>
          <w:trHeight w:val="2266" w:hRule="atLeast"/>
        </w:trPr>
        <w:tc>
          <w:tcPr>
            <w:tcW w:w="156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191"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部分设备购置按公开招标方式执行，得分为1-4分。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pacing w:val="-5"/>
                <w:sz w:val="20"/>
                <w:szCs w:val="20"/>
              </w:rPr>
            </w:pPr>
            <w:r>
              <w:rPr>
                <w:rFonts w:hint="eastAsia" w:cs="宋体" w:asciiTheme="minorEastAsia" w:hAnsiTheme="minorEastAsia" w:eastAsiaTheme="minorEastAsia"/>
                <w:color w:val="000000"/>
                <w:spacing w:val="-5"/>
                <w:sz w:val="20"/>
                <w:szCs w:val="20"/>
              </w:rPr>
              <w:t>① 75%≤公开招标购置专项设备总金额÷实际购置专项设备总金额＜100%，得4分；</w:t>
            </w:r>
          </w:p>
          <w:p>
            <w:pPr>
              <w:overflowPunct w:val="0"/>
              <w:adjustRightInd w:val="0"/>
              <w:snapToGrid w:val="0"/>
              <w:ind w:left="42" w:leftChars="20" w:right="42" w:rightChars="20"/>
              <w:rPr>
                <w:rFonts w:cs="宋体" w:asciiTheme="minorEastAsia" w:hAnsiTheme="minorEastAsia" w:eastAsiaTheme="minorEastAsia"/>
                <w:color w:val="000000"/>
                <w:spacing w:val="-5"/>
                <w:sz w:val="20"/>
                <w:szCs w:val="20"/>
              </w:rPr>
            </w:pPr>
            <w:r>
              <w:rPr>
                <w:rFonts w:hint="eastAsia" w:cs="宋体" w:asciiTheme="minorEastAsia" w:hAnsiTheme="minorEastAsia" w:eastAsiaTheme="minorEastAsia"/>
                <w:color w:val="000000"/>
                <w:spacing w:val="-5"/>
                <w:sz w:val="20"/>
                <w:szCs w:val="20"/>
              </w:rPr>
              <w:t>② 50%≤公开招标购置专项设备总金额÷实际购置专项设备总金额＜75%，得3分；</w:t>
            </w:r>
          </w:p>
          <w:p>
            <w:pPr>
              <w:overflowPunct w:val="0"/>
              <w:adjustRightInd w:val="0"/>
              <w:snapToGrid w:val="0"/>
              <w:ind w:left="42" w:leftChars="20" w:right="42" w:rightChars="20"/>
              <w:rPr>
                <w:rFonts w:cs="宋体" w:asciiTheme="minorEastAsia" w:hAnsiTheme="minorEastAsia" w:eastAsiaTheme="minorEastAsia"/>
                <w:color w:val="000000"/>
                <w:spacing w:val="-5"/>
                <w:sz w:val="20"/>
                <w:szCs w:val="20"/>
              </w:rPr>
            </w:pPr>
            <w:r>
              <w:rPr>
                <w:rFonts w:hint="eastAsia" w:cs="宋体" w:asciiTheme="minorEastAsia" w:hAnsiTheme="minorEastAsia" w:eastAsiaTheme="minorEastAsia"/>
                <w:color w:val="000000"/>
                <w:spacing w:val="-5"/>
                <w:sz w:val="20"/>
                <w:szCs w:val="20"/>
              </w:rPr>
              <w:t>③ 25%≤公开招标购置专项设备总金额÷实际购置专项设备总金额＜50%，得2分；</w:t>
            </w:r>
          </w:p>
          <w:p>
            <w:pPr>
              <w:overflowPunct w:val="0"/>
              <w:adjustRightInd w:val="0"/>
              <w:snapToGrid w:val="0"/>
              <w:ind w:left="42" w:leftChars="20" w:right="42" w:rightChars="20"/>
              <w:rPr>
                <w:rFonts w:cs="宋体" w:asciiTheme="minorEastAsia" w:hAnsiTheme="minorEastAsia" w:eastAsiaTheme="minorEastAsia"/>
                <w:color w:val="000000"/>
                <w:spacing w:val="-5"/>
                <w:sz w:val="20"/>
                <w:szCs w:val="20"/>
              </w:rPr>
            </w:pPr>
            <w:r>
              <w:rPr>
                <w:rFonts w:hint="eastAsia" w:cs="宋体" w:asciiTheme="minorEastAsia" w:hAnsiTheme="minorEastAsia" w:eastAsiaTheme="minorEastAsia"/>
                <w:color w:val="000000"/>
                <w:spacing w:val="-5"/>
                <w:sz w:val="20"/>
                <w:szCs w:val="20"/>
              </w:rPr>
              <w:t>④ 0%＜公开招标购置专项设备总金额÷实际购置专项设备总金额＜25%，得1分。</w:t>
            </w:r>
          </w:p>
        </w:tc>
      </w:tr>
      <w:tr>
        <w:tblPrEx>
          <w:tblCellMar>
            <w:top w:w="0" w:type="dxa"/>
            <w:left w:w="108" w:type="dxa"/>
            <w:bottom w:w="0" w:type="dxa"/>
            <w:right w:w="108" w:type="dxa"/>
          </w:tblCellMar>
        </w:tblPrEx>
        <w:trPr>
          <w:trHeight w:val="631" w:hRule="atLeast"/>
        </w:trPr>
        <w:tc>
          <w:tcPr>
            <w:tcW w:w="156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191"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2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全部设备购置未按公开招标方式执行，得分为0分。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567" w:hRule="atLeast"/>
        </w:trPr>
        <w:tc>
          <w:tcPr>
            <w:tcW w:w="1567" w:type="dxa"/>
            <w:vMerge w:val="continue"/>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jc w:val="center"/>
              <w:rPr>
                <w:rFonts w:cs="宋体" w:asciiTheme="minorEastAsia" w:hAnsiTheme="minorEastAsia" w:eastAsiaTheme="minorEastAsia"/>
                <w:color w:val="000000"/>
                <w:sz w:val="20"/>
                <w:szCs w:val="20"/>
              </w:rPr>
            </w:pPr>
          </w:p>
        </w:tc>
        <w:tc>
          <w:tcPr>
            <w:tcW w:w="119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定期报告项目实施进展情况</w:t>
            </w:r>
          </w:p>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（5分）</w:t>
            </w:r>
          </w:p>
        </w:tc>
        <w:tc>
          <w:tcPr>
            <w:tcW w:w="2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val="0"/>
              <w:adjustRightInd w:val="0"/>
              <w:snapToGrid w:val="0"/>
              <w:ind w:left="42" w:leftChars="20" w:right="42" w:rightChars="20"/>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按时提交项目实施进展，满分5分，1次未按时提交扣0.5分，最多扣5分。</w:t>
            </w:r>
          </w:p>
        </w:tc>
        <w:tc>
          <w:tcPr>
            <w:tcW w:w="3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ind w:left="42" w:leftChars="20" w:right="42" w:rightChars="2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以市发展改革委项目验收管理系统的报告数据为依据。</w:t>
            </w:r>
          </w:p>
        </w:tc>
      </w:tr>
      <w:tr>
        <w:tblPrEx>
          <w:tblCellMar>
            <w:top w:w="0" w:type="dxa"/>
            <w:left w:w="108" w:type="dxa"/>
            <w:bottom w:w="0" w:type="dxa"/>
            <w:right w:w="108" w:type="dxa"/>
          </w:tblCellMar>
        </w:tblPrEx>
        <w:trPr>
          <w:trHeight w:val="3686" w:hRule="atLeast"/>
        </w:trPr>
        <w:tc>
          <w:tcPr>
            <w:tcW w:w="912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overflowPunct w:val="0"/>
              <w:adjustRightInd w:val="0"/>
              <w:snapToGrid w:val="0"/>
              <w:ind w:left="42" w:leftChars="20" w:right="42" w:rightChars="20"/>
              <w:jc w:val="center"/>
              <w:textAlignment w:val="center"/>
              <w:rPr>
                <w:rFonts w:cs="宋体" w:asciiTheme="minorEastAsia" w:hAnsiTheme="minorEastAsia" w:eastAsiaTheme="minorEastAsia"/>
                <w:color w:val="000000"/>
                <w:kern w:val="0"/>
                <w:sz w:val="20"/>
                <w:szCs w:val="20"/>
              </w:rPr>
            </w:pPr>
          </w:p>
          <w:p>
            <w:pPr>
              <w:widowControl/>
              <w:overflowPunct w:val="0"/>
              <w:adjustRightInd w:val="0"/>
              <w:snapToGrid w:val="0"/>
              <w:ind w:left="42" w:leftChars="20" w:right="42" w:rightChars="20"/>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专家意见（可另附页，验收总体意见以及分别对投资、建设内容、绩效目标、专项资金使用等完成情况作出具体评价）：</w:t>
            </w:r>
          </w:p>
        </w:tc>
      </w:tr>
    </w:tbl>
    <w:p>
      <w:pPr>
        <w:sectPr>
          <w:pgSz w:w="11906" w:h="16838"/>
          <w:pgMar w:top="1440" w:right="1800" w:bottom="1440" w:left="1800" w:header="851" w:footer="737" w:gutter="0"/>
          <w:cols w:space="425" w:num="1"/>
          <w:docGrid w:type="lines" w:linePitch="312" w:charSpace="0"/>
        </w:sectPr>
      </w:pPr>
    </w:p>
    <w:p>
      <w:pPr>
        <w:spacing w:line="500" w:lineRule="exact"/>
        <w:rPr>
          <w:rFonts w:ascii="仿宋_GB2312" w:hAnsi="Times New Roman" w:eastAsia="仿宋_GB2312"/>
          <w:b/>
          <w:color w:val="000000"/>
          <w:sz w:val="32"/>
          <w:szCs w:val="32"/>
        </w:rPr>
      </w:pPr>
      <w:r>
        <w:rPr>
          <w:rFonts w:ascii="仿宋_GB2312" w:hAnsi="Times New Roman" w:eastAsia="仿宋_GB2312"/>
          <w:b/>
          <w:color w:val="000000"/>
          <w:sz w:val="32"/>
          <w:szCs w:val="32"/>
        </w:rPr>
        <w:t>附件</w:t>
      </w:r>
      <w:r>
        <w:rPr>
          <w:rFonts w:hint="eastAsia" w:ascii="仿宋_GB2312" w:hAnsi="Times New Roman" w:eastAsia="仿宋_GB2312"/>
          <w:b/>
          <w:color w:val="000000"/>
          <w:sz w:val="32"/>
          <w:szCs w:val="32"/>
        </w:rPr>
        <w:t>8</w:t>
      </w:r>
    </w:p>
    <w:p>
      <w:pPr>
        <w:spacing w:line="500" w:lineRule="exact"/>
        <w:jc w:val="center"/>
        <w:rPr>
          <w:rFonts w:ascii="仿宋_GB2312" w:hAnsi="Times New Roman" w:eastAsia="仿宋_GB2312"/>
          <w:color w:val="000000"/>
          <w:sz w:val="32"/>
          <w:szCs w:val="32"/>
        </w:rPr>
      </w:pPr>
    </w:p>
    <w:p>
      <w:pPr>
        <w:spacing w:line="500" w:lineRule="exact"/>
        <w:jc w:val="center"/>
        <w:rPr>
          <w:rFonts w:ascii="宋体" w:hAnsi="宋体" w:cs="宋体"/>
          <w:b/>
          <w:bCs/>
          <w:color w:val="000000"/>
          <w:sz w:val="38"/>
          <w:szCs w:val="38"/>
        </w:rPr>
      </w:pPr>
      <w:r>
        <w:rPr>
          <w:rFonts w:hint="eastAsia" w:ascii="宋体" w:hAnsi="宋体" w:cs="宋体"/>
          <w:b/>
          <w:bCs/>
          <w:color w:val="000000"/>
          <w:sz w:val="38"/>
          <w:szCs w:val="38"/>
        </w:rPr>
        <w:t>项目验收综合评价标准一览表</w:t>
      </w:r>
    </w:p>
    <w:p>
      <w:pPr>
        <w:spacing w:line="500" w:lineRule="exact"/>
        <w:jc w:val="center"/>
        <w:rPr>
          <w:rFonts w:ascii="宋体" w:hAnsi="宋体" w:cs="宋体"/>
          <w:b/>
          <w:bCs/>
          <w:color w:val="000000"/>
          <w:sz w:val="38"/>
          <w:szCs w:val="38"/>
        </w:rPr>
      </w:pPr>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29"/>
        <w:gridCol w:w="3003"/>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仿宋_GB2312" w:hAnsi="宋体" w:eastAsia="仿宋_GB2312" w:cs="宋体"/>
                <w:b/>
                <w:bCs/>
                <w:kern w:val="0"/>
                <w:sz w:val="25"/>
                <w:szCs w:val="25"/>
              </w:rPr>
            </w:pPr>
            <w:r>
              <w:rPr>
                <w:rFonts w:hint="eastAsia" w:ascii="仿宋_GB2312" w:hAnsi="宋体" w:eastAsia="仿宋_GB2312" w:cs="宋体"/>
                <w:b/>
                <w:bCs/>
                <w:kern w:val="0"/>
                <w:sz w:val="25"/>
                <w:szCs w:val="25"/>
              </w:rPr>
              <w:t>项目内容实施情况评价</w:t>
            </w:r>
          </w:p>
        </w:tc>
        <w:tc>
          <w:tcPr>
            <w:tcW w:w="176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仿宋_GB2312" w:hAnsi="宋体" w:eastAsia="仿宋_GB2312" w:cs="宋体"/>
                <w:b/>
                <w:bCs/>
                <w:kern w:val="0"/>
                <w:sz w:val="25"/>
                <w:szCs w:val="25"/>
              </w:rPr>
            </w:pPr>
            <w:r>
              <w:rPr>
                <w:rFonts w:hint="eastAsia" w:ascii="仿宋_GB2312" w:hAnsi="宋体" w:eastAsia="仿宋_GB2312" w:cs="宋体"/>
                <w:b/>
                <w:bCs/>
                <w:kern w:val="0"/>
                <w:sz w:val="25"/>
                <w:szCs w:val="25"/>
              </w:rPr>
              <w:t>项目验收综合评价等级</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仿宋_GB2312" w:hAnsi="宋体" w:eastAsia="仿宋_GB2312" w:cs="宋体"/>
                <w:b/>
                <w:bCs/>
                <w:kern w:val="0"/>
                <w:sz w:val="25"/>
                <w:szCs w:val="25"/>
              </w:rPr>
            </w:pPr>
            <w:r>
              <w:rPr>
                <w:rFonts w:hint="eastAsia" w:ascii="仿宋_GB2312" w:hAnsi="宋体" w:eastAsia="仿宋_GB2312" w:cs="宋体"/>
                <w:b/>
                <w:bCs/>
                <w:kern w:val="0"/>
                <w:sz w:val="25"/>
                <w:szCs w:val="25"/>
              </w:rPr>
              <w:t>验收意见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481"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Times New Roman" w:eastAsia="仿宋_GB2312"/>
                <w:b/>
                <w:sz w:val="25"/>
                <w:szCs w:val="25"/>
              </w:rPr>
            </w:pPr>
            <w:r>
              <w:rPr>
                <w:rFonts w:hint="eastAsia" w:ascii="仿宋_GB2312" w:hAnsi="Times New Roman" w:eastAsia="仿宋_GB2312"/>
                <w:kern w:val="0"/>
                <w:sz w:val="25"/>
                <w:szCs w:val="25"/>
              </w:rPr>
              <w:t>全面完成规定任务，实现预期目标。</w:t>
            </w:r>
          </w:p>
        </w:tc>
        <w:tc>
          <w:tcPr>
            <w:tcW w:w="176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Times New Roman" w:eastAsia="仿宋_GB2312"/>
                <w:sz w:val="25"/>
                <w:szCs w:val="25"/>
              </w:rPr>
            </w:pPr>
            <w:r>
              <w:rPr>
                <w:rFonts w:hint="eastAsia" w:ascii="仿宋_GB2312" w:hAnsi="Times New Roman" w:eastAsia="仿宋_GB2312"/>
                <w:sz w:val="25"/>
                <w:szCs w:val="25"/>
              </w:rPr>
              <w:t>综合得分≥</w:t>
            </w:r>
            <w:r>
              <w:rPr>
                <w:rFonts w:ascii="仿宋_GB2312" w:hAnsi="Times New Roman" w:eastAsia="仿宋_GB2312"/>
                <w:sz w:val="25"/>
                <w:szCs w:val="25"/>
              </w:rPr>
              <w:t>85</w:t>
            </w:r>
            <w:r>
              <w:rPr>
                <w:rFonts w:hint="eastAsia" w:ascii="仿宋_GB2312" w:hAnsi="Times New Roman" w:eastAsia="仿宋_GB2312"/>
                <w:sz w:val="25"/>
                <w:szCs w:val="25"/>
              </w:rPr>
              <w:t>分（优）</w:t>
            </w:r>
          </w:p>
        </w:tc>
        <w:tc>
          <w:tcPr>
            <w:tcW w:w="757"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Times New Roman" w:eastAsia="仿宋_GB2312"/>
                <w:kern w:val="0"/>
                <w:sz w:val="25"/>
                <w:szCs w:val="25"/>
              </w:rPr>
            </w:pPr>
            <w:r>
              <w:rPr>
                <w:rFonts w:hint="eastAsia" w:ascii="仿宋_GB2312" w:hAnsi="Times New Roman" w:eastAsia="仿宋_GB2312"/>
                <w:kern w:val="0"/>
                <w:sz w:val="25"/>
                <w:szCs w:val="25"/>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2481"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Times New Roman" w:eastAsia="仿宋_GB2312"/>
                <w:sz w:val="25"/>
                <w:szCs w:val="25"/>
              </w:rPr>
            </w:pPr>
            <w:r>
              <w:rPr>
                <w:rFonts w:hint="eastAsia" w:ascii="仿宋_GB2312" w:hAnsi="Times New Roman" w:eastAsia="仿宋_GB2312"/>
                <w:kern w:val="0"/>
                <w:sz w:val="25"/>
                <w:szCs w:val="25"/>
              </w:rPr>
              <w:t>项目总体完成情况良好，基本实现了预期目标。</w:t>
            </w:r>
          </w:p>
        </w:tc>
        <w:tc>
          <w:tcPr>
            <w:tcW w:w="176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Times New Roman" w:eastAsia="仿宋_GB2312"/>
                <w:sz w:val="25"/>
                <w:szCs w:val="25"/>
              </w:rPr>
            </w:pPr>
            <w:r>
              <w:rPr>
                <w:rFonts w:ascii="仿宋_GB2312" w:hAnsi="Times New Roman" w:eastAsia="仿宋_GB2312"/>
                <w:sz w:val="25"/>
                <w:szCs w:val="25"/>
              </w:rPr>
              <w:t>75</w:t>
            </w:r>
            <w:r>
              <w:rPr>
                <w:rFonts w:hint="eastAsia" w:ascii="仿宋_GB2312" w:hAnsi="Times New Roman" w:eastAsia="仿宋_GB2312"/>
                <w:sz w:val="25"/>
                <w:szCs w:val="25"/>
              </w:rPr>
              <w:t>分≤综合得分</w:t>
            </w:r>
            <w:r>
              <w:rPr>
                <w:rFonts w:hint="eastAsia" w:ascii="仿宋_GB2312" w:hAnsi="宋体" w:eastAsia="仿宋_GB2312"/>
                <w:kern w:val="0"/>
                <w:sz w:val="25"/>
                <w:szCs w:val="25"/>
              </w:rPr>
              <w:t>＜</w:t>
            </w:r>
            <w:r>
              <w:rPr>
                <w:rFonts w:ascii="仿宋_GB2312" w:hAnsi="Times New Roman" w:eastAsia="仿宋_GB2312"/>
                <w:sz w:val="25"/>
                <w:szCs w:val="25"/>
              </w:rPr>
              <w:t>85</w:t>
            </w:r>
            <w:r>
              <w:rPr>
                <w:rFonts w:hint="eastAsia" w:ascii="仿宋_GB2312" w:hAnsi="Times New Roman" w:eastAsia="仿宋_GB2312"/>
                <w:sz w:val="25"/>
                <w:szCs w:val="25"/>
              </w:rPr>
              <w:t>分（良）</w:t>
            </w:r>
          </w:p>
        </w:tc>
        <w:tc>
          <w:tcPr>
            <w:tcW w:w="757"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Times New Roman" w:eastAsia="仿宋_GB2312"/>
                <w:kern w:val="0"/>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2481"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Times New Roman" w:eastAsia="仿宋_GB2312"/>
                <w:sz w:val="25"/>
                <w:szCs w:val="25"/>
              </w:rPr>
            </w:pPr>
            <w:r>
              <w:rPr>
                <w:rFonts w:hint="eastAsia" w:ascii="仿宋_GB2312" w:hAnsi="Times New Roman" w:eastAsia="仿宋_GB2312"/>
                <w:kern w:val="0"/>
                <w:sz w:val="25"/>
                <w:szCs w:val="25"/>
              </w:rPr>
              <w:t>基本完成规定任务，与预期目标有一定差距。</w:t>
            </w:r>
          </w:p>
        </w:tc>
        <w:tc>
          <w:tcPr>
            <w:tcW w:w="176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Times New Roman" w:eastAsia="仿宋_GB2312"/>
                <w:sz w:val="25"/>
                <w:szCs w:val="25"/>
              </w:rPr>
            </w:pPr>
            <w:r>
              <w:rPr>
                <w:rFonts w:ascii="仿宋_GB2312" w:hAnsi="Times New Roman" w:eastAsia="仿宋_GB2312"/>
                <w:sz w:val="25"/>
                <w:szCs w:val="25"/>
              </w:rPr>
              <w:t>60</w:t>
            </w:r>
            <w:r>
              <w:rPr>
                <w:rFonts w:hint="eastAsia" w:ascii="仿宋_GB2312" w:hAnsi="Times New Roman" w:eastAsia="仿宋_GB2312"/>
                <w:sz w:val="25"/>
                <w:szCs w:val="25"/>
              </w:rPr>
              <w:t>分≤综合得分</w:t>
            </w:r>
            <w:r>
              <w:rPr>
                <w:rFonts w:hint="eastAsia" w:ascii="仿宋_GB2312" w:hAnsi="宋体" w:eastAsia="仿宋_GB2312"/>
                <w:kern w:val="0"/>
                <w:sz w:val="25"/>
                <w:szCs w:val="25"/>
              </w:rPr>
              <w:t>＜</w:t>
            </w:r>
            <w:r>
              <w:rPr>
                <w:rFonts w:ascii="仿宋_GB2312" w:hAnsi="宋体" w:eastAsia="仿宋_GB2312"/>
                <w:kern w:val="0"/>
                <w:sz w:val="25"/>
                <w:szCs w:val="25"/>
              </w:rPr>
              <w:t>75</w:t>
            </w:r>
            <w:r>
              <w:rPr>
                <w:rFonts w:hint="eastAsia" w:ascii="仿宋_GB2312" w:hAnsi="Times New Roman" w:eastAsia="仿宋_GB2312"/>
                <w:sz w:val="25"/>
                <w:szCs w:val="25"/>
              </w:rPr>
              <w:t>分（及格）</w:t>
            </w:r>
          </w:p>
        </w:tc>
        <w:tc>
          <w:tcPr>
            <w:tcW w:w="757"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Times New Roman" w:eastAsia="仿宋_GB2312"/>
                <w:kern w:val="0"/>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2481"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Times New Roman" w:eastAsia="仿宋_GB2312"/>
                <w:kern w:val="0"/>
                <w:sz w:val="25"/>
                <w:szCs w:val="25"/>
              </w:rPr>
            </w:pPr>
            <w:r>
              <w:rPr>
                <w:rFonts w:hint="eastAsia" w:ascii="仿宋_GB2312" w:hAnsi="Times New Roman" w:eastAsia="仿宋_GB2312"/>
                <w:bCs/>
                <w:iCs/>
                <w:kern w:val="0"/>
                <w:sz w:val="25"/>
                <w:szCs w:val="25"/>
              </w:rPr>
              <w:t>目标和任务完成情况较差，需要进行整改。</w:t>
            </w:r>
          </w:p>
        </w:tc>
        <w:tc>
          <w:tcPr>
            <w:tcW w:w="176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Times New Roman" w:eastAsia="仿宋_GB2312"/>
                <w:kern w:val="0"/>
                <w:sz w:val="25"/>
                <w:szCs w:val="25"/>
              </w:rPr>
            </w:pPr>
            <w:r>
              <w:rPr>
                <w:rFonts w:hint="eastAsia" w:ascii="仿宋_GB2312" w:hAnsi="Times New Roman" w:eastAsia="仿宋_GB2312"/>
                <w:bCs/>
                <w:iCs/>
                <w:kern w:val="0"/>
                <w:sz w:val="25"/>
                <w:szCs w:val="25"/>
              </w:rPr>
              <w:t>综合得分</w:t>
            </w:r>
            <w:r>
              <w:rPr>
                <w:rFonts w:ascii="仿宋_GB2312" w:hAnsi="Times New Roman" w:eastAsia="仿宋_GB2312"/>
                <w:bCs/>
                <w:iCs/>
                <w:kern w:val="0"/>
                <w:sz w:val="25"/>
                <w:szCs w:val="25"/>
              </w:rPr>
              <w:t>&lt;60</w:t>
            </w:r>
            <w:r>
              <w:rPr>
                <w:rFonts w:hint="eastAsia" w:ascii="仿宋_GB2312" w:hAnsi="Times New Roman" w:eastAsia="仿宋_GB2312"/>
                <w:bCs/>
                <w:iCs/>
                <w:kern w:val="0"/>
                <w:sz w:val="25"/>
                <w:szCs w:val="25"/>
              </w:rPr>
              <w:t>分</w:t>
            </w:r>
          </w:p>
        </w:tc>
        <w:tc>
          <w:tcPr>
            <w:tcW w:w="75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Times New Roman" w:eastAsia="仿宋_GB2312"/>
                <w:kern w:val="0"/>
                <w:sz w:val="25"/>
                <w:szCs w:val="25"/>
              </w:rPr>
            </w:pPr>
            <w:r>
              <w:rPr>
                <w:rFonts w:hint="eastAsia" w:ascii="仿宋_GB2312" w:hAnsi="Times New Roman" w:eastAsia="仿宋_GB2312"/>
                <w:bCs/>
                <w:iCs/>
                <w:kern w:val="0"/>
                <w:sz w:val="25"/>
                <w:szCs w:val="25"/>
              </w:rPr>
              <w:t>不合格</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37339E"/>
    <w:multiLevelType w:val="singleLevel"/>
    <w:tmpl w:val="7937339E"/>
    <w:lvl w:ilvl="0" w:tentative="0">
      <w:start w:val="1"/>
      <w:numFmt w:val="decimal"/>
      <w:lvlText w:val="%1)"/>
      <w:lvlJc w:val="left"/>
      <w:pPr>
        <w:tabs>
          <w:tab w:val="left" w:pos="312"/>
        </w:tabs>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313AA9"/>
    <w:rsid w:val="19313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2021-08-16T09:13:00Z</dcterms:created>
  <dc:creator>好饭友</dc:creator>
  <cp:lastModifiedBy>好饭友</cp:lastModifiedBy>
  <dcterms:modified xsi:type="dcterms:W3CDTF">2021-08-16T09:23:01Z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EC204C24942E4D0A93A2A5DB081A4919</vt:lpwstr>
  </property>
</Properties>
</file>