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ascii="黑体" w:hAnsi="黑体" w:eastAsia="黑体" w:cs="黑体"/>
          <w:sz w:val="32"/>
          <w:szCs w:val="20"/>
        </w:rPr>
      </w:pPr>
      <w:r>
        <w:rPr>
          <w:rFonts w:ascii="黑体" w:hAnsi="黑体" w:eastAsia="黑体" w:cs="黑体"/>
          <w:sz w:val="32"/>
          <w:szCs w:val="20"/>
        </w:rPr>
        <w:t>附件2</w:t>
      </w:r>
    </w:p>
    <w:p>
      <w:pPr>
        <w:snapToGrid w:val="0"/>
        <w:spacing w:line="560" w:lineRule="exact"/>
        <w:ind w:firstLine="640" w:firstLineChars="200"/>
        <w:rPr>
          <w:rFonts w:ascii="黑体" w:hAnsi="黑体" w:eastAsia="黑体" w:cs="黑体"/>
          <w:sz w:val="32"/>
          <w:szCs w:val="20"/>
        </w:rPr>
      </w:pPr>
    </w:p>
    <w:p>
      <w:pPr>
        <w:snapToGrid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深圳市时尚产业扶持计划操作规程</w:t>
      </w:r>
    </w:p>
    <w:p>
      <w:pPr>
        <w:snapToGrid w:val="0"/>
        <w:spacing w:line="560" w:lineRule="exact"/>
        <w:jc w:val="center"/>
        <w:rPr>
          <w:rFonts w:ascii="方正小标宋简体" w:hAnsi="方正小标宋简体" w:eastAsia="方正小标宋简体" w:cs="方正小标宋简体"/>
          <w:sz w:val="44"/>
          <w:szCs w:val="20"/>
        </w:rPr>
      </w:pPr>
      <w:r>
        <w:rPr>
          <w:rFonts w:hint="eastAsia" w:ascii="方正小标宋简体" w:hAnsi="方正小标宋简体" w:eastAsia="方正小标宋简体" w:cs="方正小标宋简体"/>
          <w:sz w:val="44"/>
          <w:szCs w:val="44"/>
        </w:rPr>
        <w:t>（征求意见稿）编制说明</w:t>
      </w:r>
    </w:p>
    <w:p>
      <w:pPr>
        <w:snapToGrid w:val="0"/>
        <w:spacing w:line="560" w:lineRule="exact"/>
        <w:ind w:firstLine="880" w:firstLineChars="200"/>
        <w:rPr>
          <w:rFonts w:ascii="方正小标宋简体" w:hAnsi="方正小标宋简体" w:eastAsia="方正小标宋简体" w:cs="方正小标宋简体"/>
          <w:sz w:val="44"/>
          <w:szCs w:val="20"/>
        </w:rPr>
      </w:pPr>
    </w:p>
    <w:p>
      <w:pPr>
        <w:snapToGrid w:val="0"/>
        <w:spacing w:line="560" w:lineRule="exact"/>
        <w:ind w:firstLine="640" w:firstLineChars="200"/>
        <w:rPr>
          <w:rFonts w:hint="eastAsia" w:ascii="仿宋_GB2312" w:hAnsi="仿宋_GB2312" w:eastAsia="仿宋_GB2312" w:cs="仿宋_GB2312"/>
          <w:color w:val="000000"/>
          <w:sz w:val="32"/>
          <w:szCs w:val="20"/>
        </w:rPr>
      </w:pPr>
      <w:r>
        <w:rPr>
          <w:rFonts w:hint="eastAsia" w:ascii="仿宋_GB2312" w:hAnsi="仿宋_GB2312" w:eastAsia="仿宋_GB2312" w:cs="仿宋_GB2312"/>
          <w:sz w:val="32"/>
          <w:szCs w:val="20"/>
        </w:rPr>
        <w:t>为落实</w:t>
      </w:r>
      <w:r>
        <w:rPr>
          <w:rFonts w:hint="eastAsia" w:ascii="仿宋_GB2312" w:hAnsi="仿宋_GB2312" w:eastAsia="仿宋_GB2312" w:cs="仿宋_GB2312"/>
          <w:color w:val="000000"/>
          <w:sz w:val="32"/>
          <w:szCs w:val="20"/>
        </w:rPr>
        <w:t>《深圳市时尚产业高质量发展行动计划（2020-2024年）》（深府办〔2020〕4号）有关政策条款，</w:t>
      </w:r>
      <w:r>
        <w:rPr>
          <w:rFonts w:hint="eastAsia" w:ascii="仿宋_GB2312" w:hAnsi="仿宋_GB2312" w:eastAsia="仿宋_GB2312" w:cs="仿宋_GB2312"/>
          <w:sz w:val="32"/>
          <w:szCs w:val="20"/>
        </w:rPr>
        <w:t>规范市工业和信息化局工业和信息化产业发展专项资金（以下简称“专项资金”）时尚产业扶持计划（原“优势产业扶持计划”）的组织实施，我局起草编制了《深圳市时尚产业扶持计划操</w:t>
      </w:r>
      <w:r>
        <w:rPr>
          <w:rFonts w:hint="eastAsia" w:ascii="仿宋_GB2312" w:hAnsi="仿宋_GB2312" w:eastAsia="仿宋_GB2312" w:cs="仿宋_GB2312"/>
          <w:color w:val="000000"/>
          <w:sz w:val="32"/>
          <w:szCs w:val="20"/>
        </w:rPr>
        <w:t>作规程（征求意见稿）》（以下简称《操作规程》）。现就有关情况说明如下：</w:t>
      </w:r>
    </w:p>
    <w:p>
      <w:pPr>
        <w:snapToGrid w:val="0"/>
        <w:spacing w:line="560" w:lineRule="exact"/>
        <w:ind w:firstLine="640" w:firstLineChars="200"/>
        <w:rPr>
          <w:rFonts w:hint="eastAsia" w:ascii="黑体" w:hAnsi="黑体" w:eastAsia="黑体" w:cs="黑体"/>
          <w:color w:val="000000"/>
          <w:sz w:val="32"/>
          <w:szCs w:val="20"/>
        </w:rPr>
      </w:pPr>
      <w:r>
        <w:rPr>
          <w:rFonts w:hint="eastAsia" w:ascii="黑体" w:hAnsi="黑体" w:eastAsia="黑体" w:cs="黑体"/>
          <w:color w:val="000000"/>
          <w:sz w:val="32"/>
          <w:szCs w:val="20"/>
        </w:rPr>
        <w:t>一、编制背景</w:t>
      </w:r>
    </w:p>
    <w:p>
      <w:pPr>
        <w:snapToGrid w:val="0"/>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为落实市委市政府的决策部署，贯彻落实《中共中央 国务院关于支持深圳建设中国特色社会主义先行示范区的意见》，紧抓粤港澳大湾区建设赋予我市建成“具有世界影响力创新创业创意之都”的战略机遇，推动我市优势传统产业向时尚产业转型，2020年3月，我局牵头制定，并以市政府办公厅名义印发了《深圳市时尚产业高质量发展行动计划（2020-2024年）》（深府办〔2020〕4号）（以下简称《行动计划》），全面系统推进时尚产业发展。为落实《行动计划》中拟定的扶持条款，规范资金管理，草拟了操作规程。</w:t>
      </w:r>
    </w:p>
    <w:p>
      <w:pPr>
        <w:snapToGrid w:val="0"/>
        <w:spacing w:line="560" w:lineRule="exact"/>
        <w:ind w:firstLine="640" w:firstLineChars="200"/>
        <w:rPr>
          <w:rFonts w:hint="eastAsia" w:ascii="黑体" w:hAnsi="黑体" w:eastAsia="黑体" w:cs="黑体"/>
          <w:sz w:val="32"/>
          <w:szCs w:val="20"/>
        </w:rPr>
      </w:pPr>
      <w:r>
        <w:rPr>
          <w:rFonts w:hint="eastAsia" w:ascii="黑体" w:hAnsi="黑体" w:eastAsia="黑体" w:cs="黑体"/>
          <w:sz w:val="32"/>
          <w:szCs w:val="20"/>
        </w:rPr>
        <w:t>二、编制过程及思路</w:t>
      </w:r>
    </w:p>
    <w:p>
      <w:pPr>
        <w:snapToGrid w:val="0"/>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行动计划》作为近年来我市在时尚产业领域出台首个系统性政策文件，对推动我市时尚产业发展意义重大。为尽快出台具体实施细则，让企业尽快享受到政策扶持，我局自2019年底开始规程的酝酿，并于2020年3月正式启动《操作规程》的编制。具体编制过程及思路如下：</w:t>
      </w:r>
    </w:p>
    <w:p>
      <w:pPr>
        <w:snapToGrid w:val="0"/>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b/>
          <w:sz w:val="32"/>
          <w:szCs w:val="20"/>
        </w:rPr>
        <w:t>（一）合法依规。</w:t>
      </w:r>
      <w:r>
        <w:rPr>
          <w:rFonts w:hint="eastAsia" w:ascii="仿宋_GB2312" w:hAnsi="仿宋_GB2312" w:eastAsia="仿宋_GB2312" w:cs="仿宋_GB2312"/>
          <w:sz w:val="32"/>
          <w:szCs w:val="20"/>
        </w:rPr>
        <w:t>严格落实</w:t>
      </w:r>
      <w:r>
        <w:rPr>
          <w:rFonts w:hint="eastAsia" w:ascii="仿宋_GB2312" w:hAnsi="仿宋_GB2312" w:eastAsia="仿宋_GB2312" w:cs="仿宋_GB2312"/>
          <w:sz w:val="32"/>
          <w:szCs w:val="20"/>
          <w:lang w:eastAsia="zh-CN"/>
        </w:rPr>
        <w:t>法治</w:t>
      </w:r>
      <w:bookmarkStart w:id="0" w:name="_GoBack"/>
      <w:bookmarkEnd w:id="0"/>
      <w:r>
        <w:rPr>
          <w:rFonts w:hint="eastAsia" w:ascii="仿宋_GB2312" w:hAnsi="仿宋_GB2312" w:eastAsia="仿宋_GB2312" w:cs="仿宋_GB2312"/>
          <w:sz w:val="32"/>
          <w:szCs w:val="20"/>
        </w:rPr>
        <w:t>政府要求，依法依规开展编制工作。</w:t>
      </w:r>
      <w:r>
        <w:rPr>
          <w:rFonts w:hint="eastAsia" w:ascii="仿宋_GB2312" w:hAnsi="仿宋_GB2312" w:eastAsia="仿宋_GB2312" w:cs="仿宋_GB2312"/>
          <w:b/>
          <w:color w:val="000000"/>
          <w:sz w:val="32"/>
          <w:szCs w:val="20"/>
        </w:rPr>
        <w:t>一是严格按照规范性文件的概念、要求、内涵组织编写。</w:t>
      </w:r>
      <w:r>
        <w:rPr>
          <w:rFonts w:hint="eastAsia" w:ascii="仿宋_GB2312" w:hAnsi="仿宋_GB2312" w:eastAsia="仿宋_GB2312" w:cs="仿宋_GB2312"/>
          <w:color w:val="000000"/>
          <w:sz w:val="32"/>
          <w:szCs w:val="20"/>
        </w:rPr>
        <w:t>规程编制过程中，</w:t>
      </w:r>
      <w:r>
        <w:rPr>
          <w:rFonts w:hint="eastAsia" w:ascii="仿宋_GB2312" w:hAnsi="仿宋_GB2312" w:eastAsia="仿宋_GB2312" w:cs="仿宋_GB2312"/>
          <w:sz w:val="32"/>
          <w:szCs w:val="20"/>
        </w:rPr>
        <w:t>组织参与编制的同志与局法规处法务专职同事进行学习研讨，系统学习规范性文件的编写要求，并针对《操作规程》的合法性和合规性进行逐条深入探讨，将规范性文件的编制要求落实到每一条款。</w:t>
      </w:r>
      <w:r>
        <w:rPr>
          <w:rFonts w:hint="eastAsia" w:ascii="仿宋_GB2312" w:hAnsi="仿宋_GB2312" w:eastAsia="仿宋_GB2312" w:cs="仿宋_GB2312"/>
          <w:b/>
          <w:sz w:val="32"/>
          <w:szCs w:val="20"/>
        </w:rPr>
        <w:t>二是严格遵循专项资金管理文件的规范要求。</w:t>
      </w:r>
      <w:r>
        <w:rPr>
          <w:rFonts w:hint="eastAsia" w:ascii="仿宋_GB2312" w:hAnsi="仿宋_GB2312" w:eastAsia="仿宋_GB2312" w:cs="仿宋_GB2312"/>
          <w:sz w:val="32"/>
          <w:szCs w:val="20"/>
        </w:rPr>
        <w:t>依据</w:t>
      </w:r>
      <w:r>
        <w:rPr>
          <w:rFonts w:hint="eastAsia" w:ascii="仿宋_GB2312" w:hAnsi="仿宋_GB2312" w:eastAsia="仿宋_GB2312" w:cs="仿宋_GB2312"/>
          <w:color w:val="000000"/>
          <w:sz w:val="32"/>
          <w:szCs w:val="20"/>
        </w:rPr>
        <w:t>《深圳市市级财政专项资金管理办法》（深府规〔2018〕12号）和《深圳市工业和信息化产业发展专项资金管理办法》（深工信规〔2020〕9号）以及</w:t>
      </w:r>
      <w:r>
        <w:rPr>
          <w:rFonts w:hint="eastAsia" w:ascii="仿宋_GB2312" w:hAnsi="仿宋_GB2312" w:eastAsia="仿宋_GB2312" w:cs="仿宋_GB2312"/>
          <w:sz w:val="32"/>
          <w:szCs w:val="20"/>
        </w:rPr>
        <w:t>国家省市关于财政专项资金管理政策的最新规定，规范表述。</w:t>
      </w:r>
    </w:p>
    <w:p>
      <w:pPr>
        <w:snapToGrid w:val="0"/>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b/>
          <w:sz w:val="32"/>
          <w:szCs w:val="20"/>
        </w:rPr>
        <w:t>（二）紧贴实际。</w:t>
      </w:r>
      <w:r>
        <w:rPr>
          <w:rFonts w:hint="eastAsia" w:ascii="仿宋_GB2312" w:hAnsi="仿宋_GB2312" w:eastAsia="仿宋_GB2312" w:cs="仿宋_GB2312"/>
          <w:sz w:val="32"/>
          <w:szCs w:val="20"/>
        </w:rPr>
        <w:t>本次政策出台是原有政策的升级版，在编写过程中，为保证政策措施符合产业及企业发展实际，增强企业政策获得感，真正有效地推动产业进一步转型升级，</w:t>
      </w:r>
      <w:r>
        <w:rPr>
          <w:rFonts w:hint="eastAsia" w:ascii="仿宋_GB2312" w:hAnsi="仿宋_GB2312" w:eastAsia="仿宋_GB2312" w:cs="仿宋_GB2312"/>
          <w:b/>
          <w:sz w:val="32"/>
          <w:szCs w:val="20"/>
        </w:rPr>
        <w:t>一是多次实地调研各行业的代表企业和走访时尚界政协委员和人大代表，认真听取企业意见和行业发展的共性问题</w:t>
      </w:r>
      <w:r>
        <w:rPr>
          <w:rFonts w:hint="eastAsia" w:ascii="仿宋_GB2312" w:hAnsi="仿宋_GB2312" w:eastAsia="仿宋_GB2312" w:cs="仿宋_GB2312"/>
          <w:sz w:val="32"/>
          <w:szCs w:val="20"/>
        </w:rPr>
        <w:t>。</w:t>
      </w:r>
      <w:r>
        <w:rPr>
          <w:rFonts w:hint="eastAsia" w:ascii="仿宋_GB2312" w:hAnsi="仿宋_GB2312" w:eastAsia="仿宋_GB2312" w:cs="仿宋_GB2312"/>
          <w:b/>
          <w:sz w:val="32"/>
          <w:szCs w:val="20"/>
        </w:rPr>
        <w:t>二是召开多场专题座谈会。</w:t>
      </w:r>
      <w:r>
        <w:rPr>
          <w:rFonts w:hint="eastAsia" w:ascii="仿宋_GB2312" w:hAnsi="仿宋_GB2312" w:eastAsia="仿宋_GB2312" w:cs="仿宋_GB2312"/>
          <w:sz w:val="32"/>
          <w:szCs w:val="20"/>
        </w:rPr>
        <w:t>2020年5-7月，连续组织了多场行业协会及重点企业代表座谈会，了解掌握行业最新发展情况、疫情期间各行业面临的困难和亟待解决的问题。</w:t>
      </w:r>
      <w:r>
        <w:rPr>
          <w:rFonts w:hint="eastAsia" w:ascii="仿宋_GB2312" w:hAnsi="仿宋_GB2312" w:eastAsia="仿宋_GB2312" w:cs="仿宋_GB2312"/>
          <w:b/>
          <w:sz w:val="32"/>
          <w:szCs w:val="20"/>
        </w:rPr>
        <w:t>三是开展问卷调查，为科学设定《操作规程》的专项申报条件和量化评审指标提供数据支撑和测算依据。</w:t>
      </w:r>
      <w:r>
        <w:rPr>
          <w:rFonts w:hint="eastAsia" w:ascii="仿宋_GB2312" w:hAnsi="仿宋_GB2312" w:eastAsia="仿宋_GB2312" w:cs="仿宋_GB2312"/>
          <w:sz w:val="32"/>
          <w:szCs w:val="20"/>
        </w:rPr>
        <w:t>组织开展《时尚产业发展扶持专项摸底调查问卷》，详细了解企业的经营情况、研发设计水平和数字化转型等方面的情况以及投资方向。</w:t>
      </w:r>
      <w:r>
        <w:rPr>
          <w:rFonts w:hint="eastAsia" w:ascii="仿宋_GB2312" w:hAnsi="仿宋_GB2312" w:eastAsia="仿宋_GB2312" w:cs="仿宋_GB2312"/>
          <w:b/>
          <w:sz w:val="32"/>
          <w:szCs w:val="20"/>
        </w:rPr>
        <w:t>四是横向对比其它城市的同类政策。</w:t>
      </w:r>
      <w:r>
        <w:rPr>
          <w:rFonts w:hint="eastAsia" w:ascii="仿宋_GB2312" w:hAnsi="仿宋_GB2312" w:eastAsia="仿宋_GB2312" w:cs="仿宋_GB2312"/>
          <w:sz w:val="32"/>
          <w:szCs w:val="20"/>
        </w:rPr>
        <w:t>对上海市、杭州市等时尚产业较发达的城市近年出台的有关政策进行了梳理和比较，吸取有效资助和评审方式。</w:t>
      </w:r>
      <w:r>
        <w:rPr>
          <w:rFonts w:hint="eastAsia" w:ascii="仿宋_GB2312" w:hAnsi="仿宋_GB2312" w:eastAsia="仿宋_GB2312" w:cs="仿宋_GB2312"/>
          <w:b/>
          <w:sz w:val="32"/>
          <w:szCs w:val="20"/>
        </w:rPr>
        <w:t>五是主管领导专题讨论。</w:t>
      </w:r>
      <w:r>
        <w:rPr>
          <w:rFonts w:hint="eastAsia" w:ascii="仿宋_GB2312" w:hAnsi="仿宋_GB2312" w:eastAsia="仿宋_GB2312" w:cs="仿宋_GB2312"/>
          <w:sz w:val="32"/>
          <w:szCs w:val="20"/>
        </w:rPr>
        <w:t>分管局领导多次主持召开《操作规程》专项讨论会，逐条讨论各条款内容。</w:t>
      </w:r>
    </w:p>
    <w:p>
      <w:pPr>
        <w:snapToGrid w:val="0"/>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b/>
          <w:sz w:val="32"/>
          <w:szCs w:val="20"/>
        </w:rPr>
        <w:t>（三）精准扶持。</w:t>
      </w:r>
      <w:r>
        <w:rPr>
          <w:rFonts w:hint="eastAsia" w:ascii="仿宋_GB2312" w:hAnsi="仿宋_GB2312" w:eastAsia="仿宋_GB2312" w:cs="仿宋_GB2312"/>
          <w:sz w:val="32"/>
          <w:szCs w:val="20"/>
        </w:rPr>
        <w:t>认真贯彻“过紧日子”和全面实施预算绩效管理的决策部署，严格落实财政专项资金使用绩效的有关规定，对《操作规程》所涉及的时尚产业扶持计划的资金使用方向逐项进行了绩效目标分析，认真测算资金及项目分布，集中财政资金支持优势项目。</w:t>
      </w:r>
    </w:p>
    <w:p>
      <w:pPr>
        <w:snapToGrid w:val="0"/>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b/>
          <w:sz w:val="32"/>
          <w:szCs w:val="20"/>
        </w:rPr>
        <w:t>（四）闭环管理。</w:t>
      </w:r>
      <w:r>
        <w:rPr>
          <w:rFonts w:hint="eastAsia" w:ascii="仿宋_GB2312" w:hAnsi="仿宋_GB2312" w:eastAsia="仿宋_GB2312" w:cs="仿宋_GB2312"/>
          <w:sz w:val="32"/>
          <w:szCs w:val="20"/>
        </w:rPr>
        <w:t>《操作规程》规范的时尚产业扶持计划的各支持方向是基于我局原优势产业扶持计划内容的调整和优化。我局委托第三方专业机构对近年来优势产业扶持计划资金执行情况、绩效产出效果和产业推动情况等方面做了全面评价，为本《操作规程》提供有效经验和改进方向。</w:t>
      </w:r>
    </w:p>
    <w:p>
      <w:pPr>
        <w:snapToGrid w:val="0"/>
        <w:spacing w:line="560" w:lineRule="exact"/>
        <w:ind w:firstLine="640" w:firstLineChars="200"/>
        <w:rPr>
          <w:rFonts w:hint="eastAsia" w:ascii="黑体" w:hAnsi="黑体" w:eastAsia="黑体" w:cs="黑体"/>
          <w:sz w:val="32"/>
          <w:szCs w:val="20"/>
        </w:rPr>
      </w:pPr>
      <w:r>
        <w:rPr>
          <w:rFonts w:hint="eastAsia" w:ascii="黑体" w:hAnsi="黑体" w:eastAsia="黑体" w:cs="黑体"/>
          <w:sz w:val="32"/>
          <w:szCs w:val="20"/>
        </w:rPr>
        <w:t>三、主要内容和特点</w:t>
      </w:r>
    </w:p>
    <w:p>
      <w:pPr>
        <w:snapToGrid w:val="0"/>
        <w:spacing w:line="560" w:lineRule="exact"/>
        <w:ind w:firstLine="640" w:firstLineChars="200"/>
        <w:rPr>
          <w:rFonts w:hint="eastAsia" w:ascii="楷体" w:hAnsi="楷体" w:eastAsia="楷体" w:cs="楷体"/>
          <w:sz w:val="32"/>
          <w:szCs w:val="20"/>
        </w:rPr>
      </w:pPr>
      <w:r>
        <w:rPr>
          <w:rFonts w:hint="eastAsia" w:ascii="楷体" w:hAnsi="楷体" w:eastAsia="楷体" w:cs="楷体"/>
          <w:sz w:val="32"/>
          <w:szCs w:val="20"/>
        </w:rPr>
        <w:t>（一）主要内容。</w:t>
      </w:r>
    </w:p>
    <w:p>
      <w:pPr>
        <w:snapToGrid w:val="0"/>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本操作规程共七章三十二条。第一章“总则”主要规定制定依据、明确适用范围、扶持方向和基本原则等内容；第二章“职责分工”主要规定市工业和信息化局、项目单位和第三方专业服务机构的主要职责；第三章“扶持方向和标准”主要明确项目的扶持方向、扶持标准和审核；第四章“申报条件”主要规定申报主体的基础条件和专项申报条件；第五章“项目申报和审核”主要规定申报流程和受理审核方式；第六章“绩效和监督管理”主要规定项目绩效评价要求和对项目申报单位、第三方机构和专家的监管；第七章“附则”主要规定解释权、生效起止时间和其他需要说明的事项。</w:t>
      </w:r>
    </w:p>
    <w:p>
      <w:pPr>
        <w:snapToGrid w:val="0"/>
        <w:spacing w:line="560" w:lineRule="exact"/>
        <w:ind w:firstLine="640" w:firstLineChars="200"/>
        <w:rPr>
          <w:rFonts w:hint="eastAsia" w:ascii="楷体" w:hAnsi="楷体" w:eastAsia="楷体" w:cs="楷体"/>
          <w:sz w:val="32"/>
          <w:szCs w:val="20"/>
        </w:rPr>
      </w:pPr>
      <w:r>
        <w:rPr>
          <w:rFonts w:hint="eastAsia" w:ascii="楷体" w:hAnsi="楷体" w:eastAsia="楷体" w:cs="楷体"/>
          <w:sz w:val="32"/>
          <w:szCs w:val="20"/>
        </w:rPr>
        <w:t>（二）特点。</w:t>
      </w:r>
    </w:p>
    <w:p>
      <w:pPr>
        <w:snapToGrid w:val="0"/>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b/>
          <w:sz w:val="32"/>
          <w:szCs w:val="20"/>
        </w:rPr>
        <w:t>1.明确适用范围和申报主体。</w:t>
      </w:r>
    </w:p>
    <w:p>
      <w:pPr>
        <w:snapToGrid w:val="0"/>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根据《行动计划》对时尚产业的定义，明确《操作规程》所称</w:t>
      </w:r>
      <w:r>
        <w:rPr>
          <w:rFonts w:hint="eastAsia" w:ascii="仿宋_GB2312" w:hAnsi="仿宋_GB2312" w:eastAsia="仿宋_GB2312" w:cs="仿宋_GB2312"/>
          <w:color w:val="000000"/>
          <w:sz w:val="32"/>
          <w:szCs w:val="20"/>
        </w:rPr>
        <w:t>时尚产业，主要包括服装、家具、钟表、黄金珠宝、内衣、皮革、眼镜、化妆品以及工艺美术等行业。其中，化妆品和工艺美术为新纳入扶持领域的产业。</w:t>
      </w:r>
    </w:p>
    <w:p>
      <w:pPr>
        <w:snapToGrid w:val="0"/>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b/>
          <w:sz w:val="32"/>
          <w:szCs w:val="20"/>
        </w:rPr>
        <w:t>2.点面结合，优化扶持计划的各资助方向。</w:t>
      </w:r>
    </w:p>
    <w:p>
      <w:pPr>
        <w:snapToGrid w:val="0"/>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《操作规程》以“点面结合”的方式，落实行动计划要求，合理设定扶持资助方向。</w:t>
      </w:r>
      <w:r>
        <w:rPr>
          <w:rFonts w:hint="eastAsia" w:ascii="仿宋_GB2312" w:hAnsi="仿宋_GB2312" w:eastAsia="仿宋_GB2312" w:cs="仿宋_GB2312"/>
          <w:b/>
          <w:sz w:val="32"/>
          <w:szCs w:val="20"/>
        </w:rPr>
        <w:t>一是重点项目方面，新增了“关键技术与核心零部件攻关项目”。</w:t>
      </w:r>
      <w:r>
        <w:rPr>
          <w:rFonts w:hint="eastAsia" w:ascii="仿宋_GB2312" w:hAnsi="仿宋_GB2312" w:eastAsia="仿宋_GB2312" w:cs="仿宋_GB2312"/>
          <w:sz w:val="32"/>
          <w:szCs w:val="20"/>
        </w:rPr>
        <w:t>主要针对我市时尚产业领域仍存在的“缺芯少核”的问题，支持企业围绕精密制造、核心材料、核心零部件、关键工艺、关键技术研发、传统工艺继承与创新等方向实施攻关</w:t>
      </w:r>
      <w:r>
        <w:rPr>
          <w:rFonts w:hint="eastAsia" w:ascii="仿宋_GB2312" w:hAnsi="仿宋_GB2312" w:eastAsia="仿宋_GB2312" w:cs="仿宋_GB2312"/>
          <w:color w:val="000000"/>
          <w:sz w:val="32"/>
          <w:szCs w:val="20"/>
        </w:rPr>
        <w:t>；</w:t>
      </w:r>
      <w:r>
        <w:rPr>
          <w:rFonts w:hint="eastAsia" w:ascii="仿宋_GB2312" w:hAnsi="仿宋_GB2312" w:eastAsia="仿宋_GB2312" w:cs="仿宋_GB2312"/>
          <w:b/>
          <w:color w:val="000000"/>
          <w:sz w:val="32"/>
          <w:szCs w:val="20"/>
        </w:rPr>
        <w:t>二是保障政策的受惠面，对大量企业关注的竞争力提升应用创新项目，降低门槛，优化扶持内容。</w:t>
      </w:r>
      <w:r>
        <w:rPr>
          <w:rFonts w:hint="eastAsia" w:ascii="仿宋_GB2312" w:hAnsi="仿宋_GB2312" w:eastAsia="仿宋_GB2312" w:cs="仿宋_GB2312"/>
          <w:color w:val="000000"/>
          <w:sz w:val="32"/>
          <w:szCs w:val="20"/>
        </w:rPr>
        <w:t>对项目的重点支持方式进行了详细的描述，体现政策引导作用。</w:t>
      </w:r>
      <w:r>
        <w:rPr>
          <w:rFonts w:hint="eastAsia" w:ascii="仿宋_GB2312" w:hAnsi="仿宋_GB2312" w:eastAsia="仿宋_GB2312" w:cs="仿宋_GB2312"/>
          <w:b/>
          <w:color w:val="000000"/>
          <w:sz w:val="32"/>
          <w:szCs w:val="20"/>
        </w:rPr>
        <w:t>三是</w:t>
      </w:r>
      <w:r>
        <w:rPr>
          <w:rFonts w:hint="eastAsia" w:ascii="仿宋_GB2312" w:hAnsi="仿宋_GB2312" w:eastAsia="仿宋_GB2312" w:cs="仿宋_GB2312"/>
          <w:b/>
          <w:sz w:val="32"/>
          <w:szCs w:val="20"/>
        </w:rPr>
        <w:t>行业重大活动、产业支撑平台等项目更加聚焦，注重国际影响力、行业公共性等前瞻发展方向。</w:t>
      </w:r>
    </w:p>
    <w:p>
      <w:pPr>
        <w:snapToGrid w:val="0"/>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b/>
          <w:sz w:val="32"/>
          <w:szCs w:val="20"/>
        </w:rPr>
        <w:t>3.创新优化评审方式。</w:t>
      </w:r>
    </w:p>
    <w:p>
      <w:pPr>
        <w:snapToGrid w:val="0"/>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b/>
          <w:sz w:val="32"/>
          <w:szCs w:val="20"/>
        </w:rPr>
        <w:t>一是</w:t>
      </w:r>
      <w:r>
        <w:rPr>
          <w:rFonts w:hint="eastAsia" w:ascii="仿宋_GB2312" w:hAnsi="仿宋_GB2312" w:eastAsia="仿宋_GB2312" w:cs="仿宋_GB2312"/>
          <w:sz w:val="32"/>
          <w:szCs w:val="20"/>
        </w:rPr>
        <w:t>对重大项目，支持比例高（资助比例50%）的项目，拟按照专家现场评审、现场答辩和现场核定三结合的方式开展专家评价，并结合专项审计保证项目的真实性、质量和效益。</w:t>
      </w:r>
      <w:r>
        <w:rPr>
          <w:rFonts w:hint="eastAsia" w:ascii="仿宋_GB2312" w:hAnsi="仿宋_GB2312" w:eastAsia="仿宋_GB2312" w:cs="仿宋_GB2312"/>
          <w:b/>
          <w:sz w:val="32"/>
          <w:szCs w:val="20"/>
        </w:rPr>
        <w:t>二是</w:t>
      </w:r>
      <w:r>
        <w:rPr>
          <w:rFonts w:hint="eastAsia" w:ascii="仿宋_GB2312" w:hAnsi="仿宋_GB2312" w:eastAsia="仿宋_GB2312" w:cs="仿宋_GB2312"/>
          <w:sz w:val="32"/>
          <w:szCs w:val="20"/>
        </w:rPr>
        <w:t>对支持比例较低，政策覆盖面广的项目，进一步简化流程，专家评审环节拟采用面对面答辩和新媒体材料佐证等方式，在便利企业的同时，保障项目评审效果。</w:t>
      </w:r>
    </w:p>
    <w:p>
      <w:pPr>
        <w:snapToGrid w:val="0"/>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b/>
          <w:sz w:val="32"/>
          <w:szCs w:val="20"/>
        </w:rPr>
        <w:t>4．科学设置申报条件。</w:t>
      </w:r>
    </w:p>
    <w:p>
      <w:pPr>
        <w:pStyle w:val="5"/>
        <w:ind w:firstLine="0" w:firstLineChars="0"/>
        <w:rPr>
          <w:rFonts w:hint="eastAsia"/>
        </w:rPr>
      </w:pPr>
      <w:r>
        <w:rPr>
          <w:rFonts w:hint="eastAsia"/>
          <w:szCs w:val="20"/>
        </w:rPr>
        <w:t>以科学性为原则，直接抓取企业一手数据，以企业问卷调查的数据分析结果为依据，合理制定项目申报条件，保证产业政策的导向性和针对性和企业申报项目的合理权益。</w:t>
      </w:r>
    </w:p>
    <w:p>
      <w:pPr>
        <w:pStyle w:val="5"/>
        <w:ind w:firstLine="640"/>
        <w:rPr>
          <w:rFonts w:hint="eastAsia"/>
        </w:rPr>
      </w:pPr>
    </w:p>
    <w:p>
      <w:pPr>
        <w:pStyle w:val="5"/>
        <w:ind w:firstLine="640"/>
      </w:pPr>
    </w:p>
    <w:p/>
    <w:sectPr>
      <w:pgSz w:w="11906" w:h="16838"/>
      <w:pgMar w:top="1985" w:right="1418" w:bottom="1418" w:left="1418" w:header="851" w:footer="992" w:gutter="0"/>
      <w:pgNumType w:fmt="numberInDash"/>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5020B9"/>
    <w:rsid w:val="145020B9"/>
    <w:rsid w:val="76043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Subtitle"/>
    <w:basedOn w:val="1"/>
    <w:next w:val="1"/>
    <w:qFormat/>
    <w:uiPriority w:val="11"/>
    <w:pPr>
      <w:spacing w:before="240" w:after="60" w:line="312" w:lineRule="auto"/>
      <w:jc w:val="center"/>
      <w:outlineLvl w:val="1"/>
    </w:pPr>
    <w:rPr>
      <w:rFonts w:ascii="Cambria" w:hAnsi="Cambria" w:eastAsia="宋体" w:cs="Times New Roman"/>
      <w:b/>
      <w:bCs/>
      <w:kern w:val="28"/>
      <w:sz w:val="32"/>
      <w:szCs w:val="32"/>
    </w:rPr>
  </w:style>
  <w:style w:type="paragraph" w:customStyle="1" w:styleId="5">
    <w:name w:val="文件正文"/>
    <w:basedOn w:val="2"/>
    <w:qFormat/>
    <w:uiPriority w:val="0"/>
    <w:pPr>
      <w:spacing w:before="0" w:after="0" w:line="560" w:lineRule="exact"/>
      <w:ind w:firstLine="622" w:firstLineChars="200"/>
      <w:jc w:val="both"/>
      <w:outlineLvl w:val="9"/>
    </w:pPr>
    <w:rPr>
      <w:rFonts w:ascii="仿宋_GB2312" w:hAnsi="仿宋_GB2312" w:eastAsia="仿宋_GB2312" w:cs="仿宋_GB2312"/>
      <w:b w:val="0"/>
      <w:bCs w:val="0"/>
      <w:kern w:val="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2020-07-14T07:21:00Z</dcterms:created>
  <dc:creator>好饭友</dc:creator>
  <cp:lastModifiedBy>wpp</cp:lastModifiedBy>
  <dcterms:modified xsi:type="dcterms:W3CDTF">2021-09-06T12:18:49Z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A489FE40684E4BB8A349391CB9F942CB</vt:lpwstr>
  </property>
</Properties>
</file>