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ind w:left="560"/>
        <w:rPr>
          <w:rFonts w:ascii="Times New Roman Regular" w:hAnsi="Times New Roman Regular" w:cs="Times New Roman Regular"/>
          <w:color w:val="181717" w:themeColor="background2" w:themeShade="1A"/>
        </w:rPr>
      </w:pPr>
    </w:p>
    <w:p>
      <w:pPr>
        <w:ind w:left="560" w:firstLine="800"/>
        <w:jc w:val="center"/>
        <w:rPr>
          <w:rFonts w:ascii="Times New Roman Regular" w:hAnsi="Times New Roman Regular" w:eastAsia="宋体-简" w:cs="Times New Roman Regular"/>
          <w:color w:val="181717" w:themeColor="background2" w:themeShade="1A"/>
          <w:sz w:val="40"/>
          <w:szCs w:val="40"/>
        </w:rPr>
      </w:pPr>
    </w:p>
    <w:p>
      <w:pPr>
        <w:ind w:left="560" w:firstLine="720"/>
        <w:jc w:val="center"/>
        <w:rPr>
          <w:rFonts w:ascii="Times New Roman Regular" w:hAnsi="Times New Roman Regular" w:eastAsia="黑体-简" w:cs="Times New Roman Regular"/>
          <w:color w:val="181717" w:themeColor="background2" w:themeShade="1A"/>
          <w:sz w:val="36"/>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Times New Roman Regular" w:hAnsi="Times New Roman Regular" w:eastAsia="方正小标宋简体" w:cs="Times New Roman Regular"/>
          <w:color w:val="181717" w:themeColor="background2" w:themeShade="1A"/>
          <w:sz w:val="44"/>
          <w:szCs w:val="44"/>
        </w:rPr>
      </w:pPr>
      <w:r>
        <w:rPr>
          <w:rFonts w:hint="eastAsia" w:ascii="Times New Roman Regular" w:hAnsi="Times New Roman Regular" w:eastAsia="方正小标宋简体" w:cs="Times New Roman Regular"/>
          <w:color w:val="181717" w:themeColor="background2" w:themeShade="1A"/>
          <w:sz w:val="44"/>
          <w:szCs w:val="44"/>
          <w:lang w:eastAsia="zh-CN"/>
        </w:rPr>
        <w:t>社区矫正、安帮经费</w:t>
      </w:r>
      <w:r>
        <w:rPr>
          <w:rFonts w:ascii="Times New Roman Regular" w:hAnsi="Times New Roman Regular" w:eastAsia="方正小标宋简体" w:cs="Times New Roman Regular"/>
          <w:color w:val="181717" w:themeColor="background2" w:themeShade="1A"/>
          <w:sz w:val="44"/>
          <w:szCs w:val="44"/>
        </w:rPr>
        <w:t>项目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Times New Roman Regular" w:hAnsi="Times New Roman Regular" w:eastAsia="方正小标宋简体" w:cs="Times New Roman Regular"/>
          <w:color w:val="181717" w:themeColor="background2" w:themeShade="1A"/>
          <w:sz w:val="44"/>
          <w:szCs w:val="44"/>
        </w:rPr>
      </w:pPr>
      <w:r>
        <w:rPr>
          <w:rFonts w:ascii="Times New Roman Regular" w:hAnsi="Times New Roman Regular" w:eastAsia="方正小标宋简体" w:cs="Times New Roman Regular"/>
          <w:color w:val="181717" w:themeColor="background2" w:themeShade="1A"/>
          <w:sz w:val="44"/>
          <w:szCs w:val="44"/>
        </w:rPr>
        <w:t>绩效评价报告</w:t>
      </w:r>
    </w:p>
    <w:p>
      <w:pPr>
        <w:ind w:left="560"/>
        <w:rPr>
          <w:rFonts w:ascii="Times New Roman Regular" w:hAnsi="Times New Roman Regular" w:cs="Times New Roman Regular"/>
          <w:color w:val="181717" w:themeColor="background2" w:themeShade="1A"/>
        </w:rPr>
      </w:pPr>
    </w:p>
    <w:p>
      <w:pPr>
        <w:pStyle w:val="40"/>
        <w:ind w:left="560"/>
        <w:rPr>
          <w:rFonts w:hint="eastAsia" w:ascii="Times New Roman Regular" w:hAnsi="Times New Roman Regular" w:eastAsia="仿宋_GB2312" w:cs="Times New Roman Regular"/>
          <w:color w:val="181717" w:themeColor="background2" w:themeShade="1A"/>
          <w:lang w:eastAsia="zh-CN"/>
        </w:rPr>
      </w:pPr>
    </w:p>
    <w:p>
      <w:pPr>
        <w:pStyle w:val="40"/>
        <w:ind w:left="560"/>
        <w:rPr>
          <w:rFonts w:hint="eastAsia" w:ascii="Times New Roman Regular" w:hAnsi="Times New Roman Regular" w:eastAsia="仿宋_GB2312" w:cs="Times New Roman Regular"/>
          <w:color w:val="181717" w:themeColor="background2" w:themeShade="1A"/>
          <w:lang w:eastAsia="zh-CN"/>
        </w:rPr>
      </w:pPr>
    </w:p>
    <w:p>
      <w:pPr>
        <w:spacing w:line="360" w:lineRule="auto"/>
        <w:ind w:firstLine="1600" w:firstLineChars="500"/>
        <w:rPr>
          <w:rFonts w:ascii="Times New Roman Regular" w:hAnsi="Times New Roman Regular" w:cs="Times New Roman Regular"/>
          <w:color w:val="181717" w:themeColor="background2" w:themeShade="1A"/>
          <w:szCs w:val="32"/>
          <w:lang w:bidi="ar"/>
        </w:rPr>
      </w:pPr>
    </w:p>
    <w:p>
      <w:pPr>
        <w:spacing w:line="360" w:lineRule="auto"/>
        <w:ind w:firstLine="1132" w:firstLineChars="354"/>
        <w:rPr>
          <w:rFonts w:hint="eastAsia" w:ascii="Times New Roman Regular" w:hAnsi="Times New Roman Regular" w:eastAsia="仿宋_GB2312" w:cs="Times New Roman Regular"/>
          <w:color w:val="181717" w:themeColor="background2" w:themeShade="1A"/>
          <w:szCs w:val="32"/>
          <w:lang w:eastAsia="zh-CN" w:bidi="ar"/>
        </w:rPr>
      </w:pPr>
      <w:r>
        <w:rPr>
          <w:rFonts w:ascii="Times New Roman Regular" w:hAnsi="Times New Roman Regular" w:cs="Times New Roman Regular"/>
          <w:color w:val="181717" w:themeColor="background2" w:themeShade="1A"/>
          <w:szCs w:val="32"/>
          <w:lang w:bidi="ar"/>
        </w:rPr>
        <w:t>项目名称：</w:t>
      </w:r>
      <w:r>
        <w:rPr>
          <w:rFonts w:hint="eastAsia" w:ascii="Times New Roman Regular" w:hAnsi="Times New Roman Regular" w:cs="Times New Roman Regular"/>
          <w:color w:val="181717" w:themeColor="background2" w:themeShade="1A"/>
          <w:szCs w:val="32"/>
          <w:lang w:eastAsia="zh-CN" w:bidi="ar"/>
        </w:rPr>
        <w:t>社区矫正、安帮经费</w:t>
      </w:r>
    </w:p>
    <w:p>
      <w:pPr>
        <w:spacing w:line="360" w:lineRule="auto"/>
        <w:ind w:firstLine="1132" w:firstLineChars="354"/>
        <w:rPr>
          <w:rFonts w:hint="eastAsia" w:ascii="Times New Roman Regular" w:hAnsi="Times New Roman Regular" w:cs="Times New Roman Regular"/>
          <w:color w:val="181717" w:themeColor="background2" w:themeShade="1A"/>
          <w:szCs w:val="32"/>
          <w:lang w:eastAsia="zh-CN" w:bidi="ar"/>
        </w:rPr>
      </w:pPr>
      <w:r>
        <w:rPr>
          <w:rFonts w:ascii="Times New Roman Regular" w:hAnsi="Times New Roman Regular" w:cs="Times New Roman Regular"/>
          <w:color w:val="181717" w:themeColor="background2" w:themeShade="1A"/>
          <w:szCs w:val="32"/>
          <w:lang w:bidi="ar"/>
        </w:rPr>
        <w:t>主管部门（公章）：</w:t>
      </w:r>
      <w:r>
        <w:rPr>
          <w:rFonts w:ascii="Times New Roman Regular" w:hAnsi="Times New Roman Regular" w:cs="Times New Roman Regular"/>
          <w:color w:val="181717" w:themeColor="background2" w:themeShade="1A"/>
          <w:szCs w:val="32"/>
          <w:lang w:eastAsia="zh-Hans" w:bidi="ar"/>
        </w:rPr>
        <w:t>深圳市</w:t>
      </w:r>
      <w:r>
        <w:rPr>
          <w:rFonts w:hint="eastAsia" w:ascii="Times New Roman Regular" w:hAnsi="Times New Roman Regular" w:cs="Times New Roman Regular"/>
          <w:color w:val="181717" w:themeColor="background2" w:themeShade="1A"/>
          <w:szCs w:val="32"/>
          <w:lang w:eastAsia="zh-CN" w:bidi="ar"/>
        </w:rPr>
        <w:t>司法局</w:t>
      </w:r>
    </w:p>
    <w:p>
      <w:pPr>
        <w:spacing w:line="360" w:lineRule="auto"/>
        <w:ind w:firstLine="1132" w:firstLineChars="354"/>
        <w:rPr>
          <w:rFonts w:hint="eastAsia" w:ascii="Times New Roman Regular" w:hAnsi="Times New Roman Regular" w:eastAsia="仿宋_GB2312" w:cs="Times New Roman Regular"/>
          <w:color w:val="181717" w:themeColor="background2" w:themeShade="1A"/>
          <w:szCs w:val="32"/>
          <w:lang w:val="en-US" w:eastAsia="zh-CN" w:bidi="ar"/>
        </w:rPr>
      </w:pPr>
      <w:r>
        <w:rPr>
          <w:rFonts w:hint="eastAsia" w:ascii="Times New Roman Regular" w:hAnsi="Times New Roman Regular" w:cs="Times New Roman Regular"/>
          <w:color w:val="181717" w:themeColor="background2" w:themeShade="1A"/>
          <w:szCs w:val="32"/>
          <w:lang w:bidi="ar"/>
        </w:rPr>
        <w:t>项目负责人：</w:t>
      </w:r>
      <w:r>
        <w:rPr>
          <w:rFonts w:hint="eastAsia" w:ascii="Times New Roman Regular" w:hAnsi="Times New Roman Regular" w:cs="Times New Roman Regular"/>
          <w:color w:val="181717" w:themeColor="background2" w:themeShade="1A"/>
          <w:szCs w:val="32"/>
          <w:lang w:val="en-US" w:eastAsia="zh-CN" w:bidi="ar"/>
        </w:rPr>
        <w:t>邹天强</w:t>
      </w:r>
    </w:p>
    <w:p>
      <w:pPr>
        <w:spacing w:line="360" w:lineRule="auto"/>
        <w:ind w:firstLine="1132" w:firstLineChars="354"/>
        <w:rPr>
          <w:rFonts w:hint="eastAsia" w:ascii="Times New Roman Regular" w:hAnsi="Times New Roman Regular" w:eastAsia="仿宋_GB2312" w:cs="Times New Roman Regular"/>
          <w:color w:val="181717" w:themeColor="background2" w:themeShade="1A"/>
          <w:szCs w:val="32"/>
          <w:lang w:val="en-US" w:eastAsia="zh-CN" w:bidi="ar"/>
        </w:rPr>
      </w:pPr>
      <w:r>
        <w:rPr>
          <w:rFonts w:hint="eastAsia" w:ascii="Times New Roman Regular" w:hAnsi="Times New Roman Regular" w:cs="Times New Roman Regular"/>
          <w:color w:val="181717" w:themeColor="background2" w:themeShade="1A"/>
          <w:szCs w:val="32"/>
          <w:lang w:bidi="ar"/>
        </w:rPr>
        <w:t>填报人：</w:t>
      </w:r>
      <w:r>
        <w:rPr>
          <w:rFonts w:hint="eastAsia" w:ascii="Times New Roman Regular" w:hAnsi="Times New Roman Regular" w:cs="Times New Roman Regular"/>
          <w:color w:val="181717" w:themeColor="background2" w:themeShade="1A"/>
          <w:szCs w:val="32"/>
          <w:lang w:val="en-US" w:eastAsia="zh-CN" w:bidi="ar"/>
        </w:rPr>
        <w:t>师健</w:t>
      </w:r>
    </w:p>
    <w:p>
      <w:pPr>
        <w:spacing w:line="360" w:lineRule="auto"/>
        <w:ind w:firstLine="1132" w:firstLineChars="354"/>
        <w:rPr>
          <w:rFonts w:hint="default" w:ascii="Times New Roman Regular" w:hAnsi="Times New Roman Regular" w:eastAsia="仿宋_GB2312" w:cs="Times New Roman Regular"/>
          <w:color w:val="181717" w:themeColor="background2" w:themeShade="1A"/>
          <w:szCs w:val="32"/>
          <w:lang w:val="en-US" w:eastAsia="zh-CN" w:bidi="ar"/>
        </w:rPr>
      </w:pPr>
      <w:r>
        <w:rPr>
          <w:rFonts w:hint="eastAsia" w:ascii="Times New Roman Regular" w:hAnsi="Times New Roman Regular" w:cs="Times New Roman Regular"/>
          <w:color w:val="181717" w:themeColor="background2" w:themeShade="1A"/>
          <w:szCs w:val="32"/>
          <w:lang w:bidi="ar"/>
        </w:rPr>
        <w:t>联系电话：</w:t>
      </w:r>
      <w:r>
        <w:rPr>
          <w:rFonts w:hint="eastAsia" w:ascii="Times New Roman Regular" w:hAnsi="Times New Roman Regular" w:cs="Times New Roman Regular"/>
          <w:color w:val="181717" w:themeColor="background2" w:themeShade="1A"/>
          <w:szCs w:val="32"/>
          <w:lang w:val="en-US" w:eastAsia="zh-CN" w:bidi="ar"/>
        </w:rPr>
        <w:t>0755-83053813</w:t>
      </w:r>
      <w:bookmarkStart w:id="66" w:name="_GoBack"/>
      <w:bookmarkEnd w:id="66"/>
    </w:p>
    <w:p>
      <w:pPr>
        <w:rPr>
          <w:rFonts w:hint="eastAsia"/>
          <w:lang w:eastAsia="zh-CN"/>
        </w:rPr>
      </w:pPr>
    </w:p>
    <w:p>
      <w:pPr>
        <w:pStyle w:val="2"/>
        <w:rPr>
          <w:rFonts w:hint="eastAsia"/>
          <w:lang w:eastAsia="zh-CN"/>
        </w:rPr>
        <w:sectPr>
          <w:headerReference r:id="rId5" w:type="default"/>
          <w:footerReference r:id="rId6" w:type="default"/>
          <w:pgSz w:w="11906" w:h="16838"/>
          <w:pgMar w:top="2098" w:right="1474" w:bottom="1985" w:left="1588" w:header="851" w:footer="992" w:gutter="0"/>
          <w:pgNumType w:fmt="numberInDash" w:start="1"/>
          <w:cols w:space="425" w:num="1"/>
          <w:docGrid w:type="lines" w:linePitch="435" w:charSpace="0"/>
        </w:sectPr>
      </w:pPr>
    </w:p>
    <w:sdt>
      <w:sdtPr>
        <w:rPr>
          <w:rFonts w:hint="eastAsia" w:ascii="黑体" w:hAnsi="黑体" w:eastAsia="黑体" w:cs="黑体"/>
          <w:b/>
          <w:bCs/>
          <w:kern w:val="2"/>
          <w:sz w:val="32"/>
          <w:szCs w:val="32"/>
          <w:lang w:val="en-US" w:eastAsia="zh-CN" w:bidi="ar-SA"/>
        </w:rPr>
        <w:id w:val="147466356"/>
        <w15:color w:val="DBDBDB"/>
        <w:docPartObj>
          <w:docPartGallery w:val="Table of Contents"/>
          <w:docPartUnique/>
        </w:docPartObj>
      </w:sdtPr>
      <w:sdtEndPr>
        <w:rPr>
          <w:rFonts w:hint="eastAsia" w:ascii="宋体" w:hAnsi="Courier New" w:eastAsia="仿宋_GB2312" w:cs="仿宋_GB2312"/>
          <w:b/>
          <w:bCs/>
          <w:kern w:val="2"/>
          <w:sz w:val="32"/>
          <w:szCs w:val="22"/>
          <w:lang w:val="en-US" w:eastAsia="zh-CN" w:bidi="ar-SA"/>
        </w:rPr>
      </w:sdtEndPr>
      <w:sdtContent>
        <w:p>
          <w:pPr>
            <w:ind w:firstLine="643" w:firstLineChars="200"/>
            <w:jc w:val="center"/>
            <w:rPr>
              <w:rFonts w:hint="eastAsia" w:ascii="黑体" w:hAnsi="黑体" w:eastAsia="黑体" w:cs="黑体"/>
              <w:b/>
              <w:bCs/>
              <w:sz w:val="32"/>
              <w:szCs w:val="32"/>
            </w:rPr>
          </w:pPr>
          <w:r>
            <w:rPr>
              <w:rFonts w:hint="eastAsia" w:ascii="黑体" w:hAnsi="黑体" w:eastAsia="黑体" w:cs="黑体"/>
              <w:b/>
              <w:bCs/>
              <w:sz w:val="32"/>
              <w:szCs w:val="32"/>
            </w:rPr>
            <w:t>目录</w:t>
          </w:r>
        </w:p>
        <w:p>
          <w:pPr>
            <w:pStyle w:val="41"/>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fldChar w:fldCharType="begin"/>
          </w:r>
          <w:r>
            <w:instrText xml:space="preserve">TOC \o "1-2" \h \u </w:instrText>
          </w:r>
          <w:r>
            <w:fldChar w:fldCharType="separate"/>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_Toc15773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一、基本情况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_Toc15773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_Toc19097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（一）项目概况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_Toc19097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_Toc20477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zh-CN" w:eastAsia="zh-Hans"/>
            </w:rPr>
            <w:t>（二）项目绩效目标</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_Toc20477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- 6 -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1"/>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_Toc30907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二、绩效评价工作开展情况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_Toc30907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- 7 -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_Toc23023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（一）评价目的、对象和范围</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_Toc23023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- 8 -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_Toc20860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（二）评价原则及评价方法</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_Toc20860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- 8 -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_Toc20744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（三）评价过程</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_Toc20744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- 10 -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1"/>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_Toc14527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三、综合评价情况及评价结论</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_Toc14527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- 11 -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1"/>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_Toc17333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四、绩效评价指标分析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_Toc17333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- 13 -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_Toc15596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（一）项目决策情况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_Toc15596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- 13 -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_Toc8625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（二）项目</w:t>
          </w:r>
          <w:r>
            <w:rPr>
              <w:rFonts w:hint="eastAsia" w:ascii="仿宋_GB2312" w:hAnsi="仿宋_GB2312" w:eastAsia="仿宋_GB2312" w:cs="仿宋_GB2312"/>
              <w:b w:val="0"/>
              <w:bCs/>
              <w:sz w:val="32"/>
              <w:szCs w:val="32"/>
              <w:lang w:val="en-US" w:eastAsia="zh-CN"/>
            </w:rPr>
            <w:t>过程</w:t>
          </w:r>
          <w:r>
            <w:rPr>
              <w:rFonts w:hint="eastAsia" w:ascii="仿宋_GB2312" w:hAnsi="仿宋_GB2312" w:eastAsia="仿宋_GB2312" w:cs="仿宋_GB2312"/>
              <w:b w:val="0"/>
              <w:bCs/>
              <w:sz w:val="32"/>
              <w:szCs w:val="32"/>
              <w:lang w:eastAsia="zh-Hans"/>
            </w:rPr>
            <w:t>管理情况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_Toc8625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- 15 -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_Toc26135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（三）项目产出情况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_Toc26135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- 17 -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_Toc21744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（四）项目效益情况</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_Toc21744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- 18 -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1"/>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_Toc22456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五</w:t>
          </w:r>
          <w:r>
            <w:rPr>
              <w:rFonts w:hint="eastAsia" w:ascii="仿宋_GB2312" w:hAnsi="仿宋_GB2312" w:eastAsia="仿宋_GB2312" w:cs="仿宋_GB2312"/>
              <w:b w:val="0"/>
              <w:bCs/>
              <w:sz w:val="32"/>
              <w:szCs w:val="32"/>
            </w:rPr>
            <w:t>、主要经验</w:t>
          </w:r>
          <w:r>
            <w:rPr>
              <w:rFonts w:hint="eastAsia" w:ascii="仿宋_GB2312" w:hAnsi="仿宋_GB2312" w:eastAsia="仿宋_GB2312" w:cs="仿宋_GB2312"/>
              <w:b w:val="0"/>
              <w:bCs/>
              <w:sz w:val="32"/>
              <w:szCs w:val="32"/>
              <w:lang w:eastAsia="zh-Hans"/>
            </w:rPr>
            <w:t>及</w:t>
          </w:r>
          <w:r>
            <w:rPr>
              <w:rFonts w:hint="eastAsia" w:ascii="仿宋_GB2312" w:hAnsi="仿宋_GB2312" w:eastAsia="仿宋_GB2312" w:cs="仿宋_GB2312"/>
              <w:b w:val="0"/>
              <w:bCs/>
              <w:sz w:val="32"/>
              <w:szCs w:val="32"/>
            </w:rPr>
            <w:t>做法</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_Toc22456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- 19 -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_Toc5914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Hans"/>
            </w:rPr>
            <w:t>（一）</w:t>
          </w:r>
          <w:r>
            <w:rPr>
              <w:rFonts w:hint="eastAsia" w:ascii="仿宋_GB2312" w:hAnsi="仿宋_GB2312" w:eastAsia="仿宋_GB2312" w:cs="仿宋_GB2312"/>
              <w:b w:val="0"/>
              <w:bCs/>
              <w:sz w:val="32"/>
              <w:szCs w:val="32"/>
              <w:lang w:val="en-US" w:eastAsia="zh-CN"/>
            </w:rPr>
            <w:t>筑牢安全防线，确保监管安全平稳</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_Toc5914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- 19 -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_Toc8371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val="en-US" w:eastAsia="zh-CN"/>
            </w:rPr>
            <w:t>（二）抓好疫情防控，确保监管对象“零感染”</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_Toc8371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- 20 -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_Toc4058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（三）宣传贯彻社矫法，确保平稳有序过渡</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_Toc4058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- 20 -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_Toc13565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rPr>
            <w:t>）完善安帮体系建设，进一步提升帮教质量</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_Toc13565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- 21 -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1"/>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_Toc27263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六</w:t>
          </w:r>
          <w:r>
            <w:rPr>
              <w:rFonts w:hint="eastAsia" w:ascii="仿宋_GB2312" w:hAnsi="仿宋_GB2312" w:eastAsia="仿宋_GB2312" w:cs="仿宋_GB2312"/>
              <w:b w:val="0"/>
              <w:bCs/>
              <w:sz w:val="32"/>
              <w:szCs w:val="32"/>
            </w:rPr>
            <w:t>、存在问题及原因</w:t>
          </w:r>
          <w:r>
            <w:rPr>
              <w:rFonts w:hint="eastAsia" w:ascii="仿宋_GB2312" w:hAnsi="仿宋_GB2312" w:eastAsia="仿宋_GB2312" w:cs="仿宋_GB2312"/>
              <w:b w:val="0"/>
              <w:bCs/>
              <w:sz w:val="32"/>
              <w:szCs w:val="32"/>
              <w:lang w:eastAsia="zh-Hans"/>
            </w:rPr>
            <w:t>分析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_Toc27263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- 21 -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_Toc9514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rPr>
            <w:t>）绩效目标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指标的设置欠缺全面性</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_Toc9514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- 22 -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_Toc17858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系统升级改造工作尚未完成</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_Toc17858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- 22 -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_Toc2980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lang w:val="en-US" w:eastAsia="zh-CN"/>
            </w:rPr>
            <w:t>社矫项目</w:t>
          </w:r>
          <w:r>
            <w:rPr>
              <w:rFonts w:hint="eastAsia" w:ascii="仿宋_GB2312" w:hAnsi="仿宋_GB2312" w:eastAsia="仿宋_GB2312" w:cs="仿宋_GB2312"/>
              <w:b w:val="0"/>
              <w:bCs/>
              <w:sz w:val="32"/>
              <w:szCs w:val="32"/>
              <w:lang w:eastAsia="zh-Hans"/>
            </w:rPr>
            <w:t>尚存较多重难点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_Toc2980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- 23 -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1"/>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_Toc14002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七</w:t>
          </w:r>
          <w:r>
            <w:rPr>
              <w:rFonts w:hint="eastAsia" w:ascii="仿宋_GB2312" w:hAnsi="仿宋_GB2312" w:eastAsia="仿宋_GB2312" w:cs="仿宋_GB2312"/>
              <w:b w:val="0"/>
              <w:bCs/>
              <w:sz w:val="32"/>
              <w:szCs w:val="32"/>
            </w:rPr>
            <w:t>、改进建议</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_Toc14002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- 23 -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_Toc9307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eastAsia="zh-Hans"/>
            </w:rPr>
            <w:t>）</w:t>
          </w:r>
          <w:r>
            <w:rPr>
              <w:rFonts w:hint="eastAsia" w:ascii="仿宋_GB2312" w:hAnsi="仿宋_GB2312" w:eastAsia="仿宋_GB2312" w:cs="仿宋_GB2312"/>
              <w:b w:val="0"/>
              <w:bCs/>
              <w:sz w:val="32"/>
              <w:szCs w:val="32"/>
              <w:lang w:val="en-US" w:eastAsia="zh-CN"/>
            </w:rPr>
            <w:t>提高绩效目标编制水平</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_Toc9307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- 23 -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_Toc8214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确保业务平台按时上线运营</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_Toc8214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- 24 -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2"/>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_Toc27436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Hans"/>
            </w:rPr>
            <w:t>全面提升</w:t>
          </w:r>
          <w:r>
            <w:rPr>
              <w:rFonts w:hint="eastAsia" w:ascii="仿宋_GB2312" w:hAnsi="仿宋_GB2312" w:eastAsia="仿宋_GB2312" w:cs="仿宋_GB2312"/>
              <w:b w:val="0"/>
              <w:bCs/>
              <w:sz w:val="32"/>
              <w:szCs w:val="32"/>
              <w:lang w:eastAsia="zh-CN"/>
            </w:rPr>
            <w:t>社矫</w:t>
          </w:r>
          <w:r>
            <w:rPr>
              <w:rFonts w:hint="eastAsia" w:ascii="仿宋_GB2312" w:hAnsi="仿宋_GB2312" w:eastAsia="仿宋_GB2312" w:cs="仿宋_GB2312"/>
              <w:b w:val="0"/>
              <w:bCs/>
              <w:sz w:val="32"/>
              <w:szCs w:val="32"/>
              <w:lang w:eastAsia="zh-Hans"/>
            </w:rPr>
            <w:t>水平</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_Toc27436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- 24 -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41"/>
            <w:keepNext w:val="0"/>
            <w:keepLines w:val="0"/>
            <w:pageBreakBefore w:val="0"/>
            <w:widowControl/>
            <w:tabs>
              <w:tab w:val="right" w:leader="dot" w:pos="8844"/>
            </w:tabs>
            <w:kinsoku/>
            <w:wordWrap/>
            <w:overflowPunct/>
            <w:topLinePunct w:val="0"/>
            <w:autoSpaceDE/>
            <w:autoSpaceDN/>
            <w:bidi w:val="0"/>
            <w:adjustRightInd w:val="0"/>
            <w:snapToGrid w:val="0"/>
            <w:spacing w:line="240" w:lineRule="auto"/>
            <w:textAlignment w:val="auto"/>
            <w:rPr>
              <w:b/>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_Toc27079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color w:val="010A13" w:themeColor="hyperlink" w:themeShade="1A"/>
              <w:sz w:val="32"/>
              <w:szCs w:val="32"/>
              <w:lang w:val="en-US"/>
            </w:rPr>
            <w:t>附件</w:t>
          </w:r>
          <w:r>
            <w:rPr>
              <w:rFonts w:hint="eastAsia" w:ascii="仿宋_GB2312" w:hAnsi="仿宋_GB2312" w:eastAsia="仿宋_GB2312" w:cs="仿宋_GB2312"/>
              <w:b w:val="0"/>
              <w:bCs/>
              <w:color w:val="010A13" w:themeColor="hyperlink" w:themeShade="1A"/>
              <w:sz w:val="32"/>
              <w:szCs w:val="32"/>
              <w:lang w:val="en-US" w:eastAsia="zh-Hans"/>
            </w:rPr>
            <w:t>:</w:t>
          </w:r>
          <w:r>
            <w:rPr>
              <w:rFonts w:hint="eastAsia" w:ascii="仿宋_GB2312" w:hAnsi="仿宋_GB2312" w:eastAsia="仿宋_GB2312" w:cs="仿宋_GB2312"/>
              <w:b w:val="0"/>
              <w:bCs/>
              <w:color w:val="010A13" w:themeColor="hyperlink" w:themeShade="1A"/>
              <w:sz w:val="32"/>
              <w:szCs w:val="32"/>
              <w:lang w:val="en-US"/>
            </w:rPr>
            <w:t>绩效评价指标体系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_Toc27079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- 26 -</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2"/>
          </w:pPr>
          <w:r>
            <w:rPr>
              <w:b/>
            </w:rPr>
            <w:fldChar w:fldCharType="end"/>
          </w:r>
        </w:p>
      </w:sdtContent>
    </w:sdt>
    <w:p>
      <w:pPr>
        <w:bidi w:val="0"/>
        <w:rPr>
          <w:rFonts w:hint="eastAsia"/>
        </w:rPr>
        <w:sectPr>
          <w:footerReference r:id="rId7" w:type="default"/>
          <w:pgSz w:w="11906" w:h="16838"/>
          <w:pgMar w:top="2098" w:right="1474" w:bottom="1985" w:left="1588" w:header="851" w:footer="992" w:gutter="0"/>
          <w:pgNumType w:fmt="numberInDash" w:start="1"/>
          <w:cols w:space="425" w:num="1"/>
          <w:docGrid w:type="lines" w:linePitch="435" w:charSpace="0"/>
        </w:sectPr>
      </w:pPr>
    </w:p>
    <w:p>
      <w:pPr>
        <w:bidi w:val="0"/>
        <w:rPr>
          <w:rFonts w:hint="eastAsia"/>
        </w:rPr>
      </w:pPr>
      <w:r>
        <w:rPr>
          <w:rFonts w:hint="eastAsia"/>
        </w:rPr>
        <w:t>为贯彻《中共中央 国务院关于全面实施预算绩效管理</w:t>
      </w:r>
      <w:bookmarkStart w:id="0" w:name="_Toc1985545112_WPSOffice_Level2"/>
      <w:r>
        <w:rPr>
          <w:rFonts w:hint="eastAsia"/>
        </w:rPr>
        <w:t>的意见》（中发〔2</w:t>
      </w:r>
      <w:bookmarkEnd w:id="0"/>
      <w:r>
        <w:rPr>
          <w:rFonts w:hint="eastAsia"/>
        </w:rPr>
        <w:t>018〕34号）</w:t>
      </w:r>
      <w:r>
        <w:rPr>
          <w:rFonts w:hint="eastAsia"/>
          <w:lang w:eastAsia="zh-CN"/>
        </w:rPr>
        <w:t>、</w:t>
      </w:r>
      <w:r>
        <w:rPr>
          <w:rFonts w:hint="eastAsia"/>
        </w:rPr>
        <w:t>《财政部关于印发＜项目支出绩效评价管理办法＞的通知》（财预〔2020〕10号）</w:t>
      </w:r>
      <w:r>
        <w:rPr>
          <w:rFonts w:hint="eastAsia"/>
          <w:lang w:val="en-US" w:eastAsia="zh-CN"/>
        </w:rPr>
        <w:t>及</w:t>
      </w:r>
      <w:r>
        <w:rPr>
          <w:rFonts w:hint="eastAsia"/>
        </w:rPr>
        <w:t>《深圳市财政局关于做好市本级2021年预算绩效管理工作的通知》（深财绩〔2021〕1号）等文件精神，落实预算管理和绩效主体责任，提高财政资金使用效益，</w:t>
      </w:r>
      <w:r>
        <w:rPr>
          <w:rFonts w:hint="eastAsia"/>
          <w:lang w:eastAsia="zh-Hans"/>
        </w:rPr>
        <w:t>深圳市</w:t>
      </w:r>
      <w:bookmarkStart w:id="1" w:name="_Toc1445831829_WPSOffice_Level2"/>
      <w:r>
        <w:rPr>
          <w:rFonts w:hint="eastAsia"/>
          <w:lang w:eastAsia="zh-CN"/>
        </w:rPr>
        <w:t>司法局</w:t>
      </w:r>
      <w:r>
        <w:rPr>
          <w:rFonts w:hint="eastAsia"/>
        </w:rPr>
        <w:t>（以下简称“</w:t>
      </w:r>
      <w:r>
        <w:rPr>
          <w:rFonts w:hint="eastAsia"/>
          <w:lang w:eastAsia="zh-Hans"/>
        </w:rPr>
        <w:t>我局</w:t>
      </w:r>
      <w:bookmarkEnd w:id="1"/>
      <w:r>
        <w:rPr>
          <w:rFonts w:hint="eastAsia"/>
        </w:rPr>
        <w:t>”）组建绩效评价组（</w:t>
      </w:r>
      <w:r>
        <w:rPr>
          <w:rFonts w:hint="eastAsia"/>
          <w:lang w:eastAsia="zh-Hans"/>
        </w:rPr>
        <w:t>以下简称“评价组”</w:t>
      </w:r>
      <w:r>
        <w:rPr>
          <w:rFonts w:hint="eastAsia"/>
        </w:rPr>
        <w:t>）对</w:t>
      </w:r>
      <w:r>
        <w:rPr>
          <w:rFonts w:hint="eastAsia"/>
          <w:lang w:eastAsia="zh-Hans"/>
        </w:rPr>
        <w:t>社区矫正、安帮经费项目（以下简称“</w:t>
      </w:r>
      <w:r>
        <w:rPr>
          <w:rFonts w:hint="eastAsia"/>
          <w:lang w:val="en-US" w:eastAsia="zh-CN"/>
        </w:rPr>
        <w:t>社矫</w:t>
      </w:r>
      <w:r>
        <w:rPr>
          <w:rFonts w:hint="eastAsia"/>
          <w:lang w:eastAsia="zh-Hans"/>
        </w:rPr>
        <w:t>项目”）</w:t>
      </w:r>
      <w:r>
        <w:rPr>
          <w:rFonts w:hint="eastAsia"/>
        </w:rPr>
        <w:t>的财政资金使用及其效果实施绩效评价，涉及财政预算资金</w:t>
      </w:r>
      <w:r>
        <w:rPr>
          <w:rFonts w:hint="eastAsia"/>
          <w:lang w:val="en-US" w:eastAsia="zh-CN"/>
        </w:rPr>
        <w:t>92</w:t>
      </w:r>
      <w:r>
        <w:rPr>
          <w:rFonts w:hint="eastAsia"/>
          <w:lang w:eastAsia="zh-Hans"/>
        </w:rPr>
        <w:t>万元。</w:t>
      </w:r>
      <w:r>
        <w:rPr>
          <w:rFonts w:hint="eastAsia"/>
        </w:rPr>
        <w:t>具体情况报告如下：</w:t>
      </w:r>
    </w:p>
    <w:p>
      <w:pPr>
        <w:pStyle w:val="3"/>
        <w:numPr>
          <w:ilvl w:val="0"/>
          <w:numId w:val="0"/>
        </w:numPr>
        <w:bidi w:val="0"/>
        <w:ind w:leftChars="200"/>
      </w:pPr>
      <w:bookmarkStart w:id="2" w:name="_Toc970058705"/>
      <w:bookmarkStart w:id="3" w:name="_Toc15773"/>
      <w:r>
        <w:t>一、基本情况</w:t>
      </w:r>
      <w:bookmarkEnd w:id="2"/>
      <w:bookmarkEnd w:id="3"/>
    </w:p>
    <w:p>
      <w:pPr>
        <w:pStyle w:val="5"/>
        <w:numPr>
          <w:ilvl w:val="0"/>
          <w:numId w:val="0"/>
        </w:numPr>
        <w:bidi w:val="0"/>
        <w:ind w:leftChars="200"/>
      </w:pPr>
      <w:bookmarkStart w:id="4" w:name="_Toc19097"/>
      <w:bookmarkStart w:id="5" w:name="_Toc1395701722"/>
      <w:r>
        <w:rPr>
          <w:lang w:eastAsia="zh-Hans"/>
        </w:rPr>
        <w:t>（一）项目概况</w:t>
      </w:r>
      <w:bookmarkEnd w:id="4"/>
    </w:p>
    <w:p>
      <w:pPr>
        <w:pStyle w:val="6"/>
        <w:bidi w:val="0"/>
        <w:rPr>
          <w:rFonts w:hint="eastAsia"/>
        </w:rPr>
      </w:pPr>
      <w:r>
        <w:rPr>
          <w:rFonts w:hint="eastAsia"/>
        </w:rPr>
        <w:t>1</w:t>
      </w:r>
      <w:r>
        <w:rPr>
          <w:rFonts w:hint="eastAsia"/>
          <w:lang w:eastAsia="zh-Hans"/>
        </w:rPr>
        <w:t>.</w:t>
      </w:r>
      <w:r>
        <w:rPr>
          <w:rFonts w:hint="eastAsia"/>
        </w:rPr>
        <w:t>项目背景</w:t>
      </w:r>
    </w:p>
    <w:p>
      <w:pPr>
        <w:bidi w:val="0"/>
        <w:rPr>
          <w:rFonts w:hint="eastAsia"/>
          <w:lang w:val="en-US" w:eastAsia="zh-Hans"/>
        </w:rPr>
      </w:pPr>
      <w:r>
        <w:rPr>
          <w:rFonts w:hint="eastAsia"/>
          <w:lang w:val="en-US" w:eastAsia="zh-Hans"/>
        </w:rPr>
        <w:t>社区矫正是指针对被判处管制、宣告缓刑、裁定假释、暂予监外执行这四类犯罪行为较轻的对象所实施的非监禁性矫正刑罚。是与监禁矫正相对的行刑方式，将符合社区矫正条件的罪犯置于社区内，由专门的国家机关，在相关社会团体和民间组织以及社会志愿者的协助下，在判决、裁定或决定确定的期限内，矫正其犯罪心理和行为恶习，并促进其顺利回归社会的非监禁刑罚执行活动。</w:t>
      </w:r>
    </w:p>
    <w:p>
      <w:pPr>
        <w:bidi w:val="0"/>
        <w:rPr>
          <w:rFonts w:hint="eastAsia"/>
          <w:lang w:val="en-US" w:eastAsia="zh-CN"/>
        </w:rPr>
      </w:pPr>
      <w:r>
        <w:rPr>
          <w:rFonts w:hint="eastAsia"/>
          <w:lang w:val="en-US" w:eastAsia="zh-CN"/>
        </w:rPr>
        <w:t>《中华人民共和国社区矫</w:t>
      </w:r>
      <w:r>
        <w:rPr>
          <w:rFonts w:hint="eastAsia"/>
          <w:lang w:val="zh-CN" w:eastAsia="zh-CN"/>
        </w:rPr>
        <w:t>正法》（</w:t>
      </w:r>
      <w:r>
        <w:rPr>
          <w:rFonts w:hint="eastAsia"/>
          <w:lang w:val="en-US" w:eastAsia="zh-Hans"/>
        </w:rPr>
        <w:t>以下简称《</w:t>
      </w:r>
      <w:r>
        <w:rPr>
          <w:rFonts w:hint="eastAsia"/>
          <w:lang w:val="en-US" w:eastAsia="zh-CN"/>
        </w:rPr>
        <w:t>社区矫正法</w:t>
      </w:r>
      <w:r>
        <w:rPr>
          <w:rFonts w:hint="eastAsia"/>
          <w:lang w:val="zh-CN" w:eastAsia="zh-CN"/>
        </w:rPr>
        <w:t>》）</w:t>
      </w:r>
      <w:r>
        <w:rPr>
          <w:rFonts w:hint="eastAsia"/>
          <w:lang w:val="en-US" w:eastAsia="zh-CN"/>
        </w:rPr>
        <w:t>于2020年7月1日实施，</w:t>
      </w:r>
      <w:r>
        <w:rPr>
          <w:rFonts w:hint="eastAsia"/>
          <w:lang w:val="en-US" w:eastAsia="zh-Hans"/>
        </w:rPr>
        <w:t>根据《</w:t>
      </w:r>
      <w:r>
        <w:rPr>
          <w:rFonts w:hint="eastAsia"/>
          <w:lang w:val="en-US" w:eastAsia="zh-CN"/>
        </w:rPr>
        <w:t>社区矫正法</w:t>
      </w:r>
      <w:r>
        <w:rPr>
          <w:rFonts w:hint="eastAsia"/>
          <w:lang w:val="en-US" w:eastAsia="zh-Hans"/>
        </w:rPr>
        <w:t>》的要求，正式施行时不在法定使用情形内的电子手环定位装置转换为社矫机构配发的信息化核查终端定位。</w:t>
      </w:r>
    </w:p>
    <w:p>
      <w:pPr>
        <w:bidi w:val="0"/>
        <w:rPr>
          <w:rFonts w:hint="eastAsia"/>
          <w:lang w:val="en-US" w:eastAsia="zh-CN"/>
        </w:rPr>
      </w:pPr>
      <w:r>
        <w:rPr>
          <w:rFonts w:hint="eastAsia"/>
          <w:lang w:val="en-US" w:eastAsia="zh-CN"/>
        </w:rPr>
        <w:t>2020年深圳市拥有</w:t>
      </w:r>
      <w:r>
        <w:rPr>
          <w:rFonts w:hint="eastAsia"/>
          <w:lang w:val="en-US" w:eastAsia="zh-Hans"/>
        </w:rPr>
        <w:t>近3000名社矫对象，除不适合佩戴电子定位手环的极少数人外，基本佩戴定位手环</w:t>
      </w:r>
      <w:r>
        <w:rPr>
          <w:rFonts w:hint="eastAsia"/>
          <w:lang w:val="en-US" w:eastAsia="zh-CN"/>
        </w:rPr>
        <w:t>进行监管。《社区矫正法》正式施行后，初步统计，我市可能符合佩戴电子定位手环的社矫对象约37人，绝大部分社矫对象将无法以电子定位手环的方式进行监管。</w:t>
      </w:r>
    </w:p>
    <w:p>
      <w:pPr>
        <w:bidi w:val="0"/>
      </w:pPr>
      <w:r>
        <w:t>《社区矫正法》第五条规定，</w:t>
      </w:r>
      <w:r>
        <w:rPr>
          <w:lang w:val="zh-CN" w:eastAsia="zh-CN"/>
        </w:rPr>
        <w:t>“国</w:t>
      </w:r>
      <w:r>
        <w:t>家支持社区矫正机构提高信息化水平，运用现代信息技术开展监督管理和教育帮扶。”《社区矫正法》第二十六条规定，</w:t>
      </w:r>
      <w:r>
        <w:rPr>
          <w:lang w:val="zh-CN" w:eastAsia="zh-CN"/>
        </w:rPr>
        <w:t>“社区</w:t>
      </w:r>
      <w:r>
        <w:t>矫正机构应当了解掌握社区矫正对象的活动情况和行为表现。社区矫正机构可以通过通信联络、信息化核查、实地查访等方式核实有关情况，有关单位和个人应当予以配合。”</w:t>
      </w:r>
    </w:p>
    <w:p>
      <w:pPr>
        <w:bidi w:val="0"/>
      </w:pPr>
      <w:r>
        <w:t>根据《社区矫正法》的精神和要求，社矫对象拆除定位手环的同时，启动信息化核查手段，填补电子定位手环拆除后监管手段的空白，对于加强社矫对象的管控相当必要。</w:t>
      </w:r>
    </w:p>
    <w:p>
      <w:pPr>
        <w:bidi w:val="0"/>
        <w:rPr>
          <w:rFonts w:hint="eastAsia"/>
          <w:lang w:eastAsia="zh-CN"/>
        </w:rPr>
      </w:pPr>
      <w:r>
        <w:rPr>
          <w:rFonts w:hint="eastAsia"/>
          <w:lang w:val="en-US" w:eastAsia="zh-CN"/>
        </w:rPr>
        <w:t>因此为加强对社矫对象的有效管控，我局印发了《深圳市司法局信息化核查暂行规定》，在制度上细化了信息化核查操作方法。同时，在现有监控系统的基础上，进行了信息化核查技术改造，保障《</w:t>
      </w:r>
      <w:r>
        <w:t>社区矫正法</w:t>
      </w:r>
      <w:r>
        <w:rPr>
          <w:rFonts w:hint="eastAsia"/>
          <w:lang w:val="en-US" w:eastAsia="zh-CN"/>
        </w:rPr>
        <w:t>》实施的平顺过渡。</w:t>
      </w:r>
    </w:p>
    <w:p>
      <w:pPr>
        <w:pStyle w:val="6"/>
        <w:bidi w:val="0"/>
      </w:pPr>
      <w:r>
        <w:t>2.项目主要内容</w:t>
      </w:r>
      <w:bookmarkEnd w:id="5"/>
    </w:p>
    <w:p>
      <w:pPr>
        <w:bidi w:val="0"/>
      </w:pPr>
      <w:r>
        <w:rPr>
          <w:rFonts w:hint="eastAsia"/>
          <w:lang w:eastAsia="zh-CN"/>
        </w:rPr>
        <w:t>（</w:t>
      </w:r>
      <w:r>
        <w:rPr>
          <w:rFonts w:hint="eastAsia"/>
          <w:lang w:val="en-US" w:eastAsia="zh-CN"/>
        </w:rPr>
        <w:t>1</w:t>
      </w:r>
      <w:r>
        <w:rPr>
          <w:rFonts w:hint="eastAsia"/>
          <w:lang w:eastAsia="zh-CN"/>
        </w:rPr>
        <w:t>）</w:t>
      </w:r>
      <w:r>
        <w:t>信息化核查技术改造</w:t>
      </w:r>
      <w:r>
        <w:rPr>
          <w:rFonts w:hint="eastAsia"/>
          <w:lang w:eastAsia="zh-CN"/>
        </w:rPr>
        <w:t>：</w:t>
      </w:r>
      <w:r>
        <w:t>为进一步规范实施社区矫正对象的监督管理工作，积极推动科技创新与社区矫正工作的深度融合。根据《中华人民共和国社区矫正法</w:t>
      </w:r>
      <w:r>
        <w:rPr>
          <w:rFonts w:hint="eastAsia"/>
          <w:lang w:eastAsia="zh-CN"/>
        </w:rPr>
        <w:t>》，</w:t>
      </w:r>
      <w:r>
        <w:t>结合实际工作需要及上级部门的工作指导意见，在原有信息化核查系统功能上进行深度开发，增加通过信息化核查终端进行人脸识别签到功能，进</w:t>
      </w:r>
      <w:r>
        <w:rPr>
          <w:rFonts w:hint="eastAsia"/>
          <w:lang w:val="en-US" w:eastAsia="zh-CN"/>
        </w:rPr>
        <w:t>一</w:t>
      </w:r>
      <w:r>
        <w:t>步完善对社区矫正对象的活动情况和行为表现进行核实、查验的系列工作。</w:t>
      </w:r>
    </w:p>
    <w:p>
      <w:pPr>
        <w:bidi w:val="0"/>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宣传贯彻社矫法</w:t>
      </w:r>
      <w:r>
        <w:rPr>
          <w:rFonts w:hint="eastAsia"/>
          <w:lang w:eastAsia="zh-CN"/>
        </w:rPr>
        <w:t>：成立《社矫法》宣讲团，在</w:t>
      </w:r>
      <w:r>
        <w:rPr>
          <w:rFonts w:hint="eastAsia"/>
          <w:lang w:val="en-US" w:eastAsia="zh-CN"/>
        </w:rPr>
        <w:t>司法</w:t>
      </w:r>
      <w:r>
        <w:rPr>
          <w:rFonts w:hint="eastAsia"/>
          <w:lang w:eastAsia="zh-CN"/>
        </w:rPr>
        <w:t>系统内和参与社矫工作的相关部门</w:t>
      </w:r>
      <w:r>
        <w:rPr>
          <w:rFonts w:hint="eastAsia"/>
          <w:lang w:val="en-US" w:eastAsia="zh-CN"/>
        </w:rPr>
        <w:t>间</w:t>
      </w:r>
      <w:r>
        <w:rPr>
          <w:rFonts w:hint="eastAsia"/>
          <w:lang w:eastAsia="zh-CN"/>
        </w:rPr>
        <w:t>进行专题巡回宣讲。通过</w:t>
      </w:r>
      <w:r>
        <w:rPr>
          <w:rFonts w:hint="eastAsia"/>
          <w:lang w:val="en-US" w:eastAsia="zh-CN"/>
        </w:rPr>
        <w:t>制作宣传视频、印制社区矫正对象教育学习项目成果等</w:t>
      </w:r>
      <w:r>
        <w:rPr>
          <w:rFonts w:hint="eastAsia"/>
          <w:lang w:eastAsia="zh-CN"/>
        </w:rPr>
        <w:t>多种形式，</w:t>
      </w:r>
      <w:r>
        <w:rPr>
          <w:rFonts w:hint="eastAsia"/>
          <w:lang w:val="en-US" w:eastAsia="zh-CN"/>
        </w:rPr>
        <w:t>在各种平台开展</w:t>
      </w:r>
      <w:r>
        <w:rPr>
          <w:rFonts w:hint="eastAsia"/>
          <w:lang w:eastAsia="zh-CN"/>
        </w:rPr>
        <w:t>学习宣传</w:t>
      </w:r>
      <w:r>
        <w:rPr>
          <w:rFonts w:hint="eastAsia"/>
          <w:lang w:val="en-US" w:eastAsia="zh-CN"/>
        </w:rPr>
        <w:t>工作</w:t>
      </w:r>
      <w:r>
        <w:rPr>
          <w:rFonts w:hint="eastAsia"/>
          <w:lang w:eastAsia="zh-CN"/>
        </w:rPr>
        <w:t>。</w:t>
      </w:r>
    </w:p>
    <w:p>
      <w:pPr>
        <w:bidi w:val="0"/>
        <w:rPr>
          <w:rFonts w:hint="eastAsia"/>
        </w:rPr>
      </w:pPr>
      <w:r>
        <w:t>（</w:t>
      </w:r>
      <w:r>
        <w:rPr>
          <w:rFonts w:hint="eastAsia"/>
          <w:lang w:val="en-US" w:eastAsia="zh-CN"/>
        </w:rPr>
        <w:t>3</w:t>
      </w:r>
      <w:r>
        <w:t>）</w:t>
      </w:r>
      <w:r>
        <w:rPr>
          <w:rFonts w:hint="eastAsia"/>
          <w:lang w:val="en-US" w:eastAsia="zh-CN"/>
        </w:rPr>
        <w:t>社区矫正、安帮日常管理工作：</w:t>
      </w:r>
      <w:r>
        <w:rPr>
          <w:rFonts w:hint="eastAsia"/>
        </w:rPr>
        <w:t>指导、监督对社区矫正对象的刑罚执行、管理教育和帮扶工作</w:t>
      </w:r>
      <w:r>
        <w:rPr>
          <w:rFonts w:hint="eastAsia"/>
          <w:lang w:eastAsia="zh-CN"/>
        </w:rPr>
        <w:t>，</w:t>
      </w:r>
      <w:r>
        <w:rPr>
          <w:rFonts w:hint="eastAsia"/>
        </w:rPr>
        <w:t>组织、指导社会力量和志愿者参与社区矫正工作。</w:t>
      </w:r>
    </w:p>
    <w:p>
      <w:pPr>
        <w:bidi w:val="0"/>
        <w:rPr>
          <w:rFonts w:hint="default"/>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社区矫正课题研究：与深圳大学合作开展社区矫正课题研究工作，旨在了解社区矫正工作现状，对现存问题进行挖掘，分析问题成因并提出相关改进和意见建议。</w:t>
      </w:r>
    </w:p>
    <w:p>
      <w:pPr>
        <w:pStyle w:val="6"/>
        <w:bidi w:val="0"/>
        <w:rPr>
          <w:rFonts w:hint="eastAsia" w:eastAsia="仿宋_GB2312"/>
          <w:lang w:eastAsia="zh-CN"/>
        </w:rPr>
      </w:pPr>
      <w:bookmarkStart w:id="6" w:name="_Toc900844279"/>
      <w:r>
        <w:t>3.项目组织管理</w:t>
      </w:r>
    </w:p>
    <w:p>
      <w:pPr>
        <w:bidi w:val="0"/>
        <w:rPr>
          <w:b/>
          <w:bCs/>
        </w:rPr>
      </w:pPr>
      <w:r>
        <w:rPr>
          <w:rFonts w:hint="eastAsia"/>
          <w:lang w:eastAsia="zh-CN"/>
        </w:rPr>
        <w:t>（</w:t>
      </w:r>
      <w:r>
        <w:rPr>
          <w:rFonts w:hint="eastAsia"/>
          <w:lang w:val="en-US" w:eastAsia="zh-CN"/>
        </w:rPr>
        <w:t>1</w:t>
      </w:r>
      <w:r>
        <w:rPr>
          <w:rFonts w:hint="eastAsia"/>
          <w:lang w:eastAsia="zh-CN"/>
        </w:rPr>
        <w:t>）</w:t>
      </w:r>
      <w:r>
        <w:rPr>
          <w:rFonts w:hint="eastAsia"/>
          <w:b/>
          <w:bCs/>
        </w:rPr>
        <w:t>项目主管部门：</w:t>
      </w:r>
      <w:r>
        <w:rPr>
          <w:rFonts w:hint="eastAsia"/>
          <w:b/>
          <w:bCs/>
          <w:lang w:val="en-US" w:eastAsia="zh-CN"/>
        </w:rPr>
        <w:t>深圳市司法局</w:t>
      </w:r>
    </w:p>
    <w:p>
      <w:pPr>
        <w:bidi w:val="0"/>
        <w:rPr>
          <w:rFonts w:hint="eastAsia"/>
          <w:lang w:eastAsia="zh-CN"/>
        </w:rPr>
      </w:pPr>
      <w:r>
        <w:rPr>
          <w:rFonts w:hint="eastAsia"/>
        </w:rPr>
        <w:t>①</w:t>
      </w:r>
      <w:r>
        <w:t>负责项目</w:t>
      </w:r>
      <w:r>
        <w:rPr>
          <w:rFonts w:hint="eastAsia"/>
          <w:lang w:val="en-US" w:eastAsia="zh-CN"/>
        </w:rPr>
        <w:t>的</w:t>
      </w:r>
      <w:r>
        <w:t>统筹协调与业务指导工作</w:t>
      </w:r>
      <w:r>
        <w:rPr>
          <w:rFonts w:hint="eastAsia"/>
          <w:lang w:eastAsia="zh-CN"/>
        </w:rPr>
        <w:t>；</w:t>
      </w:r>
    </w:p>
    <w:p>
      <w:pPr>
        <w:bidi w:val="0"/>
      </w:pPr>
      <w:r>
        <w:rPr>
          <w:rFonts w:hint="eastAsia"/>
        </w:rPr>
        <w:t>②</w:t>
      </w:r>
      <w:r>
        <w:rPr>
          <w:rFonts w:hint="eastAsia"/>
          <w:lang w:val="en-US" w:eastAsia="zh-CN"/>
        </w:rPr>
        <w:t>审核</w:t>
      </w:r>
      <w:r>
        <w:rPr>
          <w:rFonts w:hint="eastAsia"/>
        </w:rPr>
        <w:t>项目资金需求预算；</w:t>
      </w:r>
    </w:p>
    <w:p>
      <w:pPr>
        <w:bidi w:val="0"/>
      </w:pPr>
      <w:r>
        <w:rPr>
          <w:rFonts w:hint="eastAsia"/>
        </w:rPr>
        <w:t>③落实项目实施条件；</w:t>
      </w:r>
    </w:p>
    <w:p>
      <w:pPr>
        <w:bidi w:val="0"/>
      </w:pPr>
      <w:r>
        <w:rPr>
          <w:rFonts w:hint="eastAsia"/>
        </w:rPr>
        <w:t>④对获得的项目经费进行财务管理和会计核算；</w:t>
      </w:r>
    </w:p>
    <w:p>
      <w:pPr>
        <w:bidi w:val="0"/>
      </w:pPr>
      <w:r>
        <w:rPr>
          <w:rFonts w:hint="eastAsia"/>
        </w:rPr>
        <w:t>⑤接受有关部门对经费使用情况的监督检查和审计；</w:t>
      </w:r>
    </w:p>
    <w:p>
      <w:pPr>
        <w:bidi w:val="0"/>
        <w:rPr>
          <w:rFonts w:hint="eastAsia"/>
        </w:rPr>
      </w:pPr>
      <w:r>
        <w:rPr>
          <w:rFonts w:hint="eastAsia"/>
          <w:lang w:val="en-US" w:eastAsia="zh-CN"/>
        </w:rPr>
        <w:t>⑥</w:t>
      </w:r>
      <w:r>
        <w:rPr>
          <w:rFonts w:hint="eastAsia"/>
        </w:rPr>
        <w:t>按要求提供项目经费使用情况和项目执行情况的报告以及有关财务报表。</w:t>
      </w:r>
    </w:p>
    <w:p>
      <w:pPr>
        <w:bidi w:val="0"/>
        <w:rPr>
          <w:b/>
          <w:bCs/>
        </w:rPr>
      </w:pPr>
      <w:r>
        <w:rPr>
          <w:rFonts w:hint="eastAsia"/>
          <w:lang w:eastAsia="zh-CN"/>
        </w:rPr>
        <w:t>（</w:t>
      </w:r>
      <w:r>
        <w:rPr>
          <w:rFonts w:hint="eastAsia"/>
          <w:lang w:val="en-US" w:eastAsia="zh-CN"/>
        </w:rPr>
        <w:t>2</w:t>
      </w:r>
      <w:r>
        <w:rPr>
          <w:rFonts w:hint="eastAsia"/>
          <w:lang w:eastAsia="zh-CN"/>
        </w:rPr>
        <w:t>）</w:t>
      </w:r>
      <w:r>
        <w:rPr>
          <w:rFonts w:hint="eastAsia"/>
          <w:b/>
          <w:bCs/>
        </w:rPr>
        <w:t>项目</w:t>
      </w:r>
      <w:r>
        <w:rPr>
          <w:rFonts w:hint="eastAsia"/>
          <w:b/>
          <w:bCs/>
          <w:lang w:val="en-US" w:eastAsia="zh-CN"/>
        </w:rPr>
        <w:t>执行</w:t>
      </w:r>
      <w:r>
        <w:rPr>
          <w:rFonts w:hint="eastAsia"/>
          <w:b/>
          <w:bCs/>
        </w:rPr>
        <w:t>部门：</w:t>
      </w:r>
      <w:r>
        <w:rPr>
          <w:rFonts w:hint="eastAsia"/>
          <w:b/>
          <w:bCs/>
          <w:lang w:val="en-US" w:eastAsia="zh-CN"/>
        </w:rPr>
        <w:t>深圳市司法局</w:t>
      </w:r>
      <w:r>
        <w:rPr>
          <w:rFonts w:hint="eastAsia"/>
          <w:b/>
          <w:bCs/>
          <w:lang w:val="en-US" w:eastAsia="zh-CN"/>
        </w:rPr>
        <w:fldChar w:fldCharType="begin"/>
      </w:r>
      <w:r>
        <w:rPr>
          <w:rFonts w:hint="eastAsia"/>
          <w:b/>
          <w:bCs/>
          <w:lang w:val="en-US" w:eastAsia="zh-CN"/>
        </w:rPr>
        <w:instrText xml:space="preserve"> HYPERLINK "http://sf.sz.gov.cn/xxgk/xxgkml/jgsz/nsjg/content/post_8580365.html" </w:instrText>
      </w:r>
      <w:r>
        <w:rPr>
          <w:rFonts w:hint="eastAsia"/>
          <w:b/>
          <w:bCs/>
          <w:lang w:val="en-US" w:eastAsia="zh-CN"/>
        </w:rPr>
        <w:fldChar w:fldCharType="separate"/>
      </w:r>
      <w:r>
        <w:rPr>
          <w:rFonts w:hint="eastAsia"/>
          <w:b/>
          <w:bCs/>
          <w:lang w:val="en-US" w:eastAsia="zh-CN"/>
        </w:rPr>
        <w:t>社区矫正管理处</w:t>
      </w:r>
      <w:r>
        <w:rPr>
          <w:rFonts w:hint="eastAsia"/>
          <w:b/>
          <w:bCs/>
          <w:lang w:val="en-US" w:eastAsia="zh-CN"/>
        </w:rPr>
        <w:fldChar w:fldCharType="end"/>
      </w:r>
    </w:p>
    <w:p>
      <w:pPr>
        <w:bidi w:val="0"/>
        <w:rPr>
          <w:rFonts w:hint="eastAsia"/>
          <w:lang w:val="en-US" w:eastAsia="zh-CN"/>
        </w:rPr>
      </w:pPr>
      <w:r>
        <w:rPr>
          <w:rFonts w:hint="eastAsia"/>
        </w:rPr>
        <w:t>①</w:t>
      </w:r>
      <w:r>
        <w:rPr>
          <w:rFonts w:hint="default"/>
          <w:lang w:val="en-US" w:eastAsia="zh-CN"/>
        </w:rPr>
        <w:t>承担监督检查社区矫正法律法规和政策执行工作，拟订社区矫正发展规划和工作规范</w:t>
      </w:r>
      <w:r>
        <w:rPr>
          <w:rFonts w:hint="eastAsia"/>
          <w:lang w:val="en-US" w:eastAsia="zh-CN"/>
        </w:rPr>
        <w:t>；</w:t>
      </w:r>
    </w:p>
    <w:p>
      <w:pPr>
        <w:bidi w:val="0"/>
        <w:rPr>
          <w:rFonts w:hint="eastAsia"/>
          <w:lang w:val="en-US" w:eastAsia="zh-CN"/>
        </w:rPr>
      </w:pPr>
      <w:r>
        <w:rPr>
          <w:rFonts w:hint="eastAsia"/>
        </w:rPr>
        <w:t>②</w:t>
      </w:r>
      <w:r>
        <w:rPr>
          <w:rFonts w:hint="default"/>
          <w:lang w:val="en-US" w:eastAsia="zh-CN"/>
        </w:rPr>
        <w:t>指导、监督对社区矫正对象的刑罚执行、管理教育和帮扶工作</w:t>
      </w:r>
      <w:r>
        <w:rPr>
          <w:rFonts w:hint="eastAsia"/>
          <w:lang w:val="en-US" w:eastAsia="zh-CN"/>
        </w:rPr>
        <w:t>；</w:t>
      </w:r>
    </w:p>
    <w:p>
      <w:pPr>
        <w:bidi w:val="0"/>
        <w:rPr>
          <w:rFonts w:hint="default"/>
          <w:lang w:val="en-US" w:eastAsia="zh-CN"/>
        </w:rPr>
      </w:pPr>
      <w:r>
        <w:rPr>
          <w:rFonts w:hint="eastAsia"/>
          <w:lang w:val="en-US" w:eastAsia="zh-CN"/>
        </w:rPr>
        <w:t>③</w:t>
      </w:r>
      <w:r>
        <w:rPr>
          <w:rFonts w:hint="default"/>
          <w:lang w:val="en-US" w:eastAsia="zh-CN"/>
        </w:rPr>
        <w:t>组织、指导社会力量和志愿者参与社区矫正工作。</w:t>
      </w:r>
    </w:p>
    <w:p>
      <w:pPr>
        <w:bidi w:val="0"/>
        <w:rPr>
          <w:rFonts w:hint="default"/>
          <w:b/>
          <w:bCs/>
          <w:lang w:val="en-US" w:eastAsia="zh-CN"/>
        </w:rPr>
      </w:pPr>
      <w:r>
        <w:rPr>
          <w:rFonts w:hint="eastAsia"/>
          <w:b/>
          <w:bCs/>
          <w:lang w:val="en-US" w:eastAsia="zh-CN"/>
        </w:rPr>
        <w:t>（3）项目主要实施单位</w:t>
      </w:r>
    </w:p>
    <w:p>
      <w:pPr>
        <w:pStyle w:val="6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ascii="黑体" w:hAnsi="黑体" w:eastAsia="黑体"/>
          <w:sz w:val="28"/>
          <w:szCs w:val="32"/>
        </w:rPr>
      </w:pPr>
      <w:bookmarkStart w:id="7" w:name="_Hlk75211026"/>
      <w:r>
        <w:rPr>
          <w:rFonts w:hint="eastAsia" w:ascii="黑体" w:hAnsi="黑体" w:eastAsia="黑体" w:cs="黑体"/>
          <w:bCs/>
          <w:sz w:val="28"/>
          <w:szCs w:val="32"/>
        </w:rPr>
        <w:t>表1-</w:t>
      </w:r>
      <w:r>
        <w:rPr>
          <w:rFonts w:ascii="黑体" w:hAnsi="黑体" w:eastAsia="黑体" w:cs="黑体"/>
          <w:bCs/>
          <w:sz w:val="28"/>
          <w:szCs w:val="32"/>
        </w:rPr>
        <w:t xml:space="preserve">1 </w:t>
      </w:r>
      <w:r>
        <w:rPr>
          <w:rFonts w:hint="eastAsia" w:ascii="黑体" w:hAnsi="黑体" w:eastAsia="黑体"/>
          <w:sz w:val="28"/>
          <w:szCs w:val="32"/>
        </w:rPr>
        <w:t>项目实施单位情况表</w:t>
      </w:r>
    </w:p>
    <w:p>
      <w:pPr>
        <w:spacing w:line="240" w:lineRule="auto"/>
        <w:ind w:firstLine="0" w:firstLineChars="0"/>
        <w:jc w:val="center"/>
        <w:rPr>
          <w:rFonts w:ascii="黑体" w:hAnsi="黑体" w:eastAsia="黑体"/>
          <w:sz w:val="28"/>
          <w:szCs w:val="28"/>
        </w:rPr>
      </w:pPr>
    </w:p>
    <w:bookmarkEnd w:id="7"/>
    <w:tbl>
      <w:tblPr>
        <w:tblStyle w:val="23"/>
        <w:tblW w:w="0" w:type="auto"/>
        <w:jc w:val="center"/>
        <w:tblLayout w:type="autofit"/>
        <w:tblCellMar>
          <w:top w:w="0" w:type="dxa"/>
          <w:left w:w="108" w:type="dxa"/>
          <w:bottom w:w="0" w:type="dxa"/>
          <w:right w:w="108" w:type="dxa"/>
        </w:tblCellMar>
      </w:tblPr>
      <w:tblGrid>
        <w:gridCol w:w="713"/>
        <w:gridCol w:w="2688"/>
        <w:gridCol w:w="5018"/>
      </w:tblGrid>
      <w:tr>
        <w:tblPrEx>
          <w:tblCellMar>
            <w:top w:w="0" w:type="dxa"/>
            <w:left w:w="108" w:type="dxa"/>
            <w:bottom w:w="0" w:type="dxa"/>
            <w:right w:w="108" w:type="dxa"/>
          </w:tblCellMar>
        </w:tblPrEx>
        <w:trPr>
          <w:trHeight w:val="425" w:hRule="atLeast"/>
          <w:tblHeader/>
          <w:jc w:val="center"/>
        </w:trPr>
        <w:tc>
          <w:tcPr>
            <w:tcW w:w="71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color w:val="000000"/>
                <w:kern w:val="0"/>
                <w:sz w:val="24"/>
                <w:szCs w:val="24"/>
              </w:rPr>
            </w:pPr>
            <w:r>
              <w:rPr>
                <w:rFonts w:hint="eastAsia" w:ascii="仿宋_GB2312" w:hAnsi="等线" w:eastAsia="仿宋_GB2312" w:cs="宋体"/>
                <w:b/>
                <w:color w:val="000000"/>
                <w:kern w:val="0"/>
                <w:sz w:val="24"/>
                <w:szCs w:val="24"/>
              </w:rPr>
              <w:t>序号</w:t>
            </w:r>
          </w:p>
        </w:tc>
        <w:tc>
          <w:tcPr>
            <w:tcW w:w="2688"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color w:val="000000"/>
                <w:kern w:val="0"/>
                <w:sz w:val="24"/>
                <w:szCs w:val="24"/>
              </w:rPr>
            </w:pPr>
            <w:r>
              <w:rPr>
                <w:rFonts w:hint="eastAsia" w:ascii="仿宋_GB2312" w:hAnsi="等线" w:eastAsia="仿宋_GB2312" w:cs="宋体"/>
                <w:b/>
                <w:color w:val="000000"/>
                <w:kern w:val="0"/>
                <w:sz w:val="24"/>
                <w:szCs w:val="24"/>
              </w:rPr>
              <w:t>项目实施单位</w:t>
            </w:r>
          </w:p>
        </w:tc>
        <w:tc>
          <w:tcPr>
            <w:tcW w:w="5018"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color w:val="000000"/>
                <w:kern w:val="0"/>
                <w:sz w:val="24"/>
                <w:szCs w:val="24"/>
              </w:rPr>
            </w:pPr>
            <w:r>
              <w:rPr>
                <w:rFonts w:hint="eastAsia" w:ascii="仿宋_GB2312" w:hAnsi="等线" w:eastAsia="仿宋_GB2312" w:cs="宋体"/>
                <w:b/>
                <w:color w:val="000000"/>
                <w:kern w:val="0"/>
                <w:sz w:val="24"/>
                <w:szCs w:val="24"/>
              </w:rPr>
              <w:t>负责内容</w:t>
            </w:r>
          </w:p>
        </w:tc>
      </w:tr>
      <w:tr>
        <w:tblPrEx>
          <w:tblCellMar>
            <w:top w:w="0" w:type="dxa"/>
            <w:left w:w="108" w:type="dxa"/>
            <w:bottom w:w="0" w:type="dxa"/>
            <w:right w:w="108" w:type="dxa"/>
          </w:tblCellMar>
        </w:tblPrEx>
        <w:trPr>
          <w:trHeight w:val="424"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rPr>
              <w:t>1</w:t>
            </w:r>
          </w:p>
        </w:tc>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lang w:val="en-US" w:eastAsia="zh-CN"/>
              </w:rPr>
              <w:t>深圳市润安科技发展有限公司</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仿宋_GB2312" w:hAnsi="等线" w:eastAsia="仿宋_GB2312" w:cs="宋体"/>
                <w:b w:val="0"/>
                <w:bCs/>
                <w:color w:val="000000"/>
                <w:kern w:val="0"/>
                <w:sz w:val="24"/>
                <w:szCs w:val="24"/>
                <w:lang w:val="en-US" w:eastAsia="zh-CN"/>
              </w:rPr>
            </w:pPr>
            <w:r>
              <w:rPr>
                <w:rFonts w:hint="eastAsia" w:hAnsi="等线" w:cs="宋体"/>
                <w:color w:val="000000"/>
                <w:kern w:val="0"/>
                <w:sz w:val="24"/>
                <w:szCs w:val="24"/>
                <w:lang w:val="en-US" w:eastAsia="zh-CN"/>
              </w:rPr>
              <w:t>深圳市社区矫正信息化核查系统技术改造。</w:t>
            </w:r>
          </w:p>
        </w:tc>
      </w:tr>
      <w:tr>
        <w:tblPrEx>
          <w:tblCellMar>
            <w:top w:w="0" w:type="dxa"/>
            <w:left w:w="108" w:type="dxa"/>
            <w:bottom w:w="0" w:type="dxa"/>
            <w:right w:w="108" w:type="dxa"/>
          </w:tblCellMar>
        </w:tblPrEx>
        <w:trPr>
          <w:trHeight w:val="64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rPr>
              <w:t>2</w:t>
            </w:r>
          </w:p>
        </w:tc>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lang w:val="en-US" w:eastAsia="zh-CN"/>
              </w:rPr>
              <w:t>深圳大学</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等线" w:eastAsia="仿宋_GB2312" w:cs="宋体"/>
                <w:b w:val="0"/>
                <w:bCs/>
                <w:color w:val="000000"/>
                <w:kern w:val="0"/>
                <w:sz w:val="24"/>
                <w:szCs w:val="24"/>
              </w:rPr>
            </w:pPr>
            <w:r>
              <w:rPr>
                <w:rFonts w:hint="eastAsia" w:hAnsi="等线" w:cs="宋体"/>
                <w:b w:val="0"/>
                <w:bCs/>
                <w:color w:val="000000"/>
                <w:kern w:val="0"/>
                <w:sz w:val="24"/>
                <w:szCs w:val="24"/>
                <w:lang w:val="en-US" w:eastAsia="zh-CN"/>
              </w:rPr>
              <w:t>开展</w:t>
            </w:r>
            <w:r>
              <w:rPr>
                <w:rFonts w:hint="eastAsia" w:ascii="仿宋_GB2312" w:hAnsi="等线" w:eastAsia="仿宋_GB2312" w:cs="宋体"/>
                <w:b w:val="0"/>
                <w:bCs/>
                <w:color w:val="000000"/>
                <w:kern w:val="0"/>
                <w:sz w:val="24"/>
                <w:szCs w:val="24"/>
                <w:lang w:val="en-US" w:eastAsia="zh-CN"/>
              </w:rPr>
              <w:t>社区矫正课题研究</w:t>
            </w:r>
            <w:r>
              <w:rPr>
                <w:rFonts w:hint="eastAsia" w:hAnsi="等线" w:cs="宋体"/>
                <w:b w:val="0"/>
                <w:bCs/>
                <w:color w:val="000000"/>
                <w:kern w:val="0"/>
                <w:sz w:val="24"/>
                <w:szCs w:val="24"/>
                <w:lang w:val="en-US" w:eastAsia="zh-CN"/>
              </w:rPr>
              <w:t>工作。</w:t>
            </w:r>
          </w:p>
        </w:tc>
      </w:tr>
      <w:tr>
        <w:tblPrEx>
          <w:tblCellMar>
            <w:top w:w="0" w:type="dxa"/>
            <w:left w:w="108" w:type="dxa"/>
            <w:bottom w:w="0" w:type="dxa"/>
            <w:right w:w="108" w:type="dxa"/>
          </w:tblCellMar>
        </w:tblPrEx>
        <w:trPr>
          <w:trHeight w:val="424"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rPr>
              <w:t>3</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lang w:val="en-US" w:eastAsia="zh-CN"/>
              </w:rPr>
              <w:t>深圳市意集文化有限公司</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等线" w:eastAsia="仿宋_GB2312" w:cs="宋体"/>
                <w:b w:val="0"/>
                <w:bCs/>
                <w:color w:val="000000"/>
                <w:kern w:val="0"/>
                <w:sz w:val="24"/>
                <w:szCs w:val="24"/>
                <w:lang w:eastAsia="zh-CN"/>
              </w:rPr>
            </w:pPr>
            <w:r>
              <w:rPr>
                <w:rFonts w:hint="eastAsia" w:hAnsi="等线" w:cs="宋体"/>
                <w:b w:val="0"/>
                <w:bCs/>
                <w:color w:val="000000"/>
                <w:kern w:val="0"/>
                <w:sz w:val="24"/>
                <w:szCs w:val="24"/>
                <w:lang w:val="en-US" w:eastAsia="zh-CN"/>
              </w:rPr>
              <w:t>社区矫正</w:t>
            </w:r>
            <w:r>
              <w:rPr>
                <w:rFonts w:hint="eastAsia" w:ascii="仿宋_GB2312" w:hAnsi="等线" w:eastAsia="仿宋_GB2312" w:cs="宋体"/>
                <w:b w:val="0"/>
                <w:bCs/>
                <w:color w:val="000000"/>
                <w:kern w:val="0"/>
                <w:sz w:val="24"/>
                <w:szCs w:val="24"/>
              </w:rPr>
              <w:t>宣传视频制作</w:t>
            </w:r>
            <w:r>
              <w:rPr>
                <w:rFonts w:hint="eastAsia" w:hAnsi="等线" w:cs="宋体"/>
                <w:b w:val="0"/>
                <w:bCs/>
                <w:color w:val="000000"/>
                <w:kern w:val="0"/>
                <w:sz w:val="24"/>
                <w:szCs w:val="24"/>
                <w:lang w:eastAsia="zh-CN"/>
              </w:rPr>
              <w:t>。</w:t>
            </w:r>
          </w:p>
        </w:tc>
      </w:tr>
      <w:tr>
        <w:tblPrEx>
          <w:tblCellMar>
            <w:top w:w="0" w:type="dxa"/>
            <w:left w:w="108" w:type="dxa"/>
            <w:bottom w:w="0" w:type="dxa"/>
            <w:right w:w="108" w:type="dxa"/>
          </w:tblCellMar>
        </w:tblPrEx>
        <w:trPr>
          <w:trHeight w:val="424"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rPr>
              <w:t>4</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lang w:val="en-US" w:eastAsia="zh-CN"/>
              </w:rPr>
              <w:t>深圳市春雨社会工作服务社</w:t>
            </w:r>
          </w:p>
        </w:tc>
        <w:tc>
          <w:tcPr>
            <w:tcW w:w="50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仿宋_GB2312" w:hAnsi="等线" w:eastAsia="仿宋_GB2312" w:cs="宋体"/>
                <w:b w:val="0"/>
                <w:bCs/>
                <w:color w:val="000000"/>
                <w:kern w:val="0"/>
                <w:sz w:val="24"/>
                <w:szCs w:val="24"/>
                <w:lang w:val="en-US" w:eastAsia="zh-CN"/>
              </w:rPr>
            </w:pPr>
            <w:r>
              <w:rPr>
                <w:rFonts w:hint="eastAsia" w:hAnsi="等线" w:cs="宋体"/>
                <w:b w:val="0"/>
                <w:bCs/>
                <w:color w:val="000000"/>
                <w:kern w:val="0"/>
                <w:sz w:val="24"/>
                <w:szCs w:val="24"/>
                <w:lang w:val="en-US" w:eastAsia="zh-CN"/>
              </w:rPr>
              <w:t>提供社工参与社区矫正、安帮工作；开展社区矫正、安帮宣传工作。</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rPr>
      </w:pPr>
    </w:p>
    <w:p>
      <w:pPr>
        <w:pStyle w:val="6"/>
        <w:bidi w:val="0"/>
      </w:pPr>
      <w:r>
        <w:t>5</w:t>
      </w:r>
      <w:r>
        <w:rPr>
          <w:rFonts w:hint="eastAsia"/>
        </w:rPr>
        <w:t>.</w:t>
      </w:r>
      <w:r>
        <w:t>预算编制和资金使用情况</w:t>
      </w:r>
      <w:bookmarkEnd w:id="6"/>
    </w:p>
    <w:p>
      <w:pPr>
        <w:bidi w:val="0"/>
      </w:pPr>
      <w:bookmarkStart w:id="8" w:name="_Toc18732"/>
      <w:r>
        <w:t>（1）预算资金</w:t>
      </w:r>
      <w:r>
        <w:rPr>
          <w:rFonts w:hint="eastAsia"/>
        </w:rPr>
        <w:t>编制</w:t>
      </w:r>
    </w:p>
    <w:p>
      <w:pPr>
        <w:bidi w:val="0"/>
        <w:rPr>
          <w:rFonts w:hint="eastAsia"/>
        </w:rPr>
      </w:pPr>
      <w:r>
        <w:rPr>
          <w:rFonts w:hint="eastAsia"/>
          <w:lang w:val="en-US" w:eastAsia="zh-CN"/>
        </w:rPr>
        <w:t>本</w:t>
      </w:r>
      <w:r>
        <w:rPr>
          <w:rFonts w:hint="eastAsia"/>
        </w:rPr>
        <w:t>项目</w:t>
      </w:r>
      <w:r>
        <w:rPr>
          <w:rFonts w:hint="eastAsia"/>
          <w:lang w:val="en-US" w:eastAsia="zh-CN"/>
        </w:rPr>
        <w:t>2020年度</w:t>
      </w:r>
      <w:r>
        <w:rPr>
          <w:rFonts w:hint="eastAsia"/>
        </w:rPr>
        <w:t>预算资金</w:t>
      </w:r>
      <w:r>
        <w:rPr>
          <w:rFonts w:hint="eastAsia"/>
          <w:lang w:eastAsia="zh-CN"/>
        </w:rPr>
        <w:t>92</w:t>
      </w:r>
      <w:r>
        <w:rPr>
          <w:rFonts w:hint="eastAsia"/>
        </w:rPr>
        <w:t>万元，与2</w:t>
      </w:r>
      <w:r>
        <w:t>019</w:t>
      </w:r>
      <w:r>
        <w:rPr>
          <w:rFonts w:hint="eastAsia"/>
        </w:rPr>
        <w:t>年保持一致。项目</w:t>
      </w:r>
      <w:r>
        <w:rPr>
          <w:rFonts w:hint="eastAsia"/>
          <w:lang w:val="en-US" w:eastAsia="zh-CN"/>
        </w:rPr>
        <w:t>预算资金结构主要来源于业务平台改造升级费用、社区矫正法宣传费用、安置帮教回访经费、社区矫正课题费用。</w:t>
      </w:r>
    </w:p>
    <w:p>
      <w:pPr>
        <w:bidi w:val="0"/>
      </w:pPr>
      <w:r>
        <w:t>（2）预算资金使用情况</w:t>
      </w:r>
      <w:bookmarkEnd w:id="8"/>
    </w:p>
    <w:p>
      <w:pPr>
        <w:bidi w:val="0"/>
        <w:rPr>
          <w:rFonts w:hint="eastAsia"/>
          <w:lang w:val="en-US" w:eastAsia="zh-CN"/>
        </w:rPr>
      </w:pPr>
      <w:r>
        <w:rPr>
          <w:lang w:val="zh-CN"/>
        </w:rPr>
        <w:t>本项目资金来源</w:t>
      </w:r>
      <w:r>
        <w:rPr>
          <w:rFonts w:hint="eastAsia"/>
          <w:lang w:val="en-US" w:eastAsia="zh-CN"/>
        </w:rPr>
        <w:t>均</w:t>
      </w:r>
      <w:r>
        <w:rPr>
          <w:lang w:val="zh-CN"/>
        </w:rPr>
        <w:t>为市</w:t>
      </w:r>
      <w:r>
        <w:rPr>
          <w:rFonts w:hint="eastAsia"/>
          <w:lang w:val="en-US" w:eastAsia="zh-CN"/>
        </w:rPr>
        <w:t>级</w:t>
      </w:r>
      <w:r>
        <w:rPr>
          <w:lang w:val="zh-CN"/>
        </w:rPr>
        <w:t>财政拨款，</w:t>
      </w:r>
      <w:r>
        <w:rPr>
          <w:rFonts w:hint="eastAsia"/>
          <w:lang w:val="zh-CN"/>
        </w:rPr>
        <w:t>主要用于社区矫正、安帮</w:t>
      </w:r>
      <w:r>
        <w:rPr>
          <w:rFonts w:hint="eastAsia"/>
          <w:lang w:val="en-US" w:eastAsia="zh-CN"/>
        </w:rPr>
        <w:t>工作</w:t>
      </w:r>
      <w:r>
        <w:rPr>
          <w:rFonts w:hint="eastAsia"/>
          <w:lang w:val="zh-CN"/>
        </w:rPr>
        <w:t>经费</w:t>
      </w:r>
      <w:r>
        <w:rPr>
          <w:rFonts w:hint="eastAsia"/>
        </w:rPr>
        <w:t>，年初预算数</w:t>
      </w:r>
      <w:r>
        <w:rPr>
          <w:rFonts w:hint="eastAsia"/>
          <w:lang w:eastAsia="zh-CN"/>
        </w:rPr>
        <w:t>92</w:t>
      </w:r>
      <w:r>
        <w:rPr>
          <w:rFonts w:hint="eastAsia"/>
        </w:rPr>
        <w:t>万元，年中无预算调整或调剂情况，</w:t>
      </w:r>
      <w:r>
        <w:t>年度项目总支出数</w:t>
      </w:r>
      <w:r>
        <w:rPr>
          <w:rFonts w:hint="eastAsia"/>
          <w:lang w:eastAsia="zh-CN"/>
        </w:rPr>
        <w:t>92</w:t>
      </w:r>
      <w:r>
        <w:t>万元，</w:t>
      </w:r>
      <w:r>
        <w:rPr>
          <w:rFonts w:hint="eastAsia"/>
          <w:lang w:val="en-US" w:eastAsia="zh-CN"/>
        </w:rPr>
        <w:t>项目</w:t>
      </w:r>
      <w:r>
        <w:rPr>
          <w:rFonts w:hint="eastAsia"/>
        </w:rPr>
        <w:t>预算</w:t>
      </w:r>
      <w:r>
        <w:t>执行率为</w:t>
      </w:r>
      <w:r>
        <w:rPr>
          <w:rFonts w:hint="eastAsia"/>
          <w:lang w:eastAsia="zh-CN"/>
        </w:rPr>
        <w:t>100</w:t>
      </w:r>
      <w:r>
        <w:t>%。</w:t>
      </w:r>
      <w:r>
        <w:rPr>
          <w:rFonts w:hint="eastAsia"/>
          <w:lang w:val="en-US" w:eastAsia="zh-CN"/>
        </w:rPr>
        <w:t>资金具体使用情况见下表：</w:t>
      </w:r>
    </w:p>
    <w:p>
      <w:pPr>
        <w:pStyle w:val="2"/>
        <w:jc w:val="center"/>
        <w:rPr>
          <w:rFonts w:hint="eastAsia" w:ascii="黑体" w:hAnsi="黑体" w:eastAsia="黑体"/>
          <w:sz w:val="28"/>
          <w:szCs w:val="32"/>
          <w:lang w:val="en-US" w:eastAsia="zh-CN"/>
        </w:rPr>
      </w:pPr>
      <w:r>
        <w:rPr>
          <w:rFonts w:hint="eastAsia" w:ascii="黑体" w:hAnsi="黑体" w:eastAsia="黑体"/>
          <w:sz w:val="28"/>
          <w:szCs w:val="32"/>
        </w:rPr>
        <w:t>表1-</w:t>
      </w:r>
      <w:r>
        <w:rPr>
          <w:rFonts w:hint="eastAsia" w:ascii="黑体" w:hAnsi="黑体" w:eastAsia="黑体"/>
          <w:sz w:val="28"/>
          <w:szCs w:val="32"/>
          <w:lang w:val="en-US" w:eastAsia="zh-CN"/>
        </w:rPr>
        <w:t>2</w:t>
      </w:r>
      <w:r>
        <w:rPr>
          <w:rFonts w:hint="eastAsia" w:ascii="黑体" w:hAnsi="黑体" w:eastAsia="黑体"/>
          <w:sz w:val="28"/>
          <w:szCs w:val="32"/>
        </w:rPr>
        <w:t xml:space="preserve"> </w:t>
      </w:r>
      <w:r>
        <w:rPr>
          <w:rFonts w:hint="eastAsia" w:ascii="黑体" w:hAnsi="黑体" w:eastAsia="黑体"/>
          <w:sz w:val="28"/>
          <w:szCs w:val="32"/>
          <w:lang w:val="en-US" w:eastAsia="zh-CN"/>
        </w:rPr>
        <w:t>项目资金使用情况表</w:t>
      </w:r>
    </w:p>
    <w:p>
      <w:pPr>
        <w:pStyle w:val="2"/>
        <w:jc w:val="right"/>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单位：万元</w:t>
      </w:r>
    </w:p>
    <w:tbl>
      <w:tblPr>
        <w:tblStyle w:val="23"/>
        <w:tblW w:w="8750" w:type="dxa"/>
        <w:jc w:val="center"/>
        <w:tblLayout w:type="fixed"/>
        <w:tblCellMar>
          <w:top w:w="0" w:type="dxa"/>
          <w:left w:w="108" w:type="dxa"/>
          <w:bottom w:w="0" w:type="dxa"/>
          <w:right w:w="108" w:type="dxa"/>
        </w:tblCellMar>
      </w:tblPr>
      <w:tblGrid>
        <w:gridCol w:w="891"/>
        <w:gridCol w:w="5055"/>
        <w:gridCol w:w="1376"/>
        <w:gridCol w:w="1428"/>
      </w:tblGrid>
      <w:tr>
        <w:tblPrEx>
          <w:tblCellMar>
            <w:top w:w="0" w:type="dxa"/>
            <w:left w:w="108" w:type="dxa"/>
            <w:bottom w:w="0" w:type="dxa"/>
            <w:right w:w="108" w:type="dxa"/>
          </w:tblCellMar>
        </w:tblPrEx>
        <w:trPr>
          <w:trHeight w:val="425" w:hRule="atLeast"/>
          <w:tblHeader/>
          <w:jc w:val="center"/>
        </w:trPr>
        <w:tc>
          <w:tcPr>
            <w:tcW w:w="89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color w:val="000000"/>
                <w:kern w:val="0"/>
                <w:sz w:val="24"/>
                <w:szCs w:val="24"/>
              </w:rPr>
            </w:pPr>
            <w:r>
              <w:rPr>
                <w:rFonts w:hint="eastAsia" w:ascii="仿宋_GB2312" w:hAnsi="等线" w:eastAsia="仿宋_GB2312" w:cs="宋体"/>
                <w:b/>
                <w:color w:val="000000"/>
                <w:kern w:val="0"/>
                <w:sz w:val="24"/>
                <w:szCs w:val="24"/>
              </w:rPr>
              <w:t>序号</w:t>
            </w:r>
          </w:p>
        </w:tc>
        <w:tc>
          <w:tcPr>
            <w:tcW w:w="505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等线" w:eastAsia="仿宋_GB2312" w:cs="宋体"/>
                <w:b/>
                <w:color w:val="000000"/>
                <w:kern w:val="0"/>
                <w:sz w:val="24"/>
                <w:szCs w:val="24"/>
                <w:lang w:val="en-US" w:eastAsia="zh-CN"/>
              </w:rPr>
            </w:pPr>
            <w:r>
              <w:rPr>
                <w:rFonts w:hint="eastAsia" w:hAnsi="等线" w:cs="宋体"/>
                <w:b/>
                <w:color w:val="000000"/>
                <w:kern w:val="0"/>
                <w:sz w:val="24"/>
                <w:szCs w:val="24"/>
                <w:lang w:val="en-US" w:eastAsia="zh-CN"/>
              </w:rPr>
              <w:t>资金用途</w:t>
            </w:r>
          </w:p>
        </w:tc>
        <w:tc>
          <w:tcPr>
            <w:tcW w:w="1376"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等线" w:eastAsia="仿宋_GB2312" w:cs="宋体"/>
                <w:b/>
                <w:color w:val="000000"/>
                <w:kern w:val="0"/>
                <w:sz w:val="24"/>
                <w:szCs w:val="24"/>
                <w:lang w:val="en-US" w:eastAsia="zh-CN"/>
              </w:rPr>
            </w:pPr>
            <w:r>
              <w:rPr>
                <w:rFonts w:hint="eastAsia" w:hAnsi="等线" w:cs="宋体"/>
                <w:b/>
                <w:color w:val="000000"/>
                <w:kern w:val="0"/>
                <w:sz w:val="24"/>
                <w:szCs w:val="24"/>
                <w:lang w:val="en-US" w:eastAsia="zh-CN"/>
              </w:rPr>
              <w:t>支出金额</w:t>
            </w:r>
          </w:p>
        </w:tc>
        <w:tc>
          <w:tcPr>
            <w:tcW w:w="1428"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color w:val="000000"/>
                <w:kern w:val="0"/>
                <w:sz w:val="24"/>
                <w:szCs w:val="24"/>
                <w:lang w:val="en-US" w:eastAsia="zh-CN"/>
              </w:rPr>
            </w:pPr>
            <w:r>
              <w:rPr>
                <w:rFonts w:hint="eastAsia" w:hAnsi="等线" w:cs="宋体"/>
                <w:b/>
                <w:color w:val="000000"/>
                <w:kern w:val="0"/>
                <w:sz w:val="24"/>
                <w:szCs w:val="24"/>
                <w:lang w:val="en-US" w:eastAsia="zh-CN"/>
              </w:rPr>
              <w:t>支出占比</w:t>
            </w:r>
          </w:p>
        </w:tc>
      </w:tr>
      <w:tr>
        <w:tblPrEx>
          <w:tblCellMar>
            <w:top w:w="0" w:type="dxa"/>
            <w:left w:w="108" w:type="dxa"/>
            <w:bottom w:w="0" w:type="dxa"/>
            <w:right w:w="108" w:type="dxa"/>
          </w:tblCellMar>
        </w:tblPrEx>
        <w:trPr>
          <w:trHeight w:val="424" w:hRule="atLeast"/>
          <w:jc w:val="center"/>
        </w:trPr>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rPr>
              <w:t>1</w:t>
            </w:r>
          </w:p>
        </w:tc>
        <w:tc>
          <w:tcPr>
            <w:tcW w:w="5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color w:val="000000"/>
                <w:kern w:val="0"/>
                <w:sz w:val="24"/>
                <w:szCs w:val="24"/>
                <w:lang w:val="en-US" w:eastAsia="zh-CN"/>
              </w:rPr>
              <w:t>深圳市社区矫正信息化核查系统技术改造费用</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bidi="ar-SA"/>
              </w:rPr>
              <w:t>22.76</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eastAsia" w:hAnsi="等线" w:cs="宋体"/>
                <w:b w:val="0"/>
                <w:bCs/>
                <w:color w:val="000000"/>
                <w:kern w:val="0"/>
                <w:sz w:val="24"/>
                <w:szCs w:val="24"/>
                <w:lang w:val="en-US" w:eastAsia="zh-CN" w:bidi="ar-SA"/>
              </w:rPr>
            </w:pPr>
            <w:r>
              <w:rPr>
                <w:rFonts w:hint="default" w:hAnsi="等线" w:cs="宋体"/>
                <w:b w:val="0"/>
                <w:bCs/>
                <w:color w:val="000000"/>
                <w:kern w:val="0"/>
                <w:sz w:val="24"/>
                <w:szCs w:val="24"/>
                <w:lang w:val="en-US" w:eastAsia="zh-CN" w:bidi="ar-SA"/>
              </w:rPr>
              <w:t>24.74%</w:t>
            </w:r>
          </w:p>
        </w:tc>
      </w:tr>
      <w:tr>
        <w:tblPrEx>
          <w:tblCellMar>
            <w:top w:w="0" w:type="dxa"/>
            <w:left w:w="108" w:type="dxa"/>
            <w:bottom w:w="0" w:type="dxa"/>
            <w:right w:w="108" w:type="dxa"/>
          </w:tblCellMar>
        </w:tblPrEx>
        <w:trPr>
          <w:trHeight w:val="645" w:hRule="atLeast"/>
          <w:jc w:val="center"/>
        </w:trPr>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rPr>
              <w:t>2</w:t>
            </w:r>
          </w:p>
        </w:tc>
        <w:tc>
          <w:tcPr>
            <w:tcW w:w="5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仿宋_GB2312" w:hAnsi="等线" w:eastAsia="仿宋_GB2312" w:cs="宋体"/>
                <w:b w:val="0"/>
                <w:bCs/>
                <w:color w:val="000000"/>
                <w:kern w:val="0"/>
                <w:sz w:val="24"/>
                <w:szCs w:val="24"/>
                <w:lang w:val="en-US" w:eastAsia="zh-CN" w:bidi="ar-SA"/>
              </w:rPr>
            </w:pPr>
            <w:r>
              <w:rPr>
                <w:rFonts w:hint="eastAsia" w:ascii="仿宋_GB2312" w:hAnsi="等线" w:eastAsia="仿宋_GB2312" w:cs="宋体"/>
                <w:b w:val="0"/>
                <w:bCs/>
                <w:color w:val="000000"/>
                <w:kern w:val="0"/>
                <w:sz w:val="24"/>
                <w:szCs w:val="24"/>
                <w:lang w:val="en-US" w:eastAsia="zh-CN"/>
              </w:rPr>
              <w:t>社区矫正课题研究</w:t>
            </w:r>
            <w:r>
              <w:rPr>
                <w:rFonts w:hint="eastAsia" w:hAnsi="等线" w:cs="宋体"/>
                <w:b w:val="0"/>
                <w:bCs/>
                <w:color w:val="000000"/>
                <w:kern w:val="0"/>
                <w:sz w:val="24"/>
                <w:szCs w:val="24"/>
                <w:lang w:val="en-US" w:eastAsia="zh-CN"/>
              </w:rPr>
              <w:t>费用</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bidi="ar-SA"/>
              </w:rPr>
              <w:t>12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eastAsia" w:hAnsi="等线" w:cs="宋体"/>
                <w:b w:val="0"/>
                <w:bCs/>
                <w:color w:val="000000"/>
                <w:kern w:val="0"/>
                <w:sz w:val="24"/>
                <w:szCs w:val="24"/>
                <w:lang w:val="en-US" w:eastAsia="zh-CN" w:bidi="ar-SA"/>
              </w:rPr>
            </w:pPr>
            <w:r>
              <w:rPr>
                <w:rFonts w:hint="default" w:hAnsi="等线" w:cs="宋体"/>
                <w:b w:val="0"/>
                <w:bCs/>
                <w:color w:val="000000"/>
                <w:kern w:val="0"/>
                <w:sz w:val="24"/>
                <w:szCs w:val="24"/>
                <w:lang w:val="en-US" w:eastAsia="zh-CN" w:bidi="ar-SA"/>
              </w:rPr>
              <w:t>13.04%</w:t>
            </w:r>
          </w:p>
        </w:tc>
      </w:tr>
      <w:tr>
        <w:tblPrEx>
          <w:tblCellMar>
            <w:top w:w="0" w:type="dxa"/>
            <w:left w:w="108" w:type="dxa"/>
            <w:bottom w:w="0" w:type="dxa"/>
            <w:right w:w="108" w:type="dxa"/>
          </w:tblCellMar>
        </w:tblPrEx>
        <w:trPr>
          <w:trHeight w:val="424" w:hRule="atLeast"/>
          <w:jc w:val="center"/>
        </w:trPr>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val="0"/>
                <w:bCs/>
                <w:color w:val="000000"/>
                <w:kern w:val="0"/>
                <w:sz w:val="24"/>
                <w:szCs w:val="24"/>
              </w:rPr>
            </w:pPr>
            <w:r>
              <w:rPr>
                <w:rFonts w:hint="eastAsia" w:ascii="仿宋_GB2312" w:hAnsi="等线" w:eastAsia="仿宋_GB2312" w:cs="宋体"/>
                <w:b w:val="0"/>
                <w:bCs/>
                <w:color w:val="000000"/>
                <w:kern w:val="0"/>
                <w:sz w:val="24"/>
                <w:szCs w:val="24"/>
              </w:rPr>
              <w:t>3</w:t>
            </w:r>
          </w:p>
        </w:tc>
        <w:tc>
          <w:tcPr>
            <w:tcW w:w="5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rPr>
              <w:t>社区矫正</w:t>
            </w:r>
            <w:r>
              <w:rPr>
                <w:rFonts w:hint="eastAsia" w:ascii="仿宋_GB2312" w:hAnsi="等线" w:eastAsia="仿宋_GB2312" w:cs="宋体"/>
                <w:b w:val="0"/>
                <w:bCs/>
                <w:color w:val="000000"/>
                <w:kern w:val="0"/>
                <w:sz w:val="24"/>
                <w:szCs w:val="24"/>
              </w:rPr>
              <w:t>宣传</w:t>
            </w:r>
            <w:r>
              <w:rPr>
                <w:rFonts w:hint="eastAsia" w:hAnsi="等线" w:cs="宋体"/>
                <w:b w:val="0"/>
                <w:bCs/>
                <w:color w:val="000000"/>
                <w:kern w:val="0"/>
                <w:sz w:val="24"/>
                <w:szCs w:val="24"/>
                <w:lang w:val="en-US" w:eastAsia="zh-CN"/>
              </w:rPr>
              <w:t>费用</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bidi="ar-SA"/>
              </w:rPr>
              <w:t>18.55</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eastAsia" w:hAnsi="等线" w:cs="宋体"/>
                <w:b w:val="0"/>
                <w:bCs/>
                <w:color w:val="000000"/>
                <w:kern w:val="0"/>
                <w:sz w:val="24"/>
                <w:szCs w:val="24"/>
                <w:lang w:val="en-US" w:eastAsia="zh-CN" w:bidi="ar-SA"/>
              </w:rPr>
            </w:pPr>
            <w:r>
              <w:rPr>
                <w:rFonts w:hint="default" w:hAnsi="等线" w:cs="宋体"/>
                <w:b w:val="0"/>
                <w:bCs/>
                <w:color w:val="000000"/>
                <w:kern w:val="0"/>
                <w:sz w:val="24"/>
                <w:szCs w:val="24"/>
                <w:lang w:val="en-US" w:eastAsia="zh-CN" w:bidi="ar-SA"/>
              </w:rPr>
              <w:t>20.16%</w:t>
            </w:r>
          </w:p>
        </w:tc>
      </w:tr>
      <w:tr>
        <w:tblPrEx>
          <w:tblCellMar>
            <w:top w:w="0" w:type="dxa"/>
            <w:left w:w="108" w:type="dxa"/>
            <w:bottom w:w="0" w:type="dxa"/>
            <w:right w:w="108" w:type="dxa"/>
          </w:tblCellMar>
        </w:tblPrEx>
        <w:trPr>
          <w:trHeight w:val="424" w:hRule="atLeast"/>
          <w:jc w:val="center"/>
        </w:trPr>
        <w:tc>
          <w:tcPr>
            <w:tcW w:w="8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bidi="ar-SA"/>
              </w:rPr>
              <w:t>4</w:t>
            </w:r>
          </w:p>
        </w:tc>
        <w:tc>
          <w:tcPr>
            <w:tcW w:w="5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bidi="ar-SA"/>
              </w:rPr>
              <w:t>其他安置帮教支出</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bidi="ar-SA"/>
              </w:rPr>
              <w:t>38.69</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eastAsia" w:hAnsi="等线" w:cs="宋体"/>
                <w:b w:val="0"/>
                <w:bCs/>
                <w:color w:val="000000"/>
                <w:kern w:val="0"/>
                <w:sz w:val="24"/>
                <w:szCs w:val="24"/>
                <w:lang w:val="en-US" w:eastAsia="zh-CN" w:bidi="ar-SA"/>
              </w:rPr>
            </w:pPr>
            <w:r>
              <w:rPr>
                <w:rFonts w:hint="default" w:hAnsi="等线" w:cs="宋体"/>
                <w:b w:val="0"/>
                <w:bCs/>
                <w:color w:val="000000"/>
                <w:kern w:val="0"/>
                <w:sz w:val="24"/>
                <w:szCs w:val="24"/>
                <w:lang w:val="en-US" w:eastAsia="zh-CN" w:bidi="ar-SA"/>
              </w:rPr>
              <w:t>42.05%</w:t>
            </w:r>
          </w:p>
        </w:tc>
      </w:tr>
      <w:tr>
        <w:tblPrEx>
          <w:tblCellMar>
            <w:top w:w="0" w:type="dxa"/>
            <w:left w:w="108" w:type="dxa"/>
            <w:bottom w:w="0" w:type="dxa"/>
            <w:right w:w="108" w:type="dxa"/>
          </w:tblCellMar>
        </w:tblPrEx>
        <w:trPr>
          <w:trHeight w:val="424" w:hRule="atLeast"/>
          <w:jc w:val="center"/>
        </w:trPr>
        <w:tc>
          <w:tcPr>
            <w:tcW w:w="594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等线" w:eastAsia="仿宋_GB2312" w:cs="宋体"/>
                <w:b w:val="0"/>
                <w:bCs/>
                <w:color w:val="000000"/>
                <w:kern w:val="0"/>
                <w:sz w:val="24"/>
                <w:szCs w:val="24"/>
                <w:lang w:val="en-US" w:eastAsia="zh-CN" w:bidi="ar-SA"/>
              </w:rPr>
            </w:pPr>
            <w:r>
              <w:rPr>
                <w:rFonts w:hint="eastAsia" w:hAnsi="等线" w:cs="宋体"/>
                <w:b/>
                <w:bCs w:val="0"/>
                <w:color w:val="000000"/>
                <w:kern w:val="0"/>
                <w:sz w:val="24"/>
                <w:szCs w:val="24"/>
                <w:lang w:val="en-US" w:eastAsia="zh-CN"/>
              </w:rPr>
              <w:t>合计</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bidi="ar-SA"/>
              </w:rPr>
              <w:t>92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default" w:ascii="仿宋_GB2312" w:hAnsi="等线" w:eastAsia="仿宋_GB2312" w:cs="宋体"/>
                <w:b w:val="0"/>
                <w:bCs/>
                <w:color w:val="000000"/>
                <w:kern w:val="0"/>
                <w:sz w:val="24"/>
                <w:szCs w:val="24"/>
                <w:lang w:val="en-US" w:eastAsia="zh-CN" w:bidi="ar-SA"/>
              </w:rPr>
            </w:pPr>
            <w:r>
              <w:rPr>
                <w:rFonts w:hint="eastAsia" w:hAnsi="等线" w:cs="宋体"/>
                <w:b w:val="0"/>
                <w:bCs/>
                <w:color w:val="000000"/>
                <w:kern w:val="0"/>
                <w:sz w:val="24"/>
                <w:szCs w:val="24"/>
                <w:lang w:val="en-US" w:eastAsia="zh-CN" w:bidi="ar-SA"/>
              </w:rPr>
              <w:t>100%</w:t>
            </w:r>
          </w:p>
        </w:tc>
      </w:tr>
    </w:tbl>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lang w:val="en-US" w:eastAsia="zh-CN"/>
        </w:rPr>
      </w:pPr>
    </w:p>
    <w:p>
      <w:pPr>
        <w:widowControl/>
        <w:spacing w:line="560" w:lineRule="exact"/>
        <w:jc w:val="center"/>
        <w:rPr>
          <w:rFonts w:ascii="仿宋_GB2312" w:hAnsi="仿宋_GB2312" w:eastAsia="仿宋_GB2312"/>
          <w:b/>
          <w:bCs/>
          <w:kern w:val="0"/>
          <w:sz w:val="28"/>
          <w:szCs w:val="28"/>
          <w:shd w:val="clear" w:color="auto" w:fill="FFFFFF"/>
        </w:rPr>
      </w:pPr>
      <w:r>
        <w:rPr>
          <w:rFonts w:hint="eastAsia" w:ascii="黑体" w:hAnsi="黑体" w:eastAsia="黑体" w:cs="黑体"/>
          <w:kern w:val="0"/>
          <w:sz w:val="28"/>
          <w:szCs w:val="28"/>
          <w:shd w:val="clear" w:color="auto" w:fill="FFFFFF"/>
        </w:rPr>
        <w:t>表1-</w:t>
      </w:r>
      <w:r>
        <w:rPr>
          <w:rFonts w:hint="eastAsia" w:ascii="黑体" w:hAnsi="黑体" w:eastAsia="黑体" w:cs="黑体"/>
          <w:kern w:val="0"/>
          <w:sz w:val="28"/>
          <w:szCs w:val="28"/>
          <w:shd w:val="clear" w:color="auto" w:fill="FFFFFF"/>
          <w:lang w:val="en-US" w:eastAsia="zh-CN"/>
        </w:rPr>
        <w:t>3</w:t>
      </w:r>
      <w:r>
        <w:rPr>
          <w:rFonts w:hint="eastAsia" w:ascii="黑体" w:hAnsi="黑体" w:eastAsia="黑体" w:cs="黑体"/>
          <w:kern w:val="0"/>
          <w:sz w:val="28"/>
          <w:szCs w:val="28"/>
          <w:shd w:val="clear" w:color="auto" w:fill="FFFFFF"/>
        </w:rPr>
        <w:t xml:space="preserve"> 项目资金执行情况表</w:t>
      </w:r>
    </w:p>
    <w:p>
      <w:pPr>
        <w:spacing w:line="560" w:lineRule="exact"/>
        <w:jc w:val="right"/>
        <w:rPr>
          <w:rFonts w:ascii="仿宋_GB2312" w:eastAsia="仿宋_GB2312" w:cs="仿宋_GB2312"/>
          <w:color w:val="0000FF"/>
          <w:sz w:val="32"/>
          <w:szCs w:val="32"/>
        </w:rPr>
      </w:pPr>
      <w:r>
        <w:rPr>
          <w:rFonts w:ascii="仿宋_GB2312" w:hAnsi="仿宋_GB2312" w:eastAsia="仿宋_GB2312"/>
          <w:kern w:val="0"/>
          <w:sz w:val="24"/>
          <w:shd w:val="clear" w:color="auto" w:fill="FFFFFF"/>
        </w:rPr>
        <w:t>单位：</w:t>
      </w:r>
      <w:r>
        <w:rPr>
          <w:rFonts w:hint="eastAsia" w:ascii="仿宋_GB2312" w:hAnsi="仿宋_GB2312" w:eastAsia="仿宋_GB2312"/>
          <w:kern w:val="0"/>
          <w:sz w:val="24"/>
          <w:shd w:val="clear" w:color="auto" w:fill="FFFFFF"/>
        </w:rPr>
        <w:t>万</w:t>
      </w:r>
      <w:r>
        <w:rPr>
          <w:rFonts w:ascii="仿宋_GB2312" w:hAnsi="仿宋_GB2312" w:eastAsia="仿宋_GB2312"/>
          <w:kern w:val="0"/>
          <w:sz w:val="24"/>
          <w:shd w:val="clear" w:color="auto" w:fill="FFFFFF"/>
        </w:rPr>
        <w:t>元</w:t>
      </w:r>
    </w:p>
    <w:tbl>
      <w:tblPr>
        <w:tblStyle w:val="23"/>
        <w:tblW w:w="8725" w:type="dxa"/>
        <w:jc w:val="center"/>
        <w:tblLayout w:type="fixed"/>
        <w:tblCellMar>
          <w:top w:w="0" w:type="dxa"/>
          <w:left w:w="108" w:type="dxa"/>
          <w:bottom w:w="0" w:type="dxa"/>
          <w:right w:w="108" w:type="dxa"/>
        </w:tblCellMar>
      </w:tblPr>
      <w:tblGrid>
        <w:gridCol w:w="1716"/>
        <w:gridCol w:w="1833"/>
        <w:gridCol w:w="1905"/>
        <w:gridCol w:w="1710"/>
        <w:gridCol w:w="1561"/>
      </w:tblGrid>
      <w:tr>
        <w:tblPrEx>
          <w:tblCellMar>
            <w:top w:w="0" w:type="dxa"/>
            <w:left w:w="108" w:type="dxa"/>
            <w:bottom w:w="0" w:type="dxa"/>
            <w:right w:w="108" w:type="dxa"/>
          </w:tblCellMar>
        </w:tblPrEx>
        <w:trPr>
          <w:trHeight w:val="428" w:hRule="atLeast"/>
          <w:jc w:val="center"/>
        </w:trPr>
        <w:tc>
          <w:tcPr>
            <w:tcW w:w="1716"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项目名称</w:t>
            </w:r>
          </w:p>
        </w:tc>
        <w:tc>
          <w:tcPr>
            <w:tcW w:w="183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ottom"/>
              <w:rPr>
                <w:rFonts w:ascii="仿宋_GB2312" w:hAnsi="仿宋_GB2312" w:eastAsia="仿宋_GB2312" w:cs="仿宋_GB2312"/>
                <w:b/>
                <w:bCs/>
                <w:color w:val="000000"/>
                <w:kern w:val="0"/>
                <w:sz w:val="24"/>
                <w:szCs w:val="24"/>
                <w:highlight w:val="none"/>
                <w:lang w:bidi="ar"/>
              </w:rPr>
            </w:pPr>
            <w:r>
              <w:rPr>
                <w:rFonts w:hint="eastAsia" w:ascii="仿宋_GB2312" w:hAnsi="仿宋_GB2312" w:eastAsia="仿宋_GB2312" w:cs="仿宋_GB2312"/>
                <w:b/>
                <w:bCs/>
                <w:color w:val="000000"/>
                <w:kern w:val="0"/>
                <w:sz w:val="24"/>
                <w:szCs w:val="24"/>
                <w:highlight w:val="none"/>
                <w:lang w:bidi="ar"/>
              </w:rPr>
              <w:t>季度</w:t>
            </w:r>
          </w:p>
        </w:tc>
        <w:tc>
          <w:tcPr>
            <w:tcW w:w="190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年度总指标</w:t>
            </w:r>
          </w:p>
        </w:tc>
        <w:tc>
          <w:tcPr>
            <w:tcW w:w="1710" w:type="dxa"/>
            <w:tcBorders>
              <w:top w:val="single" w:color="000000" w:sz="4" w:space="0"/>
              <w:left w:val="single" w:color="auto" w:sz="4" w:space="0"/>
              <w:bottom w:val="single" w:color="auto" w:sz="4" w:space="0"/>
              <w:right w:val="single" w:color="000000" w:sz="4" w:space="0"/>
            </w:tcBorders>
            <w:shd w:val="clear" w:color="auto" w:fill="BEBEBE" w:themeFill="background1" w:themeFillShade="BF"/>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仿宋_GB2312" w:eastAsia="仿宋_GB2312" w:cs="仿宋_GB2312"/>
                <w:b/>
                <w:bCs/>
                <w:color w:val="000000"/>
                <w:sz w:val="24"/>
                <w:szCs w:val="24"/>
                <w:highlight w:val="none"/>
              </w:rPr>
            </w:pPr>
            <w:r>
              <w:rPr>
                <w:rFonts w:hint="eastAsia" w:cs="仿宋_GB2312"/>
                <w:b/>
                <w:bCs/>
                <w:color w:val="000000"/>
                <w:kern w:val="0"/>
                <w:sz w:val="24"/>
                <w:szCs w:val="24"/>
                <w:highlight w:val="none"/>
                <w:lang w:val="en-US" w:eastAsia="zh-CN" w:bidi="ar"/>
              </w:rPr>
              <w:t>累计</w:t>
            </w:r>
            <w:r>
              <w:rPr>
                <w:rFonts w:hint="eastAsia" w:ascii="仿宋_GB2312" w:hAnsi="仿宋_GB2312" w:eastAsia="仿宋_GB2312" w:cs="仿宋_GB2312"/>
                <w:b/>
                <w:bCs/>
                <w:color w:val="000000"/>
                <w:kern w:val="0"/>
                <w:sz w:val="24"/>
                <w:szCs w:val="24"/>
                <w:highlight w:val="none"/>
                <w:lang w:bidi="ar"/>
              </w:rPr>
              <w:t>支出数</w:t>
            </w:r>
          </w:p>
        </w:tc>
        <w:tc>
          <w:tcPr>
            <w:tcW w:w="1561" w:type="dxa"/>
            <w:tcBorders>
              <w:top w:val="single" w:color="000000" w:sz="4" w:space="0"/>
              <w:left w:val="single" w:color="000000" w:sz="4" w:space="0"/>
              <w:bottom w:val="single" w:color="auto" w:sz="4" w:space="0"/>
              <w:right w:val="single" w:color="000000" w:sz="4" w:space="0"/>
            </w:tcBorders>
            <w:shd w:val="clear" w:color="auto" w:fill="BEBEBE" w:themeFill="background1" w:themeFillShade="BF"/>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执行率</w:t>
            </w:r>
          </w:p>
        </w:tc>
      </w:tr>
      <w:tr>
        <w:tblPrEx>
          <w:tblCellMar>
            <w:top w:w="0" w:type="dxa"/>
            <w:left w:w="108" w:type="dxa"/>
            <w:bottom w:w="0" w:type="dxa"/>
            <w:right w:w="108" w:type="dxa"/>
          </w:tblCellMar>
        </w:tblPrEx>
        <w:trPr>
          <w:trHeight w:val="462" w:hRule="atLeast"/>
          <w:jc w:val="center"/>
        </w:trPr>
        <w:tc>
          <w:tcPr>
            <w:tcW w:w="17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仿宋_GB2312" w:hAnsi="仿宋_GB2312" w:eastAsia="仿宋_GB2312" w:cs="仿宋_GB2312"/>
                <w:color w:val="000000"/>
                <w:sz w:val="24"/>
                <w:szCs w:val="24"/>
                <w:highlight w:val="none"/>
                <w:lang w:val="en-US" w:eastAsia="zh-CN"/>
              </w:rPr>
            </w:pPr>
            <w:r>
              <w:rPr>
                <w:rFonts w:hint="eastAsia" w:cs="仿宋_GB2312"/>
                <w:color w:val="000000"/>
                <w:sz w:val="24"/>
                <w:szCs w:val="24"/>
                <w:highlight w:val="none"/>
                <w:lang w:val="en-US" w:eastAsia="zh-CN"/>
              </w:rPr>
              <w:t>社区矫正、安帮经费</w:t>
            </w:r>
            <w:r>
              <w:rPr>
                <w:rFonts w:hint="eastAsia" w:ascii="仿宋_GB2312" w:hAnsi="仿宋_GB2312" w:eastAsia="仿宋_GB2312" w:cs="仿宋_GB2312"/>
                <w:color w:val="000000"/>
                <w:sz w:val="24"/>
                <w:szCs w:val="24"/>
                <w:highlight w:val="none"/>
                <w:lang w:val="en-US" w:eastAsia="zh-CN"/>
              </w:rPr>
              <w:t>项目</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ottom"/>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第一季度</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92</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1.06</w:t>
            </w: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1.15%</w:t>
            </w:r>
          </w:p>
        </w:tc>
      </w:tr>
      <w:tr>
        <w:tblPrEx>
          <w:tblCellMar>
            <w:top w:w="0" w:type="dxa"/>
            <w:left w:w="108" w:type="dxa"/>
            <w:bottom w:w="0" w:type="dxa"/>
            <w:right w:w="108" w:type="dxa"/>
          </w:tblCellMar>
        </w:tblPrEx>
        <w:trPr>
          <w:trHeight w:val="472" w:hRule="atLeast"/>
          <w:jc w:val="center"/>
        </w:trPr>
        <w:tc>
          <w:tcPr>
            <w:tcW w:w="1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仿宋_GB2312" w:hAnsi="仿宋_GB2312" w:eastAsia="仿宋_GB2312" w:cs="仿宋_GB2312"/>
                <w:color w:val="000000"/>
                <w:sz w:val="24"/>
                <w:szCs w:val="24"/>
                <w:highlight w:val="none"/>
              </w:rP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ottom"/>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第二季度</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92</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35.85</w:t>
            </w: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38.97%</w:t>
            </w:r>
          </w:p>
        </w:tc>
      </w:tr>
      <w:tr>
        <w:tblPrEx>
          <w:tblCellMar>
            <w:top w:w="0" w:type="dxa"/>
            <w:left w:w="108" w:type="dxa"/>
            <w:bottom w:w="0" w:type="dxa"/>
            <w:right w:w="108" w:type="dxa"/>
          </w:tblCellMar>
        </w:tblPrEx>
        <w:trPr>
          <w:trHeight w:val="460" w:hRule="atLeast"/>
          <w:jc w:val="center"/>
        </w:trPr>
        <w:tc>
          <w:tcPr>
            <w:tcW w:w="1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仿宋_GB2312" w:hAnsi="仿宋_GB2312" w:eastAsia="仿宋_GB2312" w:cs="仿宋_GB2312"/>
                <w:color w:val="000000"/>
                <w:sz w:val="24"/>
                <w:szCs w:val="24"/>
                <w:highlight w:val="none"/>
              </w:rP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ottom"/>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第三季度</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92</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46.09</w:t>
            </w: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50.10%</w:t>
            </w:r>
          </w:p>
        </w:tc>
      </w:tr>
      <w:tr>
        <w:tblPrEx>
          <w:tblCellMar>
            <w:top w:w="0" w:type="dxa"/>
            <w:left w:w="108" w:type="dxa"/>
            <w:bottom w:w="0" w:type="dxa"/>
            <w:right w:w="108" w:type="dxa"/>
          </w:tblCellMar>
        </w:tblPrEx>
        <w:trPr>
          <w:trHeight w:val="460" w:hRule="atLeast"/>
          <w:jc w:val="center"/>
        </w:trPr>
        <w:tc>
          <w:tcPr>
            <w:tcW w:w="1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ascii="仿宋_GB2312" w:hAnsi="仿宋_GB2312" w:eastAsia="仿宋_GB2312" w:cs="仿宋_GB2312"/>
                <w:color w:val="000000"/>
                <w:sz w:val="24"/>
                <w:szCs w:val="24"/>
                <w:highlight w:val="none"/>
              </w:rPr>
            </w:pPr>
          </w:p>
        </w:tc>
        <w:tc>
          <w:tcPr>
            <w:tcW w:w="1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ottom"/>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第四季度</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92</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92</w:t>
            </w:r>
          </w:p>
        </w:tc>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仿宋_GB2312"/>
                <w:color w:val="000000"/>
                <w:kern w:val="0"/>
                <w:sz w:val="24"/>
                <w:szCs w:val="24"/>
                <w:highlight w:val="none"/>
                <w:lang w:val="en-US" w:eastAsia="zh-CN" w:bidi="ar"/>
              </w:rPr>
            </w:pPr>
            <w:r>
              <w:rPr>
                <w:rFonts w:hint="eastAsia" w:cs="仿宋_GB2312"/>
                <w:color w:val="000000"/>
                <w:kern w:val="0"/>
                <w:sz w:val="24"/>
                <w:szCs w:val="24"/>
                <w:highlight w:val="none"/>
                <w:lang w:val="en-US" w:eastAsia="zh-CN" w:bidi="ar"/>
              </w:rPr>
              <w:t>100%</w:t>
            </w:r>
          </w:p>
        </w:tc>
      </w:tr>
    </w:tbl>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lang w:val="en-US" w:eastAsia="zh-CN"/>
        </w:rPr>
      </w:pPr>
    </w:p>
    <w:p>
      <w:pPr>
        <w:pStyle w:val="5"/>
        <w:numPr>
          <w:ilvl w:val="0"/>
          <w:numId w:val="0"/>
        </w:numPr>
        <w:bidi w:val="0"/>
        <w:ind w:leftChars="200"/>
        <w:rPr>
          <w:lang w:eastAsia="zh-Hans"/>
        </w:rPr>
      </w:pPr>
      <w:bookmarkStart w:id="9" w:name="_Toc912088273"/>
      <w:bookmarkStart w:id="10" w:name="_Toc20477"/>
      <w:r>
        <w:rPr>
          <w:lang w:val="zh-CN" w:eastAsia="zh-Hans"/>
        </w:rPr>
        <w:t>（二）项目绩效目标</w:t>
      </w:r>
      <w:bookmarkEnd w:id="9"/>
      <w:bookmarkEnd w:id="10"/>
    </w:p>
    <w:p>
      <w:pPr>
        <w:pStyle w:val="6"/>
        <w:bidi w:val="0"/>
      </w:pPr>
      <w:bookmarkStart w:id="11" w:name="_Toc1978015710"/>
      <w:r>
        <w:t>1.总体目标</w:t>
      </w:r>
      <w:bookmarkEnd w:id="11"/>
    </w:p>
    <w:p>
      <w:pPr>
        <w:bidi w:val="0"/>
      </w:pPr>
      <w:bookmarkStart w:id="12" w:name="_Toc1463182410"/>
      <w:r>
        <w:rPr>
          <w:rFonts w:hint="eastAsia"/>
        </w:rPr>
        <w:t>加大社矫法学习宣传</w:t>
      </w:r>
      <w:r>
        <w:rPr>
          <w:rFonts w:hint="eastAsia"/>
          <w:lang w:eastAsia="zh-CN"/>
        </w:rPr>
        <w:t>，</w:t>
      </w:r>
      <w:r>
        <w:rPr>
          <w:rFonts w:hint="eastAsia"/>
        </w:rPr>
        <w:t>运用传统宣传手段和新媒体新技术，突出重点内容、重点单位、重点群体，开展多层次、多形式、多角度的群众性学习宣传教育活动；制定信息化核查相关制度，利用信息化核查终端取代电子手环，全力保障社矫法实施的平稳过渡</w:t>
      </w:r>
      <w:r>
        <w:rPr>
          <w:rFonts w:hint="eastAsia"/>
          <w:lang w:eastAsia="zh-CN"/>
        </w:rPr>
        <w:t>；</w:t>
      </w:r>
      <w:r>
        <w:rPr>
          <w:rFonts w:hint="eastAsia"/>
          <w:lang w:val="en-US" w:eastAsia="zh-CN"/>
        </w:rPr>
        <w:t>做好</w:t>
      </w:r>
      <w:r>
        <w:rPr>
          <w:rFonts w:hint="eastAsia"/>
        </w:rPr>
        <w:t>安置帮教</w:t>
      </w:r>
      <w:r>
        <w:rPr>
          <w:rFonts w:hint="eastAsia"/>
          <w:lang w:val="en-US" w:eastAsia="zh-CN"/>
        </w:rPr>
        <w:t>管理工作</w:t>
      </w:r>
      <w:r>
        <w:rPr>
          <w:rFonts w:hint="eastAsia"/>
        </w:rPr>
        <w:t>，实现帮教率、安置率、重点帮教对象接送率三个100%。</w:t>
      </w:r>
    </w:p>
    <w:p>
      <w:pPr>
        <w:pStyle w:val="6"/>
        <w:bidi w:val="0"/>
      </w:pPr>
      <w:r>
        <w:t>2</w:t>
      </w:r>
      <w:r>
        <w:rPr>
          <w:rFonts w:hint="eastAsia"/>
        </w:rPr>
        <w:t>.</w:t>
      </w:r>
      <w:r>
        <w:t>年度目标</w:t>
      </w:r>
      <w:bookmarkEnd w:id="12"/>
    </w:p>
    <w:p>
      <w:pPr>
        <w:bidi w:val="0"/>
        <w:rPr>
          <w:rFonts w:hint="eastAsia"/>
        </w:rPr>
      </w:pPr>
      <w:r>
        <w:rPr>
          <w:rFonts w:hint="eastAsia"/>
          <w:lang w:val="en-US" w:eastAsia="zh-CN"/>
        </w:rPr>
        <w:t>全面贯彻社矫法，</w:t>
      </w:r>
      <w:r>
        <w:rPr>
          <w:rFonts w:hint="eastAsia"/>
        </w:rPr>
        <w:t>通过各种平台载体和多种形式，把</w:t>
      </w:r>
      <w:r>
        <w:rPr>
          <w:rFonts w:hint="eastAsia"/>
          <w:lang w:val="en-US" w:eastAsia="zh-CN"/>
        </w:rPr>
        <w:t>社矫法</w:t>
      </w:r>
      <w:r>
        <w:rPr>
          <w:rFonts w:hint="eastAsia"/>
        </w:rPr>
        <w:t>学习宣传推向高潮；制定《深圳市司法局社区矫正工作信息化核查暂行规定》，利用信息化核查终端，作为《社矫法》确认的信息化核查手段，取代电子手环</w:t>
      </w:r>
      <w:r>
        <w:rPr>
          <w:rFonts w:hint="eastAsia"/>
          <w:lang w:eastAsia="zh-CN"/>
        </w:rPr>
        <w:t>；</w:t>
      </w:r>
      <w:r>
        <w:rPr>
          <w:rFonts w:hint="eastAsia"/>
          <w:lang w:val="en-US" w:eastAsia="zh-CN"/>
        </w:rPr>
        <w:t>落实</w:t>
      </w:r>
      <w:r>
        <w:rPr>
          <w:rFonts w:hint="eastAsia"/>
        </w:rPr>
        <w:t>安置帮教</w:t>
      </w:r>
      <w:r>
        <w:rPr>
          <w:rFonts w:hint="eastAsia"/>
          <w:lang w:val="en-US" w:eastAsia="zh-CN"/>
        </w:rPr>
        <w:t>管理工作</w:t>
      </w:r>
      <w:r>
        <w:rPr>
          <w:rFonts w:hint="eastAsia"/>
        </w:rPr>
        <w:t>，加大信息核查</w:t>
      </w:r>
      <w:r>
        <w:rPr>
          <w:rFonts w:hint="eastAsia"/>
          <w:lang w:val="en-US" w:eastAsia="zh-CN"/>
        </w:rPr>
        <w:t>力度，</w:t>
      </w:r>
      <w:r>
        <w:rPr>
          <w:rFonts w:hint="eastAsia"/>
        </w:rPr>
        <w:t>逐一排查摸底</w:t>
      </w:r>
      <w:r>
        <w:rPr>
          <w:rFonts w:hint="eastAsia"/>
          <w:lang w:val="en-US" w:eastAsia="zh-CN"/>
        </w:rPr>
        <w:t>在册管教对象；通过</w:t>
      </w:r>
      <w:r>
        <w:rPr>
          <w:rFonts w:hint="eastAsia"/>
        </w:rPr>
        <w:t>心理咨询</w:t>
      </w:r>
      <w:r>
        <w:rPr>
          <w:rFonts w:hint="eastAsia"/>
          <w:lang w:eastAsia="zh-CN"/>
        </w:rPr>
        <w:t>、</w:t>
      </w:r>
      <w:r>
        <w:rPr>
          <w:rFonts w:hint="eastAsia"/>
          <w:lang w:val="en-US" w:eastAsia="zh-CN"/>
        </w:rPr>
        <w:t>辅导、</w:t>
      </w:r>
      <w:r>
        <w:rPr>
          <w:rFonts w:hint="eastAsia"/>
        </w:rPr>
        <w:t>矫治</w:t>
      </w:r>
      <w:r>
        <w:rPr>
          <w:rFonts w:hint="eastAsia"/>
          <w:lang w:val="en-US" w:eastAsia="zh-CN"/>
        </w:rPr>
        <w:t>等方式</w:t>
      </w:r>
      <w:r>
        <w:rPr>
          <w:rFonts w:hint="eastAsia"/>
        </w:rPr>
        <w:t>矫正犯罪人犯罪心理</w:t>
      </w:r>
      <w:r>
        <w:rPr>
          <w:rFonts w:hint="eastAsia"/>
          <w:lang w:eastAsia="zh-CN"/>
        </w:rPr>
        <w:t>，</w:t>
      </w:r>
      <w:r>
        <w:rPr>
          <w:rFonts w:hint="eastAsia"/>
        </w:rPr>
        <w:t>鼓励监管对象参与力所能及的志愿活动</w:t>
      </w:r>
      <w:r>
        <w:rPr>
          <w:rFonts w:hint="eastAsia"/>
          <w:lang w:eastAsia="zh-CN"/>
        </w:rPr>
        <w:t>，</w:t>
      </w:r>
      <w:r>
        <w:rPr>
          <w:rFonts w:hint="eastAsia"/>
        </w:rPr>
        <w:t>强化他们的社会责任感。</w:t>
      </w:r>
    </w:p>
    <w:p>
      <w:pPr>
        <w:pStyle w:val="6"/>
        <w:bidi w:val="0"/>
      </w:pPr>
      <w:r>
        <w:t>3.绩效目标编报情况</w:t>
      </w:r>
    </w:p>
    <w:p>
      <w:pPr>
        <w:bidi w:val="0"/>
      </w:pPr>
      <w:r>
        <w:rPr>
          <w:rFonts w:hint="eastAsia"/>
          <w:lang w:val="zh-CN"/>
        </w:rPr>
        <w:t>社区矫正、安帮经费</w:t>
      </w:r>
      <w:r>
        <w:t>项目</w:t>
      </w:r>
      <w:r>
        <w:rPr>
          <w:rFonts w:hint="eastAsia"/>
          <w:lang w:val="en-US" w:eastAsia="zh-CN"/>
        </w:rPr>
        <w:t>已</w:t>
      </w:r>
      <w:r>
        <w:rPr>
          <w:rFonts w:hint="eastAsia"/>
        </w:rPr>
        <w:t>纳入</w:t>
      </w:r>
      <w:r>
        <w:rPr>
          <w:rFonts w:hint="eastAsia"/>
          <w:lang w:val="en-US" w:eastAsia="zh-CN"/>
        </w:rPr>
        <w:t>我局2020年度</w:t>
      </w:r>
      <w:r>
        <w:rPr>
          <w:rFonts w:hint="eastAsia"/>
        </w:rPr>
        <w:t>预算绩效管理</w:t>
      </w:r>
      <w:r>
        <w:t>，年初针对</w:t>
      </w:r>
      <w:r>
        <w:rPr>
          <w:rFonts w:hint="eastAsia"/>
        </w:rPr>
        <w:t>本</w:t>
      </w:r>
      <w:r>
        <w:t>项目设置了投入、产出和效益相关绩效目标，整体符合绩效目标表</w:t>
      </w:r>
      <w:r>
        <w:rPr>
          <w:rFonts w:hint="eastAsia"/>
          <w:lang w:val="en-US" w:eastAsia="zh-CN"/>
        </w:rPr>
        <w:t>填报</w:t>
      </w:r>
      <w:r>
        <w:t>要求</w:t>
      </w:r>
      <w:r>
        <w:rPr>
          <w:rFonts w:hint="eastAsia"/>
        </w:rPr>
        <w:t>。</w:t>
      </w:r>
      <w:r>
        <w:t>根据2020年</w:t>
      </w:r>
      <w:r>
        <w:rPr>
          <w:rFonts w:hint="eastAsia"/>
          <w:lang w:val="en-US" w:eastAsia="zh-CN"/>
        </w:rPr>
        <w:t>度</w:t>
      </w:r>
      <w:r>
        <w:t>项目</w:t>
      </w:r>
      <w:r>
        <w:rPr>
          <w:rFonts w:hint="eastAsia"/>
          <w:lang w:val="en-US" w:eastAsia="zh-CN"/>
        </w:rPr>
        <w:t>支出绩效目标申报</w:t>
      </w:r>
      <w:r>
        <w:t>表，</w:t>
      </w:r>
      <w:r>
        <w:rPr>
          <w:rFonts w:hint="eastAsia"/>
          <w:lang w:val="en-US" w:eastAsia="zh-CN"/>
        </w:rPr>
        <w:t>社矫</w:t>
      </w:r>
      <w:r>
        <w:t>项目绩效目标设置如表1-</w:t>
      </w:r>
      <w:r>
        <w:rPr>
          <w:rFonts w:hint="eastAsia"/>
          <w:lang w:val="en-US" w:eastAsia="zh-CN"/>
        </w:rPr>
        <w:t>4</w:t>
      </w:r>
      <w:r>
        <w:t>所示：</w:t>
      </w:r>
    </w:p>
    <w:p>
      <w:pPr>
        <w:pStyle w:val="6"/>
        <w:ind w:firstLine="560"/>
        <w:jc w:val="center"/>
        <w:rPr>
          <w:rFonts w:ascii="黑体" w:hAnsi="黑体" w:eastAsia="黑体" w:cs="黑体"/>
          <w:b w:val="0"/>
          <w:color w:val="181717" w:themeColor="background2" w:themeShade="1A"/>
          <w:sz w:val="28"/>
          <w:szCs w:val="28"/>
          <w:lang w:eastAsia="zh-Hans"/>
        </w:rPr>
      </w:pPr>
      <w:r>
        <w:rPr>
          <w:rFonts w:hint="eastAsia" w:ascii="黑体" w:hAnsi="黑体" w:eastAsia="黑体" w:cs="黑体"/>
          <w:b w:val="0"/>
          <w:color w:val="181717" w:themeColor="background2" w:themeShade="1A"/>
          <w:sz w:val="28"/>
          <w:szCs w:val="28"/>
          <w:lang w:val="en-US" w:eastAsia="zh-Hans"/>
        </w:rPr>
        <w:t>表</w:t>
      </w:r>
      <w:r>
        <w:rPr>
          <w:rFonts w:ascii="黑体" w:hAnsi="黑体" w:eastAsia="黑体" w:cs="黑体"/>
          <w:b w:val="0"/>
          <w:color w:val="181717" w:themeColor="background2" w:themeShade="1A"/>
          <w:sz w:val="28"/>
          <w:szCs w:val="28"/>
          <w:lang w:eastAsia="zh-Hans"/>
        </w:rPr>
        <w:t>1-</w:t>
      </w:r>
      <w:r>
        <w:rPr>
          <w:rFonts w:hint="eastAsia" w:ascii="黑体" w:hAnsi="黑体" w:eastAsia="黑体" w:cs="黑体"/>
          <w:b w:val="0"/>
          <w:color w:val="181717" w:themeColor="background2" w:themeShade="1A"/>
          <w:sz w:val="28"/>
          <w:szCs w:val="28"/>
          <w:lang w:val="en-US" w:eastAsia="zh-CN"/>
        </w:rPr>
        <w:t>4</w:t>
      </w:r>
      <w:r>
        <w:rPr>
          <w:rFonts w:ascii="黑体" w:hAnsi="黑体" w:eastAsia="黑体" w:cs="黑体"/>
          <w:b w:val="0"/>
          <w:color w:val="181717" w:themeColor="background2" w:themeShade="1A"/>
          <w:sz w:val="28"/>
          <w:szCs w:val="28"/>
          <w:lang w:eastAsia="zh-Hans"/>
        </w:rPr>
        <w:t xml:space="preserve"> </w:t>
      </w:r>
      <w:r>
        <w:rPr>
          <w:rFonts w:hint="eastAsia" w:ascii="黑体" w:hAnsi="黑体" w:eastAsia="黑体" w:cs="黑体"/>
          <w:b w:val="0"/>
          <w:color w:val="181717" w:themeColor="background2" w:themeShade="1A"/>
          <w:sz w:val="28"/>
          <w:szCs w:val="28"/>
        </w:rPr>
        <w:t>2020</w:t>
      </w:r>
      <w:r>
        <w:rPr>
          <w:rFonts w:hint="eastAsia" w:ascii="黑体" w:hAnsi="黑体" w:eastAsia="黑体" w:cs="黑体"/>
          <w:b w:val="0"/>
          <w:color w:val="181717" w:themeColor="background2" w:themeShade="1A"/>
          <w:sz w:val="28"/>
          <w:szCs w:val="28"/>
          <w:lang w:val="en-US" w:eastAsia="zh-Hans"/>
        </w:rPr>
        <w:t>年</w:t>
      </w:r>
      <w:r>
        <w:rPr>
          <w:rFonts w:hint="eastAsia" w:ascii="黑体" w:hAnsi="黑体" w:eastAsia="黑体" w:cs="黑体"/>
          <w:b w:val="0"/>
          <w:color w:val="181717" w:themeColor="background2" w:themeShade="1A"/>
          <w:sz w:val="28"/>
          <w:szCs w:val="28"/>
          <w:lang w:val="en-US" w:eastAsia="zh-CN"/>
        </w:rPr>
        <w:t>社区矫正、安帮经费</w:t>
      </w:r>
      <w:r>
        <w:rPr>
          <w:rFonts w:hint="eastAsia" w:ascii="黑体" w:hAnsi="黑体" w:eastAsia="黑体" w:cs="黑体"/>
          <w:b w:val="0"/>
          <w:color w:val="181717" w:themeColor="background2" w:themeShade="1A"/>
          <w:sz w:val="28"/>
          <w:szCs w:val="28"/>
          <w:lang w:val="en-US" w:eastAsia="zh-Hans"/>
        </w:rPr>
        <w:t>项目绩效目标表</w:t>
      </w:r>
    </w:p>
    <w:tbl>
      <w:tblPr>
        <w:tblStyle w:val="23"/>
        <w:tblW w:w="5086" w:type="pct"/>
        <w:jc w:val="center"/>
        <w:tblLayout w:type="autofit"/>
        <w:tblCellMar>
          <w:top w:w="15" w:type="dxa"/>
          <w:left w:w="15" w:type="dxa"/>
          <w:bottom w:w="15" w:type="dxa"/>
          <w:right w:w="15" w:type="dxa"/>
        </w:tblCellMar>
      </w:tblPr>
      <w:tblGrid>
        <w:gridCol w:w="1519"/>
        <w:gridCol w:w="1878"/>
        <w:gridCol w:w="3493"/>
        <w:gridCol w:w="2137"/>
      </w:tblGrid>
      <w:tr>
        <w:tblPrEx>
          <w:tblCellMar>
            <w:top w:w="15" w:type="dxa"/>
            <w:left w:w="15" w:type="dxa"/>
            <w:bottom w:w="15" w:type="dxa"/>
            <w:right w:w="15" w:type="dxa"/>
          </w:tblCellMar>
        </w:tblPrEx>
        <w:trPr>
          <w:trHeight w:val="300" w:hRule="atLeast"/>
          <w:tblHeader/>
          <w:jc w:val="center"/>
        </w:trPr>
        <w:tc>
          <w:tcPr>
            <w:tcW w:w="841" w:type="pct"/>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pPr>
              <w:widowControl/>
              <w:spacing w:line="400" w:lineRule="exact"/>
              <w:ind w:firstLine="0" w:firstLineChars="0"/>
              <w:jc w:val="center"/>
              <w:textAlignment w:val="bottom"/>
              <w:rPr>
                <w:rFonts w:ascii="Times New Roman Regular" w:hAnsi="Times New Roman Regular" w:cs="Times New Roman Regular"/>
                <w:b/>
                <w:bCs/>
                <w:color w:val="181717" w:themeColor="background2" w:themeShade="1A"/>
                <w:sz w:val="24"/>
                <w:szCs w:val="24"/>
              </w:rPr>
            </w:pPr>
            <w:r>
              <w:rPr>
                <w:rFonts w:ascii="Times New Roman Regular" w:hAnsi="Times New Roman Regular" w:cs="Times New Roman Regular"/>
                <w:b/>
                <w:bCs/>
                <w:color w:val="181717" w:themeColor="background2" w:themeShade="1A"/>
                <w:kern w:val="0"/>
                <w:sz w:val="24"/>
                <w:szCs w:val="24"/>
                <w:lang w:bidi="ar"/>
              </w:rPr>
              <w:t>一级指标</w:t>
            </w:r>
          </w:p>
        </w:tc>
        <w:tc>
          <w:tcPr>
            <w:tcW w:w="1040" w:type="pct"/>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pPr>
              <w:widowControl/>
              <w:spacing w:line="400" w:lineRule="exact"/>
              <w:ind w:firstLine="0" w:firstLineChars="0"/>
              <w:jc w:val="center"/>
              <w:textAlignment w:val="bottom"/>
              <w:rPr>
                <w:rFonts w:ascii="Times New Roman Regular" w:hAnsi="Times New Roman Regular" w:cs="Times New Roman Regular"/>
                <w:b/>
                <w:bCs/>
                <w:color w:val="181717" w:themeColor="background2" w:themeShade="1A"/>
                <w:sz w:val="24"/>
                <w:szCs w:val="24"/>
              </w:rPr>
            </w:pPr>
            <w:r>
              <w:rPr>
                <w:rFonts w:ascii="Times New Roman Regular" w:hAnsi="Times New Roman Regular" w:cs="Times New Roman Regular"/>
                <w:b/>
                <w:bCs/>
                <w:color w:val="181717" w:themeColor="background2" w:themeShade="1A"/>
                <w:kern w:val="0"/>
                <w:sz w:val="24"/>
                <w:szCs w:val="24"/>
                <w:lang w:bidi="ar"/>
              </w:rPr>
              <w:t>二级指标</w:t>
            </w:r>
          </w:p>
        </w:tc>
        <w:tc>
          <w:tcPr>
            <w:tcW w:w="1934" w:type="pct"/>
            <w:tcBorders>
              <w:top w:val="single" w:color="000000" w:sz="4" w:space="0"/>
              <w:left w:val="single" w:color="000000" w:sz="4" w:space="0"/>
              <w:bottom w:val="single" w:color="auto" w:sz="4" w:space="0"/>
              <w:right w:val="single" w:color="000000" w:sz="4" w:space="0"/>
            </w:tcBorders>
            <w:shd w:val="clear" w:color="auto" w:fill="BEBEBE" w:themeFill="background1" w:themeFillShade="BF"/>
            <w:vAlign w:val="center"/>
          </w:tcPr>
          <w:p>
            <w:pPr>
              <w:widowControl/>
              <w:spacing w:line="400" w:lineRule="exact"/>
              <w:ind w:firstLine="0" w:firstLineChars="0"/>
              <w:jc w:val="center"/>
              <w:textAlignment w:val="bottom"/>
              <w:rPr>
                <w:rFonts w:ascii="Times New Roman Regular" w:hAnsi="Times New Roman Regular" w:cs="Times New Roman Regular"/>
                <w:b/>
                <w:bCs/>
                <w:color w:val="181717" w:themeColor="background2" w:themeShade="1A"/>
                <w:sz w:val="24"/>
                <w:szCs w:val="24"/>
              </w:rPr>
            </w:pPr>
            <w:r>
              <w:rPr>
                <w:rFonts w:ascii="Times New Roman Regular" w:hAnsi="Times New Roman Regular" w:cs="Times New Roman Regular"/>
                <w:b/>
                <w:bCs/>
                <w:color w:val="181717" w:themeColor="background2" w:themeShade="1A"/>
                <w:kern w:val="0"/>
                <w:sz w:val="24"/>
                <w:szCs w:val="24"/>
                <w:lang w:bidi="ar"/>
              </w:rPr>
              <w:t>三级指标</w:t>
            </w:r>
          </w:p>
        </w:tc>
        <w:tc>
          <w:tcPr>
            <w:tcW w:w="1183" w:type="pct"/>
            <w:tcBorders>
              <w:top w:val="single" w:color="000000" w:sz="4" w:space="0"/>
              <w:left w:val="single" w:color="000000" w:sz="4" w:space="0"/>
              <w:right w:val="single" w:color="000000" w:sz="4" w:space="0"/>
            </w:tcBorders>
            <w:shd w:val="clear" w:color="auto" w:fill="BEBEBE" w:themeFill="background1" w:themeFillShade="BF"/>
            <w:vAlign w:val="center"/>
          </w:tcPr>
          <w:p>
            <w:pPr>
              <w:widowControl/>
              <w:spacing w:line="400" w:lineRule="exact"/>
              <w:ind w:firstLine="0" w:firstLineChars="0"/>
              <w:jc w:val="center"/>
              <w:textAlignment w:val="bottom"/>
              <w:rPr>
                <w:rFonts w:ascii="Times New Roman Regular" w:hAnsi="Times New Roman Regular" w:cs="Times New Roman Regular"/>
                <w:b/>
                <w:bCs/>
                <w:color w:val="181717" w:themeColor="background2" w:themeShade="1A"/>
                <w:sz w:val="24"/>
                <w:szCs w:val="24"/>
              </w:rPr>
            </w:pPr>
            <w:r>
              <w:rPr>
                <w:rFonts w:ascii="Times New Roman Regular" w:hAnsi="Times New Roman Regular" w:cs="Times New Roman Regular"/>
                <w:b/>
                <w:bCs/>
                <w:color w:val="181717" w:themeColor="background2" w:themeShade="1A"/>
                <w:kern w:val="0"/>
                <w:sz w:val="24"/>
                <w:szCs w:val="24"/>
                <w:lang w:bidi="ar"/>
              </w:rPr>
              <w:t>年度指标值</w:t>
            </w:r>
          </w:p>
        </w:tc>
      </w:tr>
      <w:tr>
        <w:tblPrEx>
          <w:tblCellMar>
            <w:top w:w="15" w:type="dxa"/>
            <w:left w:w="15" w:type="dxa"/>
            <w:bottom w:w="15" w:type="dxa"/>
            <w:right w:w="15" w:type="dxa"/>
          </w:tblCellMar>
        </w:tblPrEx>
        <w:trPr>
          <w:trHeight w:val="240" w:hRule="atLeast"/>
          <w:jc w:val="center"/>
        </w:trPr>
        <w:tc>
          <w:tcPr>
            <w:tcW w:w="8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产出指标</w:t>
            </w:r>
          </w:p>
        </w:tc>
        <w:tc>
          <w:tcPr>
            <w:tcW w:w="10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数量指标</w:t>
            </w: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培训完成率</w:t>
            </w:r>
          </w:p>
        </w:tc>
        <w:tc>
          <w:tcPr>
            <w:tcW w:w="118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业务平台改造升级完成率</w:t>
            </w:r>
          </w:p>
        </w:tc>
        <w:tc>
          <w:tcPr>
            <w:tcW w:w="118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社工聘用计划完成率</w:t>
            </w:r>
          </w:p>
        </w:tc>
        <w:tc>
          <w:tcPr>
            <w:tcW w:w="118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社矫法宣传完成率</w:t>
            </w:r>
          </w:p>
        </w:tc>
        <w:tc>
          <w:tcPr>
            <w:tcW w:w="118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质量指标</w:t>
            </w: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培训参与率</w:t>
            </w:r>
          </w:p>
        </w:tc>
        <w:tc>
          <w:tcPr>
            <w:tcW w:w="118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社工验收合格率</w:t>
            </w:r>
          </w:p>
        </w:tc>
        <w:tc>
          <w:tcPr>
            <w:tcW w:w="118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宣传品验收合格率</w:t>
            </w:r>
          </w:p>
        </w:tc>
        <w:tc>
          <w:tcPr>
            <w:tcW w:w="118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bookmarkStart w:id="13" w:name="_Toc1985545112_WPSOffice_Level1"/>
            <w:r>
              <w:rPr>
                <w:rFonts w:ascii="Times New Roman Regular" w:hAnsi="Times New Roman Regular" w:cs="Times New Roman Regular"/>
                <w:color w:val="181717" w:themeColor="background2" w:themeShade="1A"/>
                <w:kern w:val="0"/>
                <w:sz w:val="24"/>
                <w:szCs w:val="24"/>
                <w:lang w:bidi="ar"/>
              </w:rPr>
              <w:t>时效指标</w:t>
            </w:r>
          </w:p>
        </w:tc>
        <w:tc>
          <w:tcPr>
            <w:tcW w:w="19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项目完成及时率</w:t>
            </w:r>
          </w:p>
          <w:bookmarkEnd w:id="13"/>
        </w:tc>
        <w:tc>
          <w:tcPr>
            <w:tcW w:w="1183"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成本指标</w:t>
            </w:r>
          </w:p>
        </w:tc>
        <w:tc>
          <w:tcPr>
            <w:tcW w:w="193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成本控制率</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r>
      <w:tr>
        <w:tblPrEx>
          <w:tblCellMar>
            <w:top w:w="15" w:type="dxa"/>
            <w:left w:w="15" w:type="dxa"/>
            <w:bottom w:w="15" w:type="dxa"/>
            <w:right w:w="15" w:type="dxa"/>
          </w:tblCellMar>
        </w:tblPrEx>
        <w:trPr>
          <w:trHeight w:val="240" w:hRule="atLeast"/>
          <w:jc w:val="center"/>
        </w:trPr>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效益指标</w:t>
            </w:r>
          </w:p>
        </w:tc>
        <w:tc>
          <w:tcPr>
            <w:tcW w:w="1040"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社会效益指标</w:t>
            </w:r>
          </w:p>
        </w:tc>
        <w:tc>
          <w:tcPr>
            <w:tcW w:w="19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业务系统升级</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有所应用</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p>
        </w:tc>
        <w:tc>
          <w:tcPr>
            <w:tcW w:w="19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bookmarkStart w:id="14" w:name="_Toc1445831829_WPSOffice_Level1"/>
            <w:r>
              <w:rPr>
                <w:rFonts w:hint="eastAsia" w:ascii="Times New Roman Regular" w:hAnsi="Times New Roman Regular" w:cs="Times New Roman Regular"/>
                <w:color w:val="181717" w:themeColor="background2" w:themeShade="1A"/>
                <w:kern w:val="0"/>
                <w:sz w:val="24"/>
                <w:szCs w:val="24"/>
                <w:lang w:val="en-US" w:eastAsia="zh-CN" w:bidi="ar"/>
              </w:rPr>
              <w:t>社矫对象知晓率</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≥80%</w:t>
            </w:r>
          </w:p>
        </w:tc>
      </w:tr>
      <w:bookmarkEnd w:id="14"/>
      <w:tr>
        <w:tblPrEx>
          <w:tblCellMar>
            <w:top w:w="15" w:type="dxa"/>
            <w:left w:w="15" w:type="dxa"/>
            <w:bottom w:w="15" w:type="dxa"/>
            <w:right w:w="15" w:type="dxa"/>
          </w:tblCellMar>
        </w:tblPrEx>
        <w:trPr>
          <w:trHeight w:val="240"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满意度指标</w:t>
            </w:r>
          </w:p>
        </w:tc>
        <w:tc>
          <w:tcPr>
            <w:tcW w:w="19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项目管理人员满意度</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w:t>
            </w:r>
            <w:r>
              <w:rPr>
                <w:rFonts w:hint="eastAsia" w:cs="仿宋_GB2312"/>
                <w:color w:val="181717" w:themeColor="background2" w:themeShade="1A"/>
                <w:kern w:val="0"/>
                <w:sz w:val="24"/>
                <w:szCs w:val="24"/>
                <w:lang w:val="en-US" w:eastAsia="zh-CN" w:bidi="ar"/>
              </w:rPr>
              <w:t>9</w:t>
            </w:r>
            <w:r>
              <w:rPr>
                <w:rFonts w:hint="eastAsia" w:ascii="仿宋_GB2312" w:hAnsi="仿宋_GB2312" w:eastAsia="仿宋_GB2312" w:cs="仿宋_GB2312"/>
                <w:color w:val="181717" w:themeColor="background2" w:themeShade="1A"/>
                <w:kern w:val="0"/>
                <w:sz w:val="24"/>
                <w:szCs w:val="24"/>
                <w:lang w:val="en-US" w:eastAsia="zh-CN" w:bidi="ar"/>
              </w:rPr>
              <w:t>0%</w:t>
            </w:r>
          </w:p>
        </w:tc>
      </w:tr>
      <w:tr>
        <w:tblPrEx>
          <w:tblCellMar>
            <w:top w:w="15" w:type="dxa"/>
            <w:left w:w="15" w:type="dxa"/>
            <w:bottom w:w="15" w:type="dxa"/>
            <w:right w:w="15" w:type="dxa"/>
          </w:tblCellMar>
        </w:tblPrEx>
        <w:trPr>
          <w:trHeight w:val="240" w:hRule="atLeast"/>
          <w:jc w:val="center"/>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1040"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p>
        </w:tc>
        <w:tc>
          <w:tcPr>
            <w:tcW w:w="19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相关方满意度</w:t>
            </w:r>
          </w:p>
        </w:tc>
        <w:tc>
          <w:tcPr>
            <w:tcW w:w="11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w:t>
            </w:r>
            <w:r>
              <w:rPr>
                <w:rFonts w:hint="eastAsia" w:cs="仿宋_GB2312"/>
                <w:color w:val="181717" w:themeColor="background2" w:themeShade="1A"/>
                <w:kern w:val="0"/>
                <w:sz w:val="24"/>
                <w:szCs w:val="24"/>
                <w:lang w:val="en-US" w:eastAsia="zh-CN" w:bidi="ar"/>
              </w:rPr>
              <w:t>9</w:t>
            </w:r>
            <w:r>
              <w:rPr>
                <w:rFonts w:hint="eastAsia" w:ascii="仿宋_GB2312" w:hAnsi="仿宋_GB2312" w:eastAsia="仿宋_GB2312" w:cs="仿宋_GB2312"/>
                <w:color w:val="181717" w:themeColor="background2" w:themeShade="1A"/>
                <w:kern w:val="0"/>
                <w:sz w:val="24"/>
                <w:szCs w:val="24"/>
                <w:lang w:val="en-US" w:eastAsia="zh-CN" w:bidi="ar"/>
              </w:rPr>
              <w:t>0%</w:t>
            </w:r>
          </w:p>
        </w:tc>
      </w:tr>
    </w:tbl>
    <w:p>
      <w:pPr>
        <w:keepNext/>
        <w:keepLines/>
        <w:pageBreakBefore w:val="0"/>
        <w:widowControl w:val="0"/>
        <w:kinsoku/>
        <w:wordWrap/>
        <w:overflowPunct/>
        <w:topLinePunct w:val="0"/>
        <w:autoSpaceDE/>
        <w:autoSpaceDN/>
        <w:bidi w:val="0"/>
        <w:adjustRightInd w:val="0"/>
        <w:snapToGrid w:val="0"/>
        <w:ind w:firstLine="0" w:firstLineChars="0"/>
        <w:textAlignment w:val="auto"/>
        <w:outlineLvl w:val="9"/>
        <w:rPr>
          <w:rFonts w:ascii="Times New Roman Regular" w:hAnsi="Times New Roman Regular" w:cs="Times New Roman Regular"/>
          <w:color w:val="181717" w:themeColor="background2" w:themeShade="1A"/>
        </w:rPr>
      </w:pPr>
    </w:p>
    <w:p>
      <w:pPr>
        <w:pStyle w:val="3"/>
        <w:numPr>
          <w:ilvl w:val="0"/>
          <w:numId w:val="0"/>
        </w:numPr>
        <w:bidi w:val="0"/>
        <w:ind w:leftChars="200"/>
        <w:rPr>
          <w:lang w:eastAsia="zh-Hans"/>
        </w:rPr>
      </w:pPr>
      <w:bookmarkStart w:id="15" w:name="_Toc30907"/>
      <w:r>
        <w:rPr>
          <w:lang w:eastAsia="zh-Hans"/>
        </w:rPr>
        <w:t>二、绩效评价工作开展情况</w:t>
      </w:r>
      <w:bookmarkEnd w:id="15"/>
      <w:bookmarkStart w:id="16" w:name="_Toc46687099"/>
      <w:bookmarkEnd w:id="16"/>
    </w:p>
    <w:p>
      <w:pPr>
        <w:pStyle w:val="5"/>
        <w:bidi w:val="0"/>
        <w:rPr>
          <w:lang w:eastAsia="zh-Hans"/>
        </w:rPr>
      </w:pPr>
      <w:bookmarkStart w:id="17" w:name="_Toc23023"/>
      <w:r>
        <w:rPr>
          <w:lang w:eastAsia="zh-Hans"/>
        </w:rPr>
        <w:t>（一）评价目的、对象和范围</w:t>
      </w:r>
      <w:bookmarkEnd w:id="17"/>
    </w:p>
    <w:p>
      <w:pPr>
        <w:pStyle w:val="6"/>
        <w:bidi w:val="0"/>
      </w:pPr>
      <w:r>
        <w:t>1.评价目的</w:t>
      </w:r>
    </w:p>
    <w:p>
      <w:pPr>
        <w:bidi w:val="0"/>
      </w:pPr>
      <w:r>
        <w:t>我局通过对该项目2020年实施情况进行部门评价，总结</w:t>
      </w:r>
      <w:r>
        <w:rPr>
          <w:rFonts w:hint="eastAsia"/>
          <w:lang w:val="zh-CN"/>
        </w:rPr>
        <w:t>社区矫正、安帮经费</w:t>
      </w:r>
      <w:r>
        <w:t>项目取得的成效和经验，并从中发现问题。目的是加强我局预算绩效管理，强化预算支出有效性和提高财政资金使用效率，为我局进一步决策提供更好的科学依据。</w:t>
      </w:r>
    </w:p>
    <w:p>
      <w:pPr>
        <w:pStyle w:val="6"/>
        <w:bidi w:val="0"/>
      </w:pPr>
      <w:r>
        <w:t>2.评价对象和范围</w:t>
      </w:r>
    </w:p>
    <w:p>
      <w:pPr>
        <w:bidi w:val="0"/>
        <w:rPr>
          <w:rFonts w:hint="eastAsia"/>
          <w:lang w:eastAsia="zh-CN"/>
        </w:rPr>
      </w:pPr>
      <w:r>
        <w:rPr>
          <w:rFonts w:hint="eastAsia"/>
          <w:lang w:val="en-US" w:eastAsia="zh-CN"/>
        </w:rPr>
        <w:t>根据</w:t>
      </w:r>
      <w:r>
        <w:rPr>
          <w:rFonts w:hint="eastAsia"/>
        </w:rPr>
        <w:t>《财政部关于印发＜项目支出绩效评价管理办法＞的通知》（财预〔2020〕10号）</w:t>
      </w:r>
      <w:r>
        <w:rPr>
          <w:rFonts w:hint="eastAsia"/>
          <w:lang w:eastAsia="zh-CN"/>
        </w:rPr>
        <w:t>、</w:t>
      </w:r>
      <w:r>
        <w:rPr>
          <w:rFonts w:hint="eastAsia"/>
        </w:rPr>
        <w:t>《深圳市财政局关于做好市本级2021年预算绩效管理工作的通知》（深财绩〔2021〕1号）</w:t>
      </w:r>
      <w:r>
        <w:rPr>
          <w:rFonts w:hint="eastAsia"/>
          <w:lang w:val="en-US" w:eastAsia="zh-CN"/>
        </w:rPr>
        <w:t>规定，</w:t>
      </w:r>
      <w:r>
        <w:t>本次评价对象为</w:t>
      </w:r>
      <w:r>
        <w:rPr>
          <w:rFonts w:hint="eastAsia"/>
          <w:lang w:val="en-US" w:eastAsia="zh-CN"/>
        </w:rPr>
        <w:t>深圳市司法局</w:t>
      </w:r>
      <w:r>
        <w:rPr>
          <w:rFonts w:hint="eastAsia"/>
          <w:lang w:eastAsia="zh-CN"/>
        </w:rPr>
        <w:t>社区矫正、安帮经费</w:t>
      </w:r>
      <w:r>
        <w:t>项目</w:t>
      </w:r>
      <w:r>
        <w:rPr>
          <w:rFonts w:hint="eastAsia"/>
          <w:lang w:eastAsia="zh-CN"/>
        </w:rPr>
        <w:t>。</w:t>
      </w:r>
    </w:p>
    <w:p>
      <w:pPr>
        <w:bidi w:val="0"/>
        <w:rPr>
          <w:rFonts w:hint="eastAsia"/>
          <w:lang w:eastAsia="zh-CN"/>
        </w:rPr>
      </w:pPr>
      <w:r>
        <w:rPr>
          <w:rFonts w:hint="eastAsia"/>
          <w:lang w:val="en-US" w:eastAsia="zh-CN"/>
        </w:rPr>
        <w:t>本次评价范围为</w:t>
      </w:r>
      <w:r>
        <w:rPr>
          <w:rFonts w:hint="eastAsia"/>
          <w:lang w:eastAsia="zh-CN"/>
        </w:rPr>
        <w:t>社区矫正、安帮经费</w:t>
      </w:r>
      <w:r>
        <w:t>项目</w:t>
      </w:r>
      <w:r>
        <w:rPr>
          <w:rFonts w:hint="eastAsia"/>
          <w:lang w:val="en-US" w:eastAsia="zh-CN"/>
        </w:rPr>
        <w:t>2020年度预算资金，其中</w:t>
      </w:r>
      <w:r>
        <w:t>涉及预算资金</w:t>
      </w:r>
      <w:r>
        <w:rPr>
          <w:rFonts w:hint="eastAsia"/>
          <w:lang w:eastAsia="zh-CN"/>
        </w:rPr>
        <w:t>92</w:t>
      </w:r>
      <w:r>
        <w:t>万元</w:t>
      </w:r>
      <w:r>
        <w:rPr>
          <w:rFonts w:hint="eastAsia"/>
          <w:lang w:eastAsia="zh-CN"/>
        </w:rPr>
        <w:t>，</w:t>
      </w:r>
      <w:r>
        <w:rPr>
          <w:rFonts w:hint="eastAsia"/>
          <w:lang w:val="en-US" w:eastAsia="zh-CN"/>
        </w:rPr>
        <w:t>资金来源均为市级财政拨款，</w:t>
      </w:r>
      <w:r>
        <w:t>该部分资金主要包括</w:t>
      </w:r>
      <w:r>
        <w:rPr>
          <w:rFonts w:hint="eastAsia"/>
          <w:lang w:val="en-US" w:eastAsia="zh-CN"/>
        </w:rPr>
        <w:t>深圳市社区矫正信息化核查系统技术改造费用、社区矫正课题研究费用、社区矫正</w:t>
      </w:r>
      <w:r>
        <w:rPr>
          <w:rFonts w:hint="eastAsia"/>
        </w:rPr>
        <w:t>宣传</w:t>
      </w:r>
      <w:r>
        <w:rPr>
          <w:rFonts w:hint="eastAsia"/>
          <w:lang w:val="en-US" w:eastAsia="zh-CN"/>
        </w:rPr>
        <w:t>费用、其他安置帮教支出</w:t>
      </w:r>
      <w:r>
        <w:rPr>
          <w:rFonts w:hint="eastAsia"/>
          <w:lang w:eastAsia="zh-CN"/>
        </w:rPr>
        <w:t>。</w:t>
      </w:r>
    </w:p>
    <w:p>
      <w:pPr>
        <w:bidi w:val="0"/>
        <w:rPr>
          <w:rFonts w:hint="default"/>
          <w:lang w:val="en-US" w:eastAsia="zh-CN"/>
        </w:rPr>
      </w:pPr>
      <w:r>
        <w:rPr>
          <w:rFonts w:hint="eastAsia"/>
          <w:lang w:val="en-US" w:eastAsia="zh-CN"/>
        </w:rPr>
        <w:t>本次评价时段为2020年12月1日至2020年12月31日。</w:t>
      </w:r>
    </w:p>
    <w:p>
      <w:pPr>
        <w:pStyle w:val="5"/>
        <w:bidi w:val="0"/>
        <w:rPr>
          <w:lang w:eastAsia="zh-Hans"/>
        </w:rPr>
      </w:pPr>
      <w:bookmarkStart w:id="18" w:name="_Toc20860"/>
      <w:r>
        <w:rPr>
          <w:lang w:eastAsia="zh-Hans"/>
        </w:rPr>
        <w:t>（二）评价原则及评价方法</w:t>
      </w:r>
      <w:bookmarkEnd w:id="18"/>
    </w:p>
    <w:p>
      <w:pPr>
        <w:pStyle w:val="6"/>
        <w:bidi w:val="0"/>
      </w:pPr>
      <w:r>
        <w:t>1.评价原则</w:t>
      </w:r>
    </w:p>
    <w:p>
      <w:pPr>
        <w:bidi w:val="0"/>
      </w:pPr>
      <w:r>
        <w:t>（1）价值中立原则</w:t>
      </w:r>
    </w:p>
    <w:p>
      <w:pPr>
        <w:bidi w:val="0"/>
        <w:rPr>
          <w:lang w:eastAsia="zh-Hans"/>
        </w:rPr>
      </w:pPr>
      <w:r>
        <w:rPr>
          <w:lang w:eastAsia="zh-Hans"/>
        </w:rPr>
        <w:t>财政支出绩效评价是客观评价，所有用来评价的指标均可量化，所有参与评价的单位和个人都必须遵循评价价值中立原则，即财政支出绩效评价结果，只取决于</w:t>
      </w:r>
      <w:r>
        <w:rPr>
          <w:rFonts w:hint="eastAsia"/>
          <w:lang w:val="en-US" w:eastAsia="zh-CN"/>
        </w:rPr>
        <w:t>单位</w:t>
      </w:r>
      <w:r>
        <w:rPr>
          <w:lang w:eastAsia="zh-Hans"/>
        </w:rPr>
        <w:t>的工作业绩的客观实际，而不取决于评价人的价值判断和个人意愿。评价结果不会因为评价人价值观念的不一致而有所不同。</w:t>
      </w:r>
    </w:p>
    <w:p>
      <w:pPr>
        <w:bidi w:val="0"/>
      </w:pPr>
      <w:r>
        <w:t>（2）公平、公正原则</w:t>
      </w:r>
    </w:p>
    <w:p>
      <w:pPr>
        <w:bidi w:val="0"/>
        <w:rPr>
          <w:lang w:eastAsia="zh-Hans"/>
        </w:rPr>
      </w:pPr>
      <w:r>
        <w:rPr>
          <w:lang w:eastAsia="zh-Hans"/>
        </w:rPr>
        <w:t>从评价目标的设计、指标体系的研究及设计、数据填报、复核等所有环节，都必须保证评价过程的公正性、程序的规范性和合理性，应及时发现并处理过程中的问题，以保证评价结果的准确、客观和科学。</w:t>
      </w:r>
    </w:p>
    <w:p>
      <w:pPr>
        <w:bidi w:val="0"/>
      </w:pPr>
      <w:r>
        <w:t>（3）客观性原则</w:t>
      </w:r>
    </w:p>
    <w:p>
      <w:pPr>
        <w:bidi w:val="0"/>
        <w:rPr>
          <w:lang w:eastAsia="zh-Hans"/>
        </w:rPr>
      </w:pPr>
      <w:r>
        <w:rPr>
          <w:lang w:eastAsia="zh-Hans"/>
        </w:rPr>
        <w:t>评价以数据为准绳，坚持客观评价。即由相关部门填报数据，项目组根据填报的数据，在</w:t>
      </w:r>
      <w:r>
        <w:rPr>
          <w:rFonts w:hint="eastAsia"/>
          <w:lang w:val="en-US" w:eastAsia="zh-CN"/>
        </w:rPr>
        <w:t>数据</w:t>
      </w:r>
      <w:r>
        <w:rPr>
          <w:lang w:eastAsia="zh-Hans"/>
        </w:rPr>
        <w:t>汇总、分析、评价的基础上，独立开展评价，得出评价结果，形成评价报告。</w:t>
      </w:r>
    </w:p>
    <w:p>
      <w:pPr>
        <w:pStyle w:val="6"/>
        <w:bidi w:val="0"/>
      </w:pPr>
      <w:r>
        <w:t>2.评价方法</w:t>
      </w:r>
    </w:p>
    <w:p>
      <w:pPr>
        <w:bidi w:val="0"/>
        <w:rPr>
          <w:lang w:eastAsia="zh-Hans"/>
        </w:rPr>
      </w:pPr>
      <w:r>
        <w:rPr>
          <w:lang w:eastAsia="zh-Hans"/>
        </w:rPr>
        <w:t>本次评价将主要采用指标分析法开展评价工作，评价组根据前期资料收集，遵循科学全面的原则，按照项目</w:t>
      </w:r>
      <w:r>
        <w:rPr>
          <w:rFonts w:hint="eastAsia"/>
          <w:lang w:val="en-US" w:eastAsia="zh-CN"/>
        </w:rPr>
        <w:t>决策</w:t>
      </w:r>
      <w:r>
        <w:rPr>
          <w:lang w:eastAsia="zh-Hans"/>
        </w:rPr>
        <w:t>、项目</w:t>
      </w:r>
      <w:r>
        <w:rPr>
          <w:rFonts w:hint="eastAsia"/>
          <w:lang w:val="en-US" w:eastAsia="zh-CN"/>
        </w:rPr>
        <w:t>过程管理</w:t>
      </w:r>
      <w:r>
        <w:rPr>
          <w:lang w:eastAsia="zh-Hans"/>
        </w:rPr>
        <w:t>、</w:t>
      </w:r>
      <w:r>
        <w:rPr>
          <w:rFonts w:hint="eastAsia"/>
          <w:lang w:val="en-US" w:eastAsia="zh-CN"/>
        </w:rPr>
        <w:t>项目</w:t>
      </w:r>
      <w:r>
        <w:rPr>
          <w:lang w:eastAsia="zh-Hans"/>
        </w:rPr>
        <w:t>产出和效果的逻辑路径，制定绩效评价指标体系。评价组将根据指标体系，在实地调研收集资料后，对项目进行评分，并对绩效指标体系表中的扣分点进行定性分析，重点剖析此项绩效指标</w:t>
      </w:r>
      <w:bookmarkStart w:id="19" w:name="_Toc109484322_WPSOffice_Level2"/>
      <w:r>
        <w:rPr>
          <w:lang w:eastAsia="zh-Hans"/>
        </w:rPr>
        <w:t>的扣分原因，对</w:t>
      </w:r>
      <w:bookmarkEnd w:id="19"/>
      <w:r>
        <w:rPr>
          <w:lang w:eastAsia="zh-Hans"/>
        </w:rPr>
        <w:t>整个项目实施的影响程度，并在对应的问题和建议中给予反映。</w:t>
      </w:r>
    </w:p>
    <w:p>
      <w:pPr>
        <w:pStyle w:val="6"/>
        <w:bidi w:val="0"/>
      </w:pPr>
      <w:r>
        <w:t>3.评价标准</w:t>
      </w:r>
    </w:p>
    <w:p>
      <w:pPr>
        <w:bidi w:val="0"/>
        <w:rPr>
          <w:rFonts w:hint="eastAsia" w:eastAsia="仿宋_GB2312"/>
          <w:lang w:eastAsia="zh-CN"/>
        </w:rPr>
      </w:pPr>
      <w:r>
        <w:t>（1）《中共中央国务院关于全面实施预算绩效管理的意见》（中发〔2018〕34号）；</w:t>
      </w:r>
    </w:p>
    <w:p>
      <w:pPr>
        <w:bidi w:val="0"/>
      </w:pPr>
      <w:r>
        <w:t>（2）《深圳市财政局关于贯彻落实全面实施预算绩效管理有关事项的通知》（深财绩〔2019〕5号）；</w:t>
      </w:r>
    </w:p>
    <w:p>
      <w:pPr>
        <w:bidi w:val="0"/>
      </w:pPr>
      <w:r>
        <w:t>（3）《财政部关于印发＜项目支出绩效评价管理办法＞的通知》（财预〔2020〕10号）；</w:t>
      </w:r>
    </w:p>
    <w:p>
      <w:pPr>
        <w:bidi w:val="0"/>
      </w:pPr>
      <w:r>
        <w:t>（4）《深圳市财政局关于印发＜深圳市市级项目支出绩效评价工作规程＞的通知》（财财绩〔2020〕14号）；</w:t>
      </w:r>
    </w:p>
    <w:p>
      <w:pPr>
        <w:bidi w:val="0"/>
      </w:pPr>
      <w:r>
        <w:t>（5）《深圳市财政局关于做好市本级2020年预算绩效管理工作的通知》（深财绩〔2020〕1号）；</w:t>
      </w:r>
    </w:p>
    <w:p>
      <w:pPr>
        <w:bidi w:val="0"/>
      </w:pPr>
      <w:r>
        <w:t>（</w:t>
      </w:r>
      <w:bookmarkStart w:id="20" w:name="_Toc641912607_WPSOffice_Level2"/>
      <w:r>
        <w:t>6）</w:t>
      </w:r>
      <w:bookmarkEnd w:id="20"/>
      <w:r>
        <w:rPr>
          <w:rFonts w:hint="eastAsia"/>
        </w:rPr>
        <w:t>《深圳市财政局关于做好市本级2021年预算绩效管理工作的通知》（深财绩〔2021〕1号）</w:t>
      </w:r>
      <w:r>
        <w:t>；</w:t>
      </w:r>
    </w:p>
    <w:p>
      <w:pPr>
        <w:bidi w:val="0"/>
        <w:rPr>
          <w:rFonts w:hint="eastAsia"/>
          <w:lang w:eastAsia="zh-CN"/>
        </w:rPr>
      </w:pPr>
      <w:r>
        <w:t>（7）</w:t>
      </w:r>
      <w:r>
        <w:rPr>
          <w:rFonts w:hint="eastAsia"/>
        </w:rPr>
        <w:t>《中华人民共和国社区矫正法</w:t>
      </w:r>
      <w:r>
        <w:t>》</w:t>
      </w:r>
      <w:r>
        <w:rPr>
          <w:rFonts w:hint="eastAsia"/>
          <w:lang w:eastAsia="zh-CN"/>
        </w:rPr>
        <w:t>；</w:t>
      </w:r>
    </w:p>
    <w:p>
      <w:pPr>
        <w:bidi w:val="0"/>
        <w:rPr>
          <w:rFonts w:hint="eastAsia" w:eastAsia="仿宋_GB2312"/>
          <w:lang w:eastAsia="zh-CN"/>
        </w:rPr>
      </w:pPr>
      <w:r>
        <w:t>（8）《</w:t>
      </w:r>
      <w:r>
        <w:rPr>
          <w:rFonts w:hint="eastAsia"/>
        </w:rPr>
        <w:t>深圳市司法局社区矫正工作信息化核查暂行规定</w:t>
      </w:r>
      <w:r>
        <w:t>》</w:t>
      </w:r>
      <w:r>
        <w:rPr>
          <w:rFonts w:hint="eastAsia"/>
          <w:lang w:eastAsia="zh-CN"/>
        </w:rPr>
        <w:t>。</w:t>
      </w:r>
    </w:p>
    <w:p>
      <w:pPr>
        <w:pStyle w:val="5"/>
        <w:bidi w:val="0"/>
        <w:rPr>
          <w:lang w:eastAsia="zh-Hans"/>
        </w:rPr>
      </w:pPr>
      <w:bookmarkStart w:id="21" w:name="_Toc20744"/>
      <w:bookmarkStart w:id="22" w:name="_Toc480311358_WPSOffice_Level2"/>
      <w:bookmarkStart w:id="23" w:name="_Toc838541738"/>
      <w:r>
        <w:rPr>
          <w:lang w:eastAsia="zh-Hans"/>
        </w:rPr>
        <w:t>（三）评价过程</w:t>
      </w:r>
      <w:bookmarkEnd w:id="21"/>
      <w:bookmarkEnd w:id="22"/>
    </w:p>
    <w:p>
      <w:pPr>
        <w:pStyle w:val="6"/>
        <w:bidi w:val="0"/>
      </w:pPr>
      <w:r>
        <w:t>1.数据采集过程</w:t>
      </w:r>
    </w:p>
    <w:p>
      <w:pPr>
        <w:bidi w:val="0"/>
        <w:rPr>
          <w:lang w:eastAsia="zh-Hans"/>
        </w:rPr>
      </w:pPr>
      <w:r>
        <w:rPr>
          <w:lang w:eastAsia="zh-Hans"/>
        </w:rPr>
        <w:t>本次绩效评价工作需要的数据包括定性数据和定量数据两种类型，定性数据主要通过实地考察、现场访谈、电话沟通和文件调查等调查</w:t>
      </w:r>
      <w:bookmarkStart w:id="24" w:name="_Toc1856998022_WPSOffice_Level2"/>
      <w:r>
        <w:rPr>
          <w:lang w:eastAsia="zh-Hans"/>
        </w:rPr>
        <w:t>方式进行采集；定量</w:t>
      </w:r>
      <w:bookmarkEnd w:id="24"/>
      <w:r>
        <w:rPr>
          <w:lang w:eastAsia="zh-Hans"/>
        </w:rPr>
        <w:t>数据主要是通过项目单位和其他相关单位填报基础数据采集表的方式进行采集；此外，</w:t>
      </w:r>
      <w:r>
        <w:rPr>
          <w:rFonts w:hint="eastAsia"/>
          <w:lang w:val="en-US" w:eastAsia="zh-CN"/>
        </w:rPr>
        <w:t>评价组通过对</w:t>
      </w:r>
      <w:r>
        <w:rPr>
          <w:lang w:eastAsia="zh-Hans"/>
        </w:rPr>
        <w:t>采集的数据进行复核，确保</w:t>
      </w:r>
      <w:r>
        <w:rPr>
          <w:rFonts w:hint="eastAsia"/>
          <w:lang w:val="en-US" w:eastAsia="zh-CN"/>
        </w:rPr>
        <w:t>了</w:t>
      </w:r>
      <w:r>
        <w:rPr>
          <w:lang w:eastAsia="zh-Hans"/>
        </w:rPr>
        <w:t>数据的准确性。</w:t>
      </w:r>
    </w:p>
    <w:p>
      <w:pPr>
        <w:pStyle w:val="6"/>
        <w:bidi w:val="0"/>
      </w:pPr>
      <w:r>
        <w:t>2</w:t>
      </w:r>
      <w:r>
        <w:rPr>
          <w:rFonts w:hint="eastAsia"/>
        </w:rPr>
        <w:t>.</w:t>
      </w:r>
      <w:r>
        <w:t>评价实施过程</w:t>
      </w:r>
    </w:p>
    <w:p>
      <w:pPr>
        <w:bidi w:val="0"/>
      </w:pPr>
      <w:r>
        <w:t>从2021年5月</w:t>
      </w:r>
      <w:r>
        <w:rPr>
          <w:rFonts w:hint="eastAsia"/>
          <w:lang w:val="en-US" w:eastAsia="zh-CN"/>
        </w:rPr>
        <w:t>20</w:t>
      </w:r>
      <w:r>
        <w:t>日起，评价组正式开始实施</w:t>
      </w:r>
      <w:r>
        <w:rPr>
          <w:rFonts w:hint="eastAsia"/>
          <w:lang w:eastAsia="zh-CN"/>
        </w:rPr>
        <w:t>社矫</w:t>
      </w:r>
      <w:r>
        <w:t>项目绩效评价工作。具体如下：一是访谈</w:t>
      </w:r>
      <w:r>
        <w:rPr>
          <w:rFonts w:hint="eastAsia"/>
        </w:rPr>
        <w:t>，</w:t>
      </w:r>
      <w:r>
        <w:t>评价组与</w:t>
      </w:r>
      <w:r>
        <w:rPr>
          <w:rFonts w:hint="eastAsia"/>
          <w:lang w:val="en-US" w:eastAsia="zh-CN"/>
        </w:rPr>
        <w:t>项目</w:t>
      </w:r>
      <w:r>
        <w:rPr>
          <w:rFonts w:hint="eastAsia"/>
        </w:rPr>
        <w:t>相关人员</w:t>
      </w:r>
      <w:r>
        <w:t>进行前期沟通，通过材料收集、电话沟通，对项目具体实施内容、预算资金编制依据及执行情况、组织管理流程等有了详实的掌握，</w:t>
      </w:r>
      <w:r>
        <w:rPr>
          <w:rFonts w:hint="eastAsia"/>
          <w:lang w:val="en-US" w:eastAsia="zh-CN"/>
        </w:rPr>
        <w:t>同时</w:t>
      </w:r>
      <w:r>
        <w:t>对项目单位相关负责人</w:t>
      </w:r>
      <w:r>
        <w:rPr>
          <w:rFonts w:hint="eastAsia"/>
        </w:rPr>
        <w:t>进行</w:t>
      </w:r>
      <w:r>
        <w:t>访谈，进一步了解项目单位的内部管理制度和关键工作内容；二是资料分析</w:t>
      </w:r>
      <w:r>
        <w:rPr>
          <w:rFonts w:hint="eastAsia"/>
        </w:rPr>
        <w:t>，</w:t>
      </w:r>
      <w:r>
        <w:t>评价组根据</w:t>
      </w:r>
      <w:r>
        <w:rPr>
          <w:rFonts w:hint="eastAsia"/>
          <w:lang w:eastAsia="zh-CN"/>
        </w:rPr>
        <w:t>项目各相关方</w:t>
      </w:r>
      <w:r>
        <w:t>提供的</w:t>
      </w:r>
      <w:r>
        <w:rPr>
          <w:rFonts w:hint="eastAsia"/>
          <w:lang w:eastAsia="zh-CN"/>
        </w:rPr>
        <w:t>社矫</w:t>
      </w:r>
      <w:r>
        <w:t>项目相关资料进行合规性检查，包含</w:t>
      </w:r>
      <w:r>
        <w:rPr>
          <w:rFonts w:hint="eastAsia"/>
          <w:lang w:val="en-US" w:eastAsia="zh-CN"/>
        </w:rPr>
        <w:t>立项审查</w:t>
      </w:r>
      <w:r>
        <w:t>文件、</w:t>
      </w:r>
      <w:r>
        <w:rPr>
          <w:rFonts w:hint="eastAsia"/>
          <w:lang w:val="en-US" w:eastAsia="zh-CN"/>
        </w:rPr>
        <w:t>项目签订的</w:t>
      </w:r>
      <w:r>
        <w:t>合同、决算数据、</w:t>
      </w:r>
      <w:bookmarkStart w:id="25" w:name="_Toc616659896_WPSOffice_Level2"/>
      <w:r>
        <w:t>财务凭证、工作台账</w:t>
      </w:r>
      <w:bookmarkEnd w:id="25"/>
      <w:r>
        <w:t>等；三是绩效分析</w:t>
      </w:r>
      <w:r>
        <w:rPr>
          <w:rFonts w:hint="eastAsia"/>
        </w:rPr>
        <w:t>，</w:t>
      </w:r>
      <w:r>
        <w:t>评价组梳理项目基本情况，确定评价关注点，设计评价指标体系、基础表、访谈提纲；项目组经历了数据采集、社会访谈、数据分析和报告撰写环节，顺利完成了绩效评价工作</w:t>
      </w:r>
      <w:bookmarkStart w:id="26" w:name="_Toc1185913903_WPSOffice_Level2"/>
      <w:r>
        <w:rPr>
          <w:rFonts w:hint="eastAsia"/>
        </w:rPr>
        <w:t>；</w:t>
      </w:r>
      <w:r>
        <w:t>四是形成评价结论</w:t>
      </w:r>
      <w:bookmarkEnd w:id="26"/>
      <w:r>
        <w:rPr>
          <w:rFonts w:hint="eastAsia"/>
        </w:rPr>
        <w:t>，</w:t>
      </w:r>
      <w:r>
        <w:t>评价组根据现场评价获取</w:t>
      </w:r>
      <w:bookmarkStart w:id="27" w:name="_Toc1814826968_WPSOffice_Level2"/>
      <w:r>
        <w:t>的各项资料编制工作</w:t>
      </w:r>
      <w:bookmarkEnd w:id="27"/>
      <w:r>
        <w:t>底稿，组内讨论后形成一致意见，根据评价工作底稿撰写绩效评价报告。</w:t>
      </w:r>
    </w:p>
    <w:p>
      <w:pPr>
        <w:pStyle w:val="3"/>
        <w:bidi w:val="0"/>
      </w:pPr>
      <w:bookmarkStart w:id="28" w:name="_Toc14527"/>
      <w:r>
        <w:rPr>
          <w:lang w:eastAsia="zh-Hans"/>
        </w:rPr>
        <w:t>三、</w:t>
      </w:r>
      <w:bookmarkEnd w:id="23"/>
      <w:r>
        <w:rPr>
          <w:lang w:eastAsia="zh-Hans"/>
        </w:rPr>
        <w:t>综合评价情况及评价结论</w:t>
      </w:r>
      <w:bookmarkEnd w:id="28"/>
    </w:p>
    <w:p>
      <w:pPr>
        <w:bidi w:val="0"/>
        <w:rPr>
          <w:rFonts w:hint="eastAsia"/>
        </w:rPr>
      </w:pPr>
      <w:r>
        <w:rPr>
          <w:rFonts w:hint="eastAsia"/>
        </w:rPr>
        <w:t>本部分以项目资金分配、管理和使用的绩效情况为核心，以全过程预算绩效管理的理念为思路，在原绩效目标申报表的基础上进行</w:t>
      </w:r>
      <w:r>
        <w:rPr>
          <w:rFonts w:hint="eastAsia"/>
          <w:lang w:val="en-US" w:eastAsia="zh-CN"/>
        </w:rPr>
        <w:t>评价</w:t>
      </w:r>
      <w:r>
        <w:rPr>
          <w:rFonts w:hint="eastAsia"/>
        </w:rPr>
        <w:t>指标完善，并按照“项目决策-项目管理-项目绩效”的分类设计评价指标体系，对项目支出进行绩效分析。</w:t>
      </w:r>
      <w:r>
        <w:rPr>
          <w:rFonts w:hint="eastAsia"/>
          <w:lang w:eastAsia="zh-CN"/>
        </w:rPr>
        <w:t>社矫</w:t>
      </w:r>
      <w:r>
        <w:rPr>
          <w:rFonts w:hint="eastAsia"/>
        </w:rPr>
        <w:t>项目经过资料整理和分析，已顺利完成项目评分</w:t>
      </w:r>
      <w:r>
        <w:rPr>
          <w:rFonts w:hint="eastAsia"/>
          <w:lang w:val="en-US" w:eastAsia="zh-CN"/>
        </w:rPr>
        <w:t>工作</w:t>
      </w:r>
      <w:r>
        <w:rPr>
          <w:rFonts w:hint="eastAsia"/>
        </w:rPr>
        <w:t>，该项目综合得分为91分。绩效评价等级为“优秀”。</w:t>
      </w:r>
      <w:r>
        <w:rPr>
          <w:rFonts w:hint="eastAsia"/>
          <w:lang w:eastAsia="zh-CN"/>
        </w:rPr>
        <w:t>社矫</w:t>
      </w:r>
      <w:r>
        <w:rPr>
          <w:rFonts w:hint="eastAsia"/>
        </w:rPr>
        <w:t>项目</w:t>
      </w:r>
      <w:r>
        <w:rPr>
          <w:rFonts w:hint="eastAsia"/>
          <w:lang w:val="en-US" w:eastAsia="zh-CN"/>
        </w:rPr>
        <w:t>绩效评价</w:t>
      </w:r>
      <w:r>
        <w:rPr>
          <w:rFonts w:hint="eastAsia"/>
          <w:lang w:val="en-US" w:eastAsia="zh-Hans"/>
        </w:rPr>
        <w:t>指标</w:t>
      </w:r>
      <w:r>
        <w:rPr>
          <w:rFonts w:hint="eastAsia"/>
          <w:lang w:val="en-US" w:eastAsia="zh-CN"/>
        </w:rPr>
        <w:t>具体</w:t>
      </w:r>
      <w:r>
        <w:rPr>
          <w:rFonts w:hint="eastAsia"/>
          <w:lang w:val="en-US" w:eastAsia="zh-Hans"/>
        </w:rPr>
        <w:t>评分</w:t>
      </w:r>
      <w:r>
        <w:rPr>
          <w:rFonts w:hint="eastAsia"/>
          <w:lang w:val="en-US" w:eastAsia="zh-CN"/>
        </w:rPr>
        <w:t>情况见下</w:t>
      </w:r>
      <w:r>
        <w:rPr>
          <w:rFonts w:hint="eastAsia"/>
        </w:rPr>
        <w:t>表3-1：</w:t>
      </w:r>
    </w:p>
    <w:p>
      <w:pPr>
        <w:keepNext/>
        <w:keepLines/>
        <w:pageBreakBefore w:val="0"/>
        <w:widowControl w:val="0"/>
        <w:kinsoku/>
        <w:wordWrap/>
        <w:overflowPunct/>
        <w:topLinePunct w:val="0"/>
        <w:autoSpaceDE/>
        <w:autoSpaceDN/>
        <w:bidi w:val="0"/>
        <w:adjustRightInd w:val="0"/>
        <w:snapToGrid w:val="0"/>
        <w:ind w:firstLine="0" w:firstLineChars="0"/>
        <w:jc w:val="center"/>
        <w:textAlignment w:val="auto"/>
        <w:outlineLvl w:val="9"/>
        <w:rPr>
          <w:rFonts w:ascii="黑体" w:hAnsi="黑体" w:eastAsia="黑体" w:cs="黑体"/>
          <w:b w:val="0"/>
          <w:color w:val="181717" w:themeColor="background2" w:themeShade="1A"/>
          <w:sz w:val="28"/>
          <w:szCs w:val="28"/>
          <w:lang w:val="en-US" w:eastAsia="zh-Hans"/>
        </w:rPr>
      </w:pPr>
      <w:r>
        <w:rPr>
          <w:rFonts w:ascii="黑体" w:hAnsi="黑体" w:eastAsia="黑体" w:cs="黑体"/>
          <w:b w:val="0"/>
          <w:color w:val="181717" w:themeColor="background2" w:themeShade="1A"/>
          <w:sz w:val="28"/>
          <w:szCs w:val="28"/>
          <w:lang w:val="en-US" w:eastAsia="zh-Hans"/>
        </w:rPr>
        <w:t>表3-</w:t>
      </w:r>
      <w:r>
        <w:rPr>
          <w:rFonts w:ascii="黑体" w:hAnsi="黑体" w:eastAsia="黑体" w:cs="黑体"/>
          <w:b w:val="0"/>
          <w:color w:val="181717" w:themeColor="background2" w:themeShade="1A"/>
          <w:sz w:val="28"/>
          <w:szCs w:val="28"/>
          <w:lang w:eastAsia="zh-Hans"/>
        </w:rPr>
        <w:t>1</w:t>
      </w:r>
      <w:r>
        <w:rPr>
          <w:rFonts w:ascii="黑体" w:hAnsi="黑体" w:eastAsia="黑体" w:cs="黑体"/>
          <w:b w:val="0"/>
          <w:color w:val="181717" w:themeColor="background2" w:themeShade="1A"/>
          <w:sz w:val="28"/>
          <w:szCs w:val="28"/>
          <w:lang w:val="en-US" w:eastAsia="zh-Hans"/>
        </w:rPr>
        <w:t xml:space="preserve"> </w:t>
      </w:r>
      <w:r>
        <w:rPr>
          <w:rFonts w:hint="eastAsia" w:ascii="黑体" w:hAnsi="黑体" w:eastAsia="黑体" w:cs="黑体"/>
          <w:b w:val="0"/>
          <w:color w:val="181717" w:themeColor="background2" w:themeShade="1A"/>
          <w:sz w:val="28"/>
          <w:szCs w:val="28"/>
          <w:lang w:eastAsia="zh-CN"/>
        </w:rPr>
        <w:t>社区矫正、安帮经费</w:t>
      </w:r>
      <w:r>
        <w:rPr>
          <w:rFonts w:ascii="黑体" w:hAnsi="黑体" w:eastAsia="黑体" w:cs="黑体"/>
          <w:b w:val="0"/>
          <w:color w:val="181717" w:themeColor="background2" w:themeShade="1A"/>
          <w:sz w:val="28"/>
          <w:szCs w:val="28"/>
          <w:lang w:val="en-US" w:eastAsia="zh-Hans"/>
        </w:rPr>
        <w:t>服务项目绩效评价指标评分表</w:t>
      </w:r>
    </w:p>
    <w:tbl>
      <w:tblPr>
        <w:tblStyle w:val="23"/>
        <w:tblW w:w="4952" w:type="pct"/>
        <w:tblInd w:w="0" w:type="dxa"/>
        <w:tblLayout w:type="autofit"/>
        <w:tblCellMar>
          <w:top w:w="0" w:type="dxa"/>
          <w:left w:w="0" w:type="dxa"/>
          <w:bottom w:w="0" w:type="dxa"/>
          <w:right w:w="0" w:type="dxa"/>
        </w:tblCellMar>
      </w:tblPr>
      <w:tblGrid>
        <w:gridCol w:w="1238"/>
        <w:gridCol w:w="1199"/>
        <w:gridCol w:w="3639"/>
        <w:gridCol w:w="942"/>
        <w:gridCol w:w="918"/>
        <w:gridCol w:w="853"/>
      </w:tblGrid>
      <w:tr>
        <w:tblPrEx>
          <w:tblCellMar>
            <w:top w:w="0" w:type="dxa"/>
            <w:left w:w="0" w:type="dxa"/>
            <w:bottom w:w="0" w:type="dxa"/>
            <w:right w:w="0" w:type="dxa"/>
          </w:tblCellMar>
        </w:tblPrEx>
        <w:trPr>
          <w:trHeight w:val="540" w:hRule="atLeast"/>
          <w:tblHeader/>
        </w:trPr>
        <w:tc>
          <w:tcPr>
            <w:tcW w:w="704" w:type="pct"/>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b/>
                <w:color w:val="181717" w:themeColor="background2" w:themeShade="1A"/>
                <w:kern w:val="0"/>
                <w:sz w:val="24"/>
                <w:szCs w:val="24"/>
                <w:lang w:bidi="ar"/>
              </w:rPr>
            </w:pPr>
            <w:r>
              <w:rPr>
                <w:rFonts w:ascii="Times New Roman Regular" w:hAnsi="Times New Roman Regular" w:cs="Times New Roman Regular"/>
                <w:b/>
                <w:color w:val="181717" w:themeColor="background2" w:themeShade="1A"/>
                <w:kern w:val="0"/>
                <w:sz w:val="24"/>
                <w:szCs w:val="24"/>
                <w:lang w:bidi="ar"/>
              </w:rPr>
              <w:t>一级指标</w:t>
            </w:r>
          </w:p>
        </w:tc>
        <w:tc>
          <w:tcPr>
            <w:tcW w:w="682" w:type="pct"/>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b/>
                <w:color w:val="181717" w:themeColor="background2" w:themeShade="1A"/>
                <w:kern w:val="0"/>
                <w:sz w:val="24"/>
                <w:szCs w:val="24"/>
                <w:lang w:bidi="ar"/>
              </w:rPr>
            </w:pPr>
            <w:r>
              <w:rPr>
                <w:rFonts w:ascii="Times New Roman Regular" w:hAnsi="Times New Roman Regular" w:cs="Times New Roman Regular"/>
                <w:b/>
                <w:color w:val="181717" w:themeColor="background2" w:themeShade="1A"/>
                <w:kern w:val="0"/>
                <w:sz w:val="24"/>
                <w:szCs w:val="24"/>
                <w:lang w:bidi="ar"/>
              </w:rPr>
              <w:t>二级指标</w:t>
            </w:r>
          </w:p>
        </w:tc>
        <w:tc>
          <w:tcPr>
            <w:tcW w:w="2070" w:type="pct"/>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b/>
                <w:color w:val="181717" w:themeColor="background2" w:themeShade="1A"/>
                <w:kern w:val="0"/>
                <w:sz w:val="24"/>
                <w:szCs w:val="24"/>
                <w:lang w:bidi="ar"/>
              </w:rPr>
            </w:pPr>
            <w:r>
              <w:rPr>
                <w:rFonts w:ascii="Times New Roman Regular" w:hAnsi="Times New Roman Regular" w:cs="Times New Roman Regular"/>
                <w:b/>
                <w:color w:val="181717" w:themeColor="background2" w:themeShade="1A"/>
                <w:kern w:val="0"/>
                <w:sz w:val="24"/>
                <w:szCs w:val="24"/>
                <w:lang w:bidi="ar"/>
              </w:rPr>
              <w:t>三级指标</w:t>
            </w:r>
          </w:p>
        </w:tc>
        <w:tc>
          <w:tcPr>
            <w:tcW w:w="535" w:type="pct"/>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b/>
                <w:color w:val="181717" w:themeColor="background2" w:themeShade="1A"/>
                <w:kern w:val="0"/>
                <w:sz w:val="24"/>
                <w:szCs w:val="24"/>
                <w:lang w:bidi="ar"/>
              </w:rPr>
            </w:pPr>
            <w:r>
              <w:rPr>
                <w:rFonts w:ascii="Times New Roman Regular" w:hAnsi="Times New Roman Regular" w:cs="Times New Roman Regular"/>
                <w:b/>
                <w:color w:val="181717" w:themeColor="background2" w:themeShade="1A"/>
                <w:kern w:val="0"/>
                <w:sz w:val="24"/>
                <w:szCs w:val="24"/>
                <w:lang w:bidi="ar"/>
              </w:rPr>
              <w:t>指标值</w:t>
            </w:r>
          </w:p>
        </w:tc>
        <w:tc>
          <w:tcPr>
            <w:tcW w:w="522" w:type="pct"/>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b/>
                <w:color w:val="181717" w:themeColor="background2" w:themeShade="1A"/>
                <w:kern w:val="0"/>
                <w:sz w:val="24"/>
                <w:szCs w:val="24"/>
                <w:lang w:bidi="ar"/>
              </w:rPr>
            </w:pPr>
            <w:r>
              <w:rPr>
                <w:rFonts w:ascii="Times New Roman Regular" w:hAnsi="Times New Roman Regular" w:cs="Times New Roman Regular"/>
                <w:b/>
                <w:color w:val="181717" w:themeColor="background2" w:themeShade="1A"/>
                <w:kern w:val="0"/>
                <w:sz w:val="24"/>
                <w:szCs w:val="24"/>
                <w:lang w:bidi="ar"/>
              </w:rPr>
              <w:t>权重分</w:t>
            </w:r>
          </w:p>
        </w:tc>
        <w:tc>
          <w:tcPr>
            <w:tcW w:w="485" w:type="pct"/>
            <w:tcBorders>
              <w:top w:val="single" w:color="000000" w:sz="4" w:space="0"/>
              <w:left w:val="single" w:color="000000" w:sz="4" w:space="0"/>
              <w:bottom w:val="single" w:color="000000" w:sz="4" w:space="0"/>
              <w:right w:val="single" w:color="000000" w:sz="4" w:space="0"/>
            </w:tcBorders>
            <w:shd w:val="clear" w:color="auto" w:fill="AEAAAA"/>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b/>
                <w:color w:val="181717" w:themeColor="background2" w:themeShade="1A"/>
                <w:kern w:val="0"/>
                <w:sz w:val="24"/>
                <w:szCs w:val="24"/>
                <w:lang w:bidi="ar"/>
              </w:rPr>
            </w:pPr>
            <w:r>
              <w:rPr>
                <w:rFonts w:ascii="Times New Roman Regular" w:hAnsi="Times New Roman Regular" w:cs="Times New Roman Regular"/>
                <w:b/>
                <w:color w:val="181717" w:themeColor="background2" w:themeShade="1A"/>
                <w:kern w:val="0"/>
                <w:sz w:val="24"/>
                <w:szCs w:val="24"/>
                <w:lang w:bidi="ar"/>
              </w:rPr>
              <w:t>得分</w:t>
            </w:r>
          </w:p>
        </w:tc>
      </w:tr>
      <w:tr>
        <w:tblPrEx>
          <w:tblCellMar>
            <w:top w:w="0" w:type="dxa"/>
            <w:left w:w="0" w:type="dxa"/>
            <w:bottom w:w="0" w:type="dxa"/>
            <w:right w:w="0" w:type="dxa"/>
          </w:tblCellMar>
        </w:tblPrEx>
        <w:trPr>
          <w:trHeight w:val="90" w:hRule="atLeast"/>
        </w:trPr>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项目决策</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项目立项</w:t>
            </w:r>
          </w:p>
        </w:tc>
        <w:tc>
          <w:tcPr>
            <w:tcW w:w="20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立项依据充分性</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充分</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sz w:val="24"/>
                <w:szCs w:val="24"/>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3</w:t>
            </w:r>
          </w:p>
        </w:tc>
      </w:tr>
      <w:tr>
        <w:tblPrEx>
          <w:tblCellMar>
            <w:top w:w="0" w:type="dxa"/>
            <w:left w:w="0" w:type="dxa"/>
            <w:bottom w:w="0" w:type="dxa"/>
            <w:right w:w="0" w:type="dxa"/>
          </w:tblCellMar>
        </w:tblPrEx>
        <w:trPr>
          <w:trHeight w:val="39" w:hRule="atLeast"/>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立项程序规范性</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规范</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3</w:t>
            </w:r>
          </w:p>
        </w:tc>
      </w:tr>
      <w:tr>
        <w:tblPrEx>
          <w:tblCellMar>
            <w:top w:w="0" w:type="dxa"/>
            <w:left w:w="0" w:type="dxa"/>
            <w:bottom w:w="0" w:type="dxa"/>
            <w:right w:w="0" w:type="dxa"/>
          </w:tblCellMar>
        </w:tblPrEx>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绩效目标</w:t>
            </w:r>
          </w:p>
        </w:tc>
        <w:tc>
          <w:tcPr>
            <w:tcW w:w="20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绩效目标合理性</w:t>
            </w: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合理</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3</w:t>
            </w:r>
          </w:p>
        </w:tc>
      </w:tr>
      <w:tr>
        <w:tblPrEx>
          <w:tblCellMar>
            <w:top w:w="0" w:type="dxa"/>
            <w:left w:w="0" w:type="dxa"/>
            <w:bottom w:w="0" w:type="dxa"/>
            <w:right w:w="0" w:type="dxa"/>
          </w:tblCellMar>
        </w:tblPrEx>
        <w:trPr>
          <w:trHeight w:val="90" w:hRule="atLeast"/>
        </w:trPr>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绩效目标明确性</w:t>
            </w: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明确</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w:t>
            </w:r>
          </w:p>
        </w:tc>
      </w:tr>
      <w:tr>
        <w:tblPrEx>
          <w:tblCellMar>
            <w:top w:w="0" w:type="dxa"/>
            <w:left w:w="0" w:type="dxa"/>
            <w:bottom w:w="0" w:type="dxa"/>
            <w:right w:w="0" w:type="dxa"/>
          </w:tblCellMar>
        </w:tblPrEx>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资金投入</w:t>
            </w:r>
          </w:p>
        </w:tc>
        <w:tc>
          <w:tcPr>
            <w:tcW w:w="20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预算编制科学性</w:t>
            </w: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合理</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4</w:t>
            </w:r>
          </w:p>
        </w:tc>
      </w:tr>
      <w:tr>
        <w:tblPrEx>
          <w:tblCellMar>
            <w:top w:w="0" w:type="dxa"/>
            <w:left w:w="0" w:type="dxa"/>
            <w:bottom w:w="0" w:type="dxa"/>
            <w:right w:w="0" w:type="dxa"/>
          </w:tblCellMar>
        </w:tblPrEx>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资金分配合理性</w:t>
            </w: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合理</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sz w:val="24"/>
                <w:szCs w:val="24"/>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3</w:t>
            </w:r>
          </w:p>
        </w:tc>
      </w:tr>
      <w:tr>
        <w:tblPrEx>
          <w:tblCellMar>
            <w:top w:w="0" w:type="dxa"/>
            <w:left w:w="0" w:type="dxa"/>
            <w:bottom w:w="0" w:type="dxa"/>
            <w:right w:w="0" w:type="dxa"/>
          </w:tblCellMar>
        </w:tblPrEx>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eastAsia="仿宋_GB2312" w:cs="Times New Roman Regular"/>
                <w:color w:val="181717" w:themeColor="background2" w:themeShade="1A"/>
                <w:sz w:val="24"/>
                <w:szCs w:val="24"/>
                <w:lang w:val="en-US" w:eastAsia="zh-CN"/>
              </w:rPr>
            </w:pPr>
            <w:r>
              <w:rPr>
                <w:rFonts w:ascii="Times New Roman Regular" w:hAnsi="Times New Roman Regular" w:cs="Times New Roman Regular"/>
                <w:color w:val="181717" w:themeColor="background2" w:themeShade="1A"/>
                <w:kern w:val="0"/>
                <w:sz w:val="24"/>
                <w:szCs w:val="24"/>
                <w:lang w:bidi="ar"/>
              </w:rPr>
              <w:t>项目</w:t>
            </w:r>
            <w:r>
              <w:rPr>
                <w:rFonts w:hint="eastAsia" w:ascii="Times New Roman Regular" w:hAnsi="Times New Roman Regular" w:cs="Times New Roman Regular"/>
                <w:color w:val="181717" w:themeColor="background2" w:themeShade="1A"/>
                <w:kern w:val="0"/>
                <w:sz w:val="24"/>
                <w:szCs w:val="24"/>
                <w:lang w:val="en-US" w:eastAsia="zh-CN" w:bidi="ar"/>
              </w:rPr>
              <w:t>过程</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资金管理</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资金到位性</w:t>
            </w: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3</w:t>
            </w:r>
            <w:bookmarkStart w:id="29" w:name="_Toc1086612835_WPSOffice_Level2"/>
          </w:p>
        </w:tc>
      </w:tr>
      <w:tr>
        <w:tblPrEx>
          <w:tblCellMar>
            <w:top w:w="0" w:type="dxa"/>
            <w:left w:w="0" w:type="dxa"/>
            <w:bottom w:w="0" w:type="dxa"/>
            <w:right w:w="0" w:type="dxa"/>
          </w:tblCellMar>
        </w:tblPrEx>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预算执行率</w:t>
            </w:r>
            <w:bookmarkEnd w:id="29"/>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4</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4</w:t>
            </w:r>
          </w:p>
        </w:tc>
      </w:tr>
      <w:tr>
        <w:tblPrEx>
          <w:tblCellMar>
            <w:top w:w="0" w:type="dxa"/>
            <w:left w:w="0" w:type="dxa"/>
            <w:bottom w:w="0" w:type="dxa"/>
            <w:right w:w="0" w:type="dxa"/>
          </w:tblCellMar>
        </w:tblPrEx>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资金使用合规性</w:t>
            </w: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合规</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5</w:t>
            </w:r>
          </w:p>
        </w:tc>
      </w:tr>
      <w:tr>
        <w:tblPrEx>
          <w:tblCellMar>
            <w:top w:w="0" w:type="dxa"/>
            <w:left w:w="0" w:type="dxa"/>
            <w:bottom w:w="0" w:type="dxa"/>
            <w:right w:w="0" w:type="dxa"/>
          </w:tblCellMar>
        </w:tblPrEx>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组织实施</w:t>
            </w: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管理制度健</w:t>
            </w:r>
            <w:bookmarkStart w:id="30" w:name="_Toc624821724_WPSOffice_Level1"/>
            <w:r>
              <w:rPr>
                <w:rFonts w:ascii="Times New Roman Regular" w:hAnsi="Times New Roman Regular" w:cs="Times New Roman Regular"/>
                <w:color w:val="181717" w:themeColor="background2" w:themeShade="1A"/>
                <w:kern w:val="0"/>
                <w:sz w:val="24"/>
                <w:szCs w:val="24"/>
                <w:lang w:bidi="ar"/>
              </w:rPr>
              <w:t>全性</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健全</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4</w:t>
            </w:r>
            <w:bookmarkEnd w:id="30"/>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4</w:t>
            </w:r>
          </w:p>
        </w:tc>
      </w:tr>
      <w:tr>
        <w:tblPrEx>
          <w:tblCellMar>
            <w:top w:w="0" w:type="dxa"/>
            <w:left w:w="0" w:type="dxa"/>
            <w:bottom w:w="0" w:type="dxa"/>
            <w:right w:w="0" w:type="dxa"/>
          </w:tblCellMar>
        </w:tblPrEx>
        <w:tc>
          <w:tcPr>
            <w:tcW w:w="704" w:type="pct"/>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制度执行有效性</w:t>
            </w:r>
          </w:p>
        </w:tc>
        <w:tc>
          <w:tcPr>
            <w:tcW w:w="53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有效</w:t>
            </w:r>
          </w:p>
        </w:tc>
        <w:tc>
          <w:tcPr>
            <w:tcW w:w="52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sz w:val="24"/>
                <w:szCs w:val="24"/>
              </w:rPr>
            </w:pPr>
            <w:r>
              <w:rPr>
                <w:rFonts w:hint="eastAsia" w:ascii="仿宋_GB2312" w:hAnsi="仿宋_GB2312" w:eastAsia="仿宋_GB2312" w:cs="仿宋_GB2312"/>
                <w:color w:val="181717" w:themeColor="background2" w:themeShade="1A"/>
                <w:kern w:val="0"/>
                <w:sz w:val="24"/>
                <w:szCs w:val="24"/>
                <w:lang w:bidi="ar"/>
              </w:rPr>
              <w:t>4</w:t>
            </w:r>
          </w:p>
        </w:tc>
        <w:tc>
          <w:tcPr>
            <w:tcW w:w="4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4</w:t>
            </w:r>
          </w:p>
        </w:tc>
      </w:tr>
      <w:tr>
        <w:tblPrEx>
          <w:tblCellMar>
            <w:top w:w="0" w:type="dxa"/>
            <w:left w:w="0" w:type="dxa"/>
            <w:bottom w:w="0" w:type="dxa"/>
            <w:right w:w="0" w:type="dxa"/>
          </w:tblCellMar>
        </w:tblPrEx>
        <w:tc>
          <w:tcPr>
            <w:tcW w:w="704"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r>
              <w:rPr>
                <w:rFonts w:ascii="Times New Roman Regular" w:hAnsi="Times New Roman Regular" w:cs="Times New Roman Regular"/>
                <w:color w:val="181717" w:themeColor="background2" w:themeShade="1A"/>
                <w:sz w:val="24"/>
                <w:szCs w:val="24"/>
                <w:lang w:eastAsia="zh-Hans"/>
              </w:rPr>
              <w:t>产出指标</w:t>
            </w:r>
          </w:p>
        </w:tc>
        <w:tc>
          <w:tcPr>
            <w:tcW w:w="682"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r>
              <w:rPr>
                <w:rFonts w:ascii="Times New Roman Regular" w:hAnsi="Times New Roman Regular" w:cs="Times New Roman Regular"/>
                <w:color w:val="181717" w:themeColor="background2" w:themeShade="1A"/>
                <w:sz w:val="24"/>
                <w:szCs w:val="24"/>
                <w:lang w:eastAsia="zh-Hans"/>
              </w:rPr>
              <w:t>产出数量</w:t>
            </w: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default" w:ascii="Times New Roman Regular" w:hAnsi="Times New Roman Regular" w:eastAsia="仿宋_GB2312"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深圳市社区矫正信息化核查系统升级改造完成率</w:t>
            </w:r>
          </w:p>
        </w:tc>
        <w:tc>
          <w:tcPr>
            <w:tcW w:w="5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0</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社工聘用完成率</w:t>
            </w:r>
          </w:p>
        </w:tc>
        <w:tc>
          <w:tcPr>
            <w:tcW w:w="5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c>
          <w:tcPr>
            <w:tcW w:w="5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default"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社矫宣传视频制作完成率</w:t>
            </w:r>
          </w:p>
        </w:tc>
        <w:tc>
          <w:tcPr>
            <w:tcW w:w="5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default" w:ascii="Times New Roman Regular" w:hAnsi="Times New Roman Regular" w:eastAsia="仿宋_GB2312"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社矫课题研究完成率</w:t>
            </w:r>
          </w:p>
        </w:tc>
        <w:tc>
          <w:tcPr>
            <w:tcW w:w="5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c>
          <w:tcPr>
            <w:tcW w:w="5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default" w:ascii="Times New Roman Regular" w:hAnsi="Times New Roman Regular" w:eastAsia="仿宋_GB2312"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社区矫正对象教育学习项目成果印制</w:t>
            </w:r>
            <w:r>
              <w:rPr>
                <w:rFonts w:hint="eastAsia" w:ascii="Times New Roman Regular" w:hAnsi="Times New Roman Regular" w:cs="Times New Roman Regular"/>
                <w:color w:val="181717" w:themeColor="background2" w:themeShade="1A"/>
                <w:kern w:val="0"/>
                <w:sz w:val="24"/>
                <w:szCs w:val="24"/>
                <w:lang w:val="en-US" w:eastAsia="zh-CN" w:bidi="ar"/>
              </w:rPr>
              <w:t>完成率</w:t>
            </w:r>
          </w:p>
        </w:tc>
        <w:tc>
          <w:tcPr>
            <w:tcW w:w="535" w:type="pc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c>
          <w:tcPr>
            <w:tcW w:w="522"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eastAsia="仿宋_GB2312"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完成率</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eastAsia="仿宋_GB2312" w:cs="Times New Roman Regular"/>
                <w:color w:val="181717" w:themeColor="background2" w:themeShade="1A"/>
                <w:kern w:val="0"/>
                <w:sz w:val="24"/>
                <w:szCs w:val="24"/>
                <w:lang w:val="en-US" w:eastAsia="zh-CN" w:bidi="ar"/>
              </w:rPr>
            </w:pP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签订率</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r>
              <w:rPr>
                <w:rFonts w:ascii="Times New Roman Regular" w:hAnsi="Times New Roman Regular" w:cs="Times New Roman Regular"/>
                <w:color w:val="181717" w:themeColor="background2" w:themeShade="1A"/>
                <w:sz w:val="24"/>
                <w:szCs w:val="24"/>
                <w:lang w:eastAsia="zh-Hans"/>
              </w:rPr>
              <w:t>产出质量</w:t>
            </w: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帮教率</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安置率</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eastAsia="zh-Hans" w:bidi="ar"/>
              </w:rPr>
            </w:pPr>
            <w:r>
              <w:rPr>
                <w:rFonts w:hint="eastAsia" w:ascii="Times New Roman Regular" w:hAnsi="Times New Roman Regular" w:cs="Times New Roman Regular"/>
                <w:color w:val="181717" w:themeColor="background2" w:themeShade="1A"/>
                <w:kern w:val="0"/>
                <w:sz w:val="24"/>
                <w:szCs w:val="24"/>
                <w:lang w:eastAsia="zh-Hans" w:bidi="ar"/>
              </w:rPr>
              <w:t>重点帮教对象接送率</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Times New Roman Regular" w:hAnsi="Times New Roman Regular"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eastAsia="zh-Hans" w:bidi="ar"/>
              </w:rPr>
              <w:t>影响安全稳定的重大案件</w:t>
            </w:r>
            <w:r>
              <w:rPr>
                <w:rFonts w:hint="eastAsia" w:ascii="Times New Roman Regular" w:hAnsi="Times New Roman Regular" w:cs="Times New Roman Regular"/>
                <w:color w:val="181717" w:themeColor="background2" w:themeShade="1A"/>
                <w:kern w:val="0"/>
                <w:sz w:val="24"/>
                <w:szCs w:val="24"/>
                <w:lang w:val="en-US" w:eastAsia="zh-CN" w:bidi="ar"/>
              </w:rPr>
              <w:t>发生率</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r>
              <w:rPr>
                <w:rFonts w:ascii="Times New Roman Regular" w:hAnsi="Times New Roman Regular" w:cs="Times New Roman Regular"/>
                <w:color w:val="181717" w:themeColor="background2" w:themeShade="1A"/>
                <w:sz w:val="24"/>
                <w:szCs w:val="24"/>
                <w:lang w:eastAsia="zh-Hans"/>
              </w:rPr>
              <w:t>产出时效</w:t>
            </w: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深圳市社区矫正信息化核查系统升级改造</w:t>
            </w:r>
            <w:r>
              <w:rPr>
                <w:rFonts w:ascii="Times New Roman Regular" w:hAnsi="Times New Roman Regular" w:cs="Times New Roman Regular"/>
                <w:color w:val="181717" w:themeColor="background2" w:themeShade="1A"/>
                <w:kern w:val="0"/>
                <w:sz w:val="24"/>
                <w:szCs w:val="24"/>
                <w:lang w:eastAsia="zh-Hans" w:bidi="ar"/>
              </w:rPr>
              <w:t>完成及时性</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Hans" w:bidi="ar"/>
              </w:rPr>
            </w:pPr>
            <w:r>
              <w:rPr>
                <w:rFonts w:hint="eastAsia" w:ascii="仿宋_GB2312" w:hAnsi="仿宋_GB2312" w:eastAsia="仿宋_GB2312" w:cs="仿宋_GB2312"/>
                <w:color w:val="181717" w:themeColor="background2" w:themeShade="1A"/>
                <w:kern w:val="0"/>
                <w:sz w:val="24"/>
                <w:szCs w:val="24"/>
                <w:lang w:eastAsia="zh-Hans" w:bidi="ar"/>
              </w:rPr>
              <w:t>及时</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社工聘用完成</w:t>
            </w:r>
            <w:r>
              <w:rPr>
                <w:rFonts w:ascii="Times New Roman Regular" w:hAnsi="Times New Roman Regular" w:cs="Times New Roman Regular"/>
                <w:color w:val="181717" w:themeColor="background2" w:themeShade="1A"/>
                <w:kern w:val="0"/>
                <w:sz w:val="24"/>
                <w:szCs w:val="24"/>
                <w:lang w:eastAsia="zh-Hans" w:bidi="ar"/>
              </w:rPr>
              <w:t>及时性</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eastAsia="zh-Hans" w:bidi="ar"/>
              </w:rPr>
              <w:t>及时</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default"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社矫宣传视频制作完成</w:t>
            </w:r>
            <w:r>
              <w:rPr>
                <w:rFonts w:ascii="Times New Roman Regular" w:hAnsi="Times New Roman Regular" w:cs="Times New Roman Regular"/>
                <w:color w:val="181717" w:themeColor="background2" w:themeShade="1A"/>
                <w:kern w:val="0"/>
                <w:sz w:val="24"/>
                <w:szCs w:val="24"/>
                <w:lang w:eastAsia="zh-Hans" w:bidi="ar"/>
              </w:rPr>
              <w:t>及时性</w:t>
            </w:r>
          </w:p>
        </w:tc>
        <w:tc>
          <w:tcPr>
            <w:tcW w:w="535"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eastAsia="zh-Hans" w:bidi="ar"/>
              </w:rPr>
              <w:t>及时</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社区矫正对象教育学习项目成果印制</w:t>
            </w:r>
            <w:r>
              <w:rPr>
                <w:rFonts w:hint="eastAsia" w:ascii="Times New Roman Regular" w:hAnsi="Times New Roman Regular" w:cs="Times New Roman Regular"/>
                <w:color w:val="181717" w:themeColor="background2" w:themeShade="1A"/>
                <w:kern w:val="0"/>
                <w:sz w:val="24"/>
                <w:szCs w:val="24"/>
                <w:lang w:val="en-US" w:eastAsia="zh-CN" w:bidi="ar"/>
              </w:rPr>
              <w:t>完成</w:t>
            </w:r>
            <w:r>
              <w:rPr>
                <w:rFonts w:ascii="Times New Roman Regular" w:hAnsi="Times New Roman Regular" w:cs="Times New Roman Regular"/>
                <w:color w:val="181717" w:themeColor="background2" w:themeShade="1A"/>
                <w:kern w:val="0"/>
                <w:sz w:val="24"/>
                <w:szCs w:val="24"/>
                <w:lang w:eastAsia="zh-Hans" w:bidi="ar"/>
              </w:rPr>
              <w:t>及时性</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Hans" w:bidi="ar"/>
              </w:rPr>
            </w:pPr>
            <w:r>
              <w:rPr>
                <w:rFonts w:hint="eastAsia" w:ascii="仿宋_GB2312" w:hAnsi="仿宋_GB2312" w:eastAsia="仿宋_GB2312" w:cs="仿宋_GB2312"/>
                <w:color w:val="181717" w:themeColor="background2" w:themeShade="1A"/>
                <w:kern w:val="0"/>
                <w:sz w:val="24"/>
                <w:szCs w:val="24"/>
                <w:lang w:eastAsia="zh-Hans" w:bidi="ar"/>
              </w:rPr>
              <w:t>及时</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0</w:t>
            </w:r>
          </w:p>
        </w:tc>
      </w:tr>
      <w:tr>
        <w:tblPrEx>
          <w:tblCellMar>
            <w:top w:w="0" w:type="dxa"/>
            <w:left w:w="0" w:type="dxa"/>
            <w:bottom w:w="0" w:type="dxa"/>
            <w:right w:w="0" w:type="dxa"/>
          </w:tblCellMar>
        </w:tblPrEx>
        <w:tc>
          <w:tcPr>
            <w:tcW w:w="704" w:type="pct"/>
            <w:vMerge w:val="continue"/>
            <w:tcBorders>
              <w:left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完成</w:t>
            </w:r>
            <w:r>
              <w:rPr>
                <w:rFonts w:ascii="Times New Roman Regular" w:hAnsi="Times New Roman Regular" w:cs="Times New Roman Regular"/>
                <w:color w:val="181717" w:themeColor="background2" w:themeShade="1A"/>
                <w:kern w:val="0"/>
                <w:sz w:val="24"/>
                <w:szCs w:val="24"/>
                <w:lang w:eastAsia="zh-Hans" w:bidi="ar"/>
              </w:rPr>
              <w:t>及时性</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Hans" w:bidi="ar"/>
              </w:rPr>
            </w:pPr>
            <w:r>
              <w:rPr>
                <w:rFonts w:hint="eastAsia" w:ascii="仿宋_GB2312" w:hAnsi="仿宋_GB2312" w:eastAsia="仿宋_GB2312" w:cs="仿宋_GB2312"/>
                <w:color w:val="181717" w:themeColor="background2" w:themeShade="1A"/>
                <w:kern w:val="0"/>
                <w:sz w:val="24"/>
                <w:szCs w:val="24"/>
                <w:lang w:eastAsia="zh-Hans" w:bidi="ar"/>
              </w:rPr>
              <w:t>及时</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c>
          <w:tcPr>
            <w:tcW w:w="704" w:type="pct"/>
            <w:vMerge w:val="continue"/>
            <w:tcBorders>
              <w:left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eastAsia="zh-Hans" w:bidi="ar"/>
              </w:rPr>
            </w:pP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w:t>
            </w:r>
            <w:r>
              <w:rPr>
                <w:rFonts w:ascii="Times New Roman Regular" w:hAnsi="Times New Roman Regular" w:cs="Times New Roman Regular"/>
                <w:color w:val="181717" w:themeColor="background2" w:themeShade="1A"/>
                <w:kern w:val="0"/>
                <w:sz w:val="24"/>
                <w:szCs w:val="24"/>
                <w:lang w:eastAsia="zh-Hans" w:bidi="ar"/>
              </w:rPr>
              <w:t>及时性</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Hans" w:bidi="ar"/>
              </w:rPr>
            </w:pPr>
            <w:r>
              <w:rPr>
                <w:rFonts w:hint="eastAsia" w:ascii="仿宋_GB2312" w:hAnsi="仿宋_GB2312" w:eastAsia="仿宋_GB2312" w:cs="仿宋_GB2312"/>
                <w:color w:val="181717" w:themeColor="background2" w:themeShade="1A"/>
                <w:kern w:val="0"/>
                <w:sz w:val="24"/>
                <w:szCs w:val="24"/>
                <w:lang w:eastAsia="zh-Hans" w:bidi="ar"/>
              </w:rPr>
              <w:t>及时</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2</w:t>
            </w:r>
          </w:p>
        </w:tc>
      </w:tr>
      <w:tr>
        <w:tblPrEx>
          <w:tblCellMar>
            <w:top w:w="0" w:type="dxa"/>
            <w:left w:w="0" w:type="dxa"/>
            <w:bottom w:w="0" w:type="dxa"/>
            <w:right w:w="0" w:type="dxa"/>
          </w:tblCellMar>
        </w:tblPrEx>
        <w:trPr>
          <w:trHeight w:val="90" w:hRule="atLeast"/>
        </w:trPr>
        <w:tc>
          <w:tcPr>
            <w:tcW w:w="704" w:type="pct"/>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r>
              <w:rPr>
                <w:rFonts w:ascii="Times New Roman Regular" w:hAnsi="Times New Roman Regular" w:cs="Times New Roman Regular"/>
                <w:color w:val="181717" w:themeColor="background2" w:themeShade="1A"/>
                <w:sz w:val="24"/>
                <w:szCs w:val="24"/>
                <w:lang w:eastAsia="zh-Hans"/>
              </w:rPr>
              <w:t>产出成本</w:t>
            </w:r>
          </w:p>
        </w:tc>
        <w:tc>
          <w:tcPr>
            <w:tcW w:w="207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default" w:ascii="Times New Roman Regular" w:hAnsi="Times New Roman Regular" w:eastAsia="仿宋_GB2312" w:cs="Times New Roman Regular"/>
                <w:color w:val="181717" w:themeColor="background2" w:themeShade="1A"/>
                <w:kern w:val="0"/>
                <w:sz w:val="24"/>
                <w:szCs w:val="24"/>
                <w:lang w:val="en-US" w:eastAsia="zh-CN" w:bidi="ar"/>
              </w:rPr>
            </w:pPr>
            <w:r>
              <w:rPr>
                <w:rFonts w:ascii="Times New Roman Regular" w:hAnsi="Times New Roman Regular" w:cs="Times New Roman Regular"/>
                <w:color w:val="181717" w:themeColor="background2" w:themeShade="1A"/>
                <w:kern w:val="0"/>
                <w:sz w:val="24"/>
                <w:szCs w:val="24"/>
                <w:lang w:eastAsia="zh-Hans" w:bidi="ar"/>
              </w:rPr>
              <w:t>成本</w:t>
            </w:r>
            <w:r>
              <w:rPr>
                <w:rFonts w:hint="eastAsia" w:ascii="Times New Roman Regular" w:hAnsi="Times New Roman Regular" w:cs="Times New Roman Regular"/>
                <w:color w:val="181717" w:themeColor="background2" w:themeShade="1A"/>
                <w:kern w:val="0"/>
                <w:sz w:val="24"/>
                <w:szCs w:val="24"/>
                <w:lang w:val="en-US" w:eastAsia="zh-CN" w:bidi="ar"/>
              </w:rPr>
              <w:t>节约率</w:t>
            </w:r>
          </w:p>
        </w:tc>
        <w:tc>
          <w:tcPr>
            <w:tcW w:w="53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≥0</w:t>
            </w:r>
          </w:p>
        </w:tc>
        <w:tc>
          <w:tcPr>
            <w:tcW w:w="52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5</w:t>
            </w:r>
          </w:p>
        </w:tc>
        <w:tc>
          <w:tcPr>
            <w:tcW w:w="4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bidi="ar"/>
              </w:rPr>
              <w:t>5</w:t>
            </w:r>
          </w:p>
        </w:tc>
      </w:tr>
      <w:tr>
        <w:tblPrEx>
          <w:tblCellMar>
            <w:top w:w="0" w:type="dxa"/>
            <w:left w:w="0" w:type="dxa"/>
            <w:bottom w:w="0" w:type="dxa"/>
            <w:right w:w="0" w:type="dxa"/>
          </w:tblCellMar>
        </w:tblPrEx>
        <w:tc>
          <w:tcPr>
            <w:tcW w:w="704"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r>
              <w:rPr>
                <w:rFonts w:ascii="Times New Roman Regular" w:hAnsi="Times New Roman Regular" w:cs="Times New Roman Regular"/>
                <w:color w:val="181717" w:themeColor="background2" w:themeShade="1A"/>
                <w:sz w:val="24"/>
                <w:szCs w:val="24"/>
                <w:lang w:eastAsia="zh-Hans"/>
              </w:rPr>
              <w:t>效益指标</w:t>
            </w:r>
          </w:p>
        </w:tc>
        <w:tc>
          <w:tcPr>
            <w:tcW w:w="682"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r>
              <w:rPr>
                <w:rFonts w:ascii="Times New Roman Regular" w:hAnsi="Times New Roman Regular" w:cs="Times New Roman Regular"/>
                <w:color w:val="181717" w:themeColor="background2" w:themeShade="1A"/>
                <w:sz w:val="24"/>
                <w:szCs w:val="24"/>
                <w:lang w:eastAsia="zh-Hans"/>
              </w:rPr>
              <w:t>社会效益</w:t>
            </w: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eastAsia="zh-Hans" w:bidi="ar"/>
              </w:rPr>
            </w:pPr>
            <w:r>
              <w:rPr>
                <w:rFonts w:hint="eastAsia" w:ascii="Times New Roman Regular" w:hAnsi="Times New Roman Regular" w:cs="Times New Roman Regular"/>
                <w:color w:val="181717" w:themeColor="background2" w:themeShade="1A"/>
                <w:kern w:val="0"/>
                <w:sz w:val="24"/>
                <w:szCs w:val="24"/>
                <w:lang w:eastAsia="zh-Hans" w:bidi="ar"/>
              </w:rPr>
              <w:t>维护我市社会和谐稳定</w:t>
            </w:r>
          </w:p>
        </w:tc>
        <w:tc>
          <w:tcPr>
            <w:tcW w:w="5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5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CN" w:bidi="ar"/>
              </w:rPr>
            </w:pPr>
            <w:r>
              <w:rPr>
                <w:rFonts w:hint="eastAsia" w:ascii="仿宋_GB2312" w:hAnsi="仿宋_GB2312" w:eastAsia="仿宋_GB2312" w:cs="仿宋_GB2312"/>
                <w:color w:val="181717" w:themeColor="background2" w:themeShade="1A"/>
                <w:kern w:val="0"/>
                <w:sz w:val="24"/>
                <w:szCs w:val="24"/>
                <w:lang w:val="en-US" w:eastAsia="zh-CN" w:bidi="ar"/>
              </w:rPr>
              <w:t>5</w:t>
            </w:r>
          </w:p>
        </w:tc>
        <w:tc>
          <w:tcPr>
            <w:tcW w:w="8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5</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eastAsia="zh-Hans" w:bidi="ar"/>
              </w:rPr>
            </w:pPr>
            <w:bookmarkStart w:id="31" w:name="_Toc1747296981_WPSOffice_Level1"/>
            <w:r>
              <w:rPr>
                <w:rFonts w:hint="eastAsia" w:ascii="Times New Roman Regular" w:hAnsi="Times New Roman Regular" w:cs="Times New Roman Regular"/>
                <w:color w:val="181717" w:themeColor="background2" w:themeShade="1A"/>
                <w:kern w:val="0"/>
                <w:sz w:val="24"/>
                <w:szCs w:val="24"/>
                <w:lang w:val="en-US" w:eastAsia="zh-CN" w:bidi="ar"/>
              </w:rPr>
              <w:t>推动</w:t>
            </w:r>
            <w:r>
              <w:rPr>
                <w:rFonts w:hint="eastAsia" w:ascii="Times New Roman Regular" w:hAnsi="Times New Roman Regular" w:cs="Times New Roman Regular"/>
                <w:color w:val="181717" w:themeColor="background2" w:themeShade="1A"/>
                <w:kern w:val="0"/>
                <w:sz w:val="24"/>
                <w:szCs w:val="24"/>
                <w:lang w:eastAsia="zh-Hans" w:bidi="ar"/>
              </w:rPr>
              <w:t>社矫法宣传贯彻</w:t>
            </w:r>
          </w:p>
        </w:tc>
        <w:tc>
          <w:tcPr>
            <w:tcW w:w="5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bookmarkEnd w:id="31"/>
            <w:r>
              <w:rPr>
                <w:rFonts w:hint="eastAsia" w:ascii="仿宋_GB2312" w:hAnsi="仿宋_GB2312" w:eastAsia="仿宋_GB2312" w:cs="仿宋_GB2312"/>
                <w:color w:val="181717" w:themeColor="background2" w:themeShade="1A"/>
                <w:kern w:val="0"/>
                <w:sz w:val="24"/>
                <w:szCs w:val="24"/>
                <w:lang w:bidi="ar"/>
              </w:rPr>
              <w:t>%</w:t>
            </w:r>
          </w:p>
        </w:tc>
        <w:tc>
          <w:tcPr>
            <w:tcW w:w="5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CN" w:bidi="ar"/>
              </w:rPr>
            </w:pPr>
            <w:r>
              <w:rPr>
                <w:rFonts w:hint="eastAsia" w:ascii="仿宋_GB2312" w:hAnsi="仿宋_GB2312" w:eastAsia="仿宋_GB2312" w:cs="仿宋_GB2312"/>
                <w:color w:val="181717" w:themeColor="background2" w:themeShade="1A"/>
                <w:kern w:val="0"/>
                <w:sz w:val="24"/>
                <w:szCs w:val="24"/>
                <w:lang w:val="en-US" w:eastAsia="zh-CN" w:bidi="ar"/>
              </w:rPr>
              <w:t>5</w:t>
            </w:r>
          </w:p>
        </w:tc>
        <w:tc>
          <w:tcPr>
            <w:tcW w:w="8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5</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p>
        </w:tc>
        <w:tc>
          <w:tcPr>
            <w:tcW w:w="207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eastAsia="zh-Hans" w:bidi="ar"/>
              </w:rPr>
            </w:pPr>
            <w:r>
              <w:rPr>
                <w:rFonts w:hint="eastAsia" w:ascii="Times New Roman Regular" w:hAnsi="Times New Roman Regular" w:cs="Times New Roman Regular"/>
                <w:color w:val="181717" w:themeColor="background2" w:themeShade="1A"/>
                <w:kern w:val="0"/>
                <w:sz w:val="24"/>
                <w:szCs w:val="24"/>
                <w:lang w:eastAsia="zh-Hans" w:bidi="ar"/>
              </w:rPr>
              <w:t>完善</w:t>
            </w:r>
            <w:r>
              <w:rPr>
                <w:rFonts w:hint="eastAsia" w:ascii="Times New Roman Regular" w:hAnsi="Times New Roman Regular" w:cs="Times New Roman Regular"/>
                <w:color w:val="181717" w:themeColor="background2" w:themeShade="1A"/>
                <w:kern w:val="0"/>
                <w:sz w:val="24"/>
                <w:szCs w:val="24"/>
                <w:lang w:val="en-US" w:eastAsia="zh-CN" w:bidi="ar"/>
              </w:rPr>
              <w:t>社矫</w:t>
            </w:r>
            <w:r>
              <w:rPr>
                <w:rFonts w:hint="eastAsia" w:ascii="Times New Roman Regular" w:hAnsi="Times New Roman Regular" w:cs="Times New Roman Regular"/>
                <w:color w:val="181717" w:themeColor="background2" w:themeShade="1A"/>
                <w:kern w:val="0"/>
                <w:sz w:val="24"/>
                <w:szCs w:val="24"/>
                <w:lang w:eastAsia="zh-Hans" w:bidi="ar"/>
              </w:rPr>
              <w:t>工作机制</w:t>
            </w:r>
          </w:p>
        </w:tc>
        <w:tc>
          <w:tcPr>
            <w:tcW w:w="5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CN" w:bidi="ar"/>
              </w:rPr>
            </w:pPr>
            <w:r>
              <w:rPr>
                <w:rFonts w:hint="eastAsia" w:ascii="仿宋_GB2312" w:hAnsi="仿宋_GB2312" w:eastAsia="仿宋_GB2312" w:cs="仿宋_GB2312"/>
                <w:color w:val="181717" w:themeColor="background2" w:themeShade="1A"/>
                <w:kern w:val="0"/>
                <w:sz w:val="24"/>
                <w:szCs w:val="24"/>
                <w:lang w:val="en-US" w:eastAsia="zh-CN" w:bidi="ar"/>
              </w:rPr>
              <w:t>有效</w:t>
            </w:r>
          </w:p>
        </w:tc>
        <w:tc>
          <w:tcPr>
            <w:tcW w:w="5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CN" w:bidi="ar"/>
              </w:rPr>
            </w:pPr>
            <w:r>
              <w:rPr>
                <w:rFonts w:hint="eastAsia" w:ascii="仿宋_GB2312" w:hAnsi="仿宋_GB2312" w:eastAsia="仿宋_GB2312" w:cs="仿宋_GB2312"/>
                <w:color w:val="181717" w:themeColor="background2" w:themeShade="1A"/>
                <w:kern w:val="0"/>
                <w:sz w:val="24"/>
                <w:szCs w:val="24"/>
                <w:lang w:val="en-US" w:eastAsia="zh-CN" w:bidi="ar"/>
              </w:rPr>
              <w:t>5</w:t>
            </w:r>
          </w:p>
        </w:tc>
        <w:tc>
          <w:tcPr>
            <w:tcW w:w="85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3</w:t>
            </w:r>
          </w:p>
        </w:tc>
      </w:tr>
      <w:tr>
        <w:tblPrEx>
          <w:tblCellMar>
            <w:top w:w="0" w:type="dxa"/>
            <w:left w:w="0" w:type="dxa"/>
            <w:bottom w:w="0" w:type="dxa"/>
            <w:right w:w="0" w:type="dxa"/>
          </w:tblCellMar>
        </w:tblPrEx>
        <w:tc>
          <w:tcPr>
            <w:tcW w:w="704" w:type="pct"/>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rPr>
                <w:rFonts w:ascii="Times New Roman Regular" w:hAnsi="Times New Roman Regular" w:cs="Times New Roman Regular"/>
                <w:color w:val="181717" w:themeColor="background2" w:themeShade="1A"/>
                <w:sz w:val="24"/>
                <w:szCs w:val="24"/>
              </w:rPr>
            </w:pPr>
          </w:p>
        </w:tc>
        <w:tc>
          <w:tcPr>
            <w:tcW w:w="682" w:type="pct"/>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snapToGrid w:val="0"/>
              <w:spacing w:line="400" w:lineRule="exact"/>
              <w:ind w:firstLine="0" w:firstLineChars="0"/>
              <w:jc w:val="center"/>
              <w:rPr>
                <w:rFonts w:hint="eastAsia" w:ascii="Times New Roman Regular" w:hAnsi="Times New Roman Regular" w:cs="Times New Roman Regular"/>
                <w:color w:val="181717" w:themeColor="background2" w:themeShade="1A"/>
                <w:sz w:val="24"/>
                <w:szCs w:val="24"/>
                <w:lang w:eastAsia="zh-Hans"/>
              </w:rPr>
            </w:pPr>
            <w:r>
              <w:rPr>
                <w:rFonts w:ascii="Times New Roman Regular" w:hAnsi="Times New Roman Regular" w:cs="Times New Roman Regular"/>
                <w:color w:val="181717" w:themeColor="background2" w:themeShade="1A"/>
                <w:sz w:val="24"/>
                <w:szCs w:val="24"/>
                <w:lang w:eastAsia="zh-Hans"/>
              </w:rPr>
              <w:t>满意度</w:t>
            </w:r>
          </w:p>
        </w:tc>
        <w:tc>
          <w:tcPr>
            <w:tcW w:w="2070"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eastAsia="zh-Hans" w:bidi="ar"/>
              </w:rPr>
            </w:pPr>
            <w:r>
              <w:rPr>
                <w:rFonts w:hint="eastAsia" w:ascii="Times New Roman Regular" w:hAnsi="Times New Roman Regular" w:cs="Times New Roman Regular"/>
                <w:color w:val="181717" w:themeColor="background2" w:themeShade="1A"/>
                <w:kern w:val="0"/>
                <w:sz w:val="24"/>
                <w:szCs w:val="24"/>
                <w:lang w:eastAsia="zh-Hans" w:bidi="ar"/>
              </w:rPr>
              <w:t>项目管理人员满意度</w:t>
            </w:r>
          </w:p>
        </w:tc>
        <w:tc>
          <w:tcPr>
            <w:tcW w:w="535"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Hans" w:bidi="ar"/>
              </w:rPr>
            </w:pPr>
            <w:r>
              <w:rPr>
                <w:rFonts w:hint="eastAsia" w:ascii="仿宋_GB2312" w:hAnsi="仿宋_GB2312" w:eastAsia="仿宋_GB2312" w:cs="仿宋_GB2312"/>
                <w:color w:val="181717" w:themeColor="background2" w:themeShade="1A"/>
                <w:kern w:val="0"/>
                <w:sz w:val="24"/>
                <w:szCs w:val="24"/>
                <w:lang w:eastAsia="zh-Hans" w:bidi="ar"/>
              </w:rPr>
              <w:t>≥9</w:t>
            </w:r>
            <w:r>
              <w:rPr>
                <w:rFonts w:hint="eastAsia" w:ascii="仿宋_GB2312" w:hAnsi="仿宋_GB2312" w:eastAsia="仿宋_GB2312" w:cs="仿宋_GB2312"/>
                <w:color w:val="181717" w:themeColor="background2" w:themeShade="1A"/>
                <w:kern w:val="0"/>
                <w:sz w:val="24"/>
                <w:szCs w:val="24"/>
                <w:lang w:val="en-US" w:eastAsia="zh-CN" w:bidi="ar"/>
              </w:rPr>
              <w:t>0</w:t>
            </w:r>
            <w:r>
              <w:rPr>
                <w:rFonts w:hint="eastAsia" w:ascii="仿宋_GB2312" w:hAnsi="仿宋_GB2312" w:eastAsia="仿宋_GB2312" w:cs="仿宋_GB2312"/>
                <w:color w:val="181717" w:themeColor="background2" w:themeShade="1A"/>
                <w:kern w:val="0"/>
                <w:sz w:val="24"/>
                <w:szCs w:val="24"/>
                <w:lang w:eastAsia="zh-Hans" w:bidi="ar"/>
              </w:rPr>
              <w:t>%</w:t>
            </w:r>
          </w:p>
        </w:tc>
        <w:tc>
          <w:tcPr>
            <w:tcW w:w="522"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CN" w:bidi="ar"/>
              </w:rPr>
            </w:pPr>
            <w:r>
              <w:rPr>
                <w:rFonts w:hint="eastAsia" w:ascii="仿宋_GB2312" w:hAnsi="仿宋_GB2312" w:eastAsia="仿宋_GB2312" w:cs="仿宋_GB2312"/>
                <w:color w:val="181717" w:themeColor="background2" w:themeShade="1A"/>
                <w:kern w:val="0"/>
                <w:sz w:val="24"/>
                <w:szCs w:val="24"/>
                <w:lang w:val="en-US" w:eastAsia="zh-CN" w:bidi="ar"/>
              </w:rPr>
              <w:t>6</w:t>
            </w:r>
          </w:p>
        </w:tc>
        <w:tc>
          <w:tcPr>
            <w:tcW w:w="8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CN" w:bidi="ar"/>
              </w:rPr>
            </w:pPr>
            <w:r>
              <w:rPr>
                <w:rFonts w:hint="eastAsia" w:ascii="仿宋_GB2312" w:hAnsi="仿宋_GB2312" w:eastAsia="仿宋_GB2312" w:cs="仿宋_GB2312"/>
                <w:color w:val="181717" w:themeColor="background2" w:themeShade="1A"/>
                <w:kern w:val="0"/>
                <w:sz w:val="24"/>
                <w:szCs w:val="24"/>
                <w:lang w:val="en-US" w:eastAsia="zh-CN" w:bidi="ar"/>
              </w:rPr>
              <w:t>6</w:t>
            </w:r>
          </w:p>
        </w:tc>
      </w:tr>
      <w:tr>
        <w:tblPrEx>
          <w:tblCellMar>
            <w:top w:w="0" w:type="dxa"/>
            <w:left w:w="0" w:type="dxa"/>
            <w:bottom w:w="0" w:type="dxa"/>
            <w:right w:w="0" w:type="dxa"/>
          </w:tblCellMar>
        </w:tblPrEx>
        <w:tc>
          <w:tcPr>
            <w:tcW w:w="3992"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eastAsia="zh-Hans" w:bidi="ar"/>
              </w:rPr>
            </w:pPr>
            <w:r>
              <w:rPr>
                <w:rFonts w:hint="eastAsia" w:ascii="仿宋_GB2312" w:hAnsi="仿宋_GB2312" w:eastAsia="仿宋_GB2312" w:cs="仿宋_GB2312"/>
                <w:color w:val="181717" w:themeColor="background2" w:themeShade="1A"/>
                <w:kern w:val="0"/>
                <w:sz w:val="24"/>
                <w:szCs w:val="24"/>
                <w:lang w:eastAsia="zh-Hans" w:bidi="ar"/>
              </w:rPr>
              <w:t>合计</w:t>
            </w:r>
          </w:p>
        </w:tc>
        <w:tc>
          <w:tcPr>
            <w:tcW w:w="522"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bidi="ar"/>
              </w:rPr>
            </w:pPr>
            <w:r>
              <w:rPr>
                <w:rFonts w:hint="eastAsia" w:ascii="仿宋_GB2312" w:hAnsi="仿宋_GB2312" w:eastAsia="仿宋_GB2312" w:cs="仿宋_GB2312"/>
                <w:color w:val="181717" w:themeColor="background2" w:themeShade="1A"/>
                <w:kern w:val="0"/>
                <w:sz w:val="24"/>
                <w:szCs w:val="24"/>
                <w:lang w:bidi="ar"/>
              </w:rPr>
              <w:t>100</w:t>
            </w:r>
          </w:p>
        </w:tc>
        <w:tc>
          <w:tcPr>
            <w:tcW w:w="4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00" w:lineRule="exact"/>
              <w:ind w:firstLine="0" w:firstLineChars="0"/>
              <w:jc w:val="center"/>
              <w:textAlignment w:val="center"/>
              <w:rPr>
                <w:rFonts w:hint="eastAsia" w:ascii="仿宋_GB2312" w:hAnsi="仿宋_GB2312" w:eastAsia="仿宋_GB2312" w:cs="仿宋_GB2312"/>
                <w:color w:val="181717" w:themeColor="background2" w:themeShade="1A"/>
                <w:kern w:val="0"/>
                <w:sz w:val="24"/>
                <w:szCs w:val="24"/>
                <w:lang w:val="en-US" w:eastAsia="zh-CN" w:bidi="ar"/>
              </w:rPr>
            </w:pPr>
            <w:r>
              <w:rPr>
                <w:rFonts w:hint="eastAsia" w:ascii="仿宋_GB2312" w:hAnsi="仿宋_GB2312" w:eastAsia="仿宋_GB2312" w:cs="仿宋_GB2312"/>
                <w:color w:val="181717" w:themeColor="background2" w:themeShade="1A"/>
                <w:kern w:val="0"/>
                <w:sz w:val="24"/>
                <w:szCs w:val="24"/>
                <w:lang w:val="en-US" w:eastAsia="zh-CN" w:bidi="ar"/>
              </w:rPr>
              <w:t>91</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Regular" w:hAnsi="Times New Roman Regular" w:eastAsia="黑体" w:cs="Times New Roman Regular"/>
          <w:szCs w:val="32"/>
          <w:lang w:eastAsia="zh-Hans"/>
        </w:rPr>
      </w:pPr>
    </w:p>
    <w:p>
      <w:pPr>
        <w:pStyle w:val="3"/>
        <w:bidi w:val="0"/>
        <w:rPr>
          <w:lang w:eastAsia="zh-Hans"/>
        </w:rPr>
      </w:pPr>
      <w:bookmarkStart w:id="32" w:name="_Toc17333"/>
      <w:r>
        <w:rPr>
          <w:lang w:eastAsia="zh-Hans"/>
        </w:rPr>
        <w:t>四、绩效评价指标分析</w:t>
      </w:r>
      <w:bookmarkEnd w:id="32"/>
    </w:p>
    <w:p>
      <w:pPr>
        <w:pStyle w:val="5"/>
        <w:bidi w:val="0"/>
        <w:rPr>
          <w:lang w:eastAsia="zh-Hans"/>
        </w:rPr>
      </w:pPr>
      <w:bookmarkStart w:id="33" w:name="_Toc15596"/>
      <w:r>
        <w:rPr>
          <w:lang w:eastAsia="zh-Hans"/>
        </w:rPr>
        <w:t>（一）</w:t>
      </w:r>
      <w:bookmarkStart w:id="34" w:name="_Toc2128970589_WPSOffice_Level1"/>
      <w:r>
        <w:rPr>
          <w:lang w:eastAsia="zh-Hans"/>
        </w:rPr>
        <w:t>项目决策情况</w:t>
      </w:r>
      <w:bookmarkEnd w:id="33"/>
    </w:p>
    <w:p>
      <w:pPr>
        <w:bidi w:val="0"/>
      </w:pPr>
      <w:r>
        <w:t>项目决策</w:t>
      </w:r>
      <w:bookmarkEnd w:id="34"/>
      <w:r>
        <w:t>指</w:t>
      </w:r>
      <w:bookmarkStart w:id="35" w:name="_Toc500983757_WPSOffice_Level2"/>
      <w:r>
        <w:t>标共20分，得分17分，得</w:t>
      </w:r>
      <w:bookmarkEnd w:id="35"/>
      <w:r>
        <w:t>分率为85%。</w:t>
      </w:r>
    </w:p>
    <w:p>
      <w:pPr>
        <w:bidi w:val="0"/>
        <w:rPr>
          <w:rFonts w:hint="eastAsia"/>
          <w:lang w:eastAsia="zh-CN"/>
        </w:rPr>
      </w:pPr>
      <w:r>
        <w:rPr>
          <w:rFonts w:hint="eastAsia"/>
          <w:b/>
          <w:bCs/>
          <w:lang w:val="en-US" w:eastAsia="zh-CN"/>
        </w:rPr>
        <w:t>立项</w:t>
      </w:r>
      <w:r>
        <w:rPr>
          <w:rFonts w:hint="eastAsia"/>
          <w:b/>
          <w:bCs/>
        </w:rPr>
        <w:t>依据充分性：</w:t>
      </w:r>
      <w:r>
        <w:rPr>
          <w:rFonts w:hint="eastAsia"/>
        </w:rPr>
        <w:t>项目符合《中华人民共和国社区矫正法》</w:t>
      </w:r>
      <w:r>
        <w:rPr>
          <w:rFonts w:hint="eastAsia"/>
          <w:lang w:eastAsia="zh-CN"/>
        </w:rPr>
        <w:t>《深圳市司法局社区矫正工作信息化核查暂行规定》</w:t>
      </w:r>
      <w:r>
        <w:rPr>
          <w:rFonts w:hint="eastAsia"/>
        </w:rPr>
        <w:t>等相关文件的要求，与推进和规范社区矫正工作，保障刑事判决、刑事裁定和暂予监外执行决定的正确执行，提高教育矫正质量，促进社区矫正对象顺利融入社会，预防和减少犯罪的</w:t>
      </w:r>
      <w:r>
        <w:rPr>
          <w:rFonts w:hint="eastAsia"/>
          <w:lang w:eastAsia="zh-CN"/>
        </w:rPr>
        <w:t>《</w:t>
      </w:r>
      <w:r>
        <w:rPr>
          <w:rFonts w:hint="eastAsia"/>
          <w:lang w:val="en-US" w:eastAsia="zh-CN"/>
        </w:rPr>
        <w:t>社区矫正法</w:t>
      </w:r>
      <w:r>
        <w:rPr>
          <w:rFonts w:hint="eastAsia"/>
          <w:lang w:eastAsia="zh-CN"/>
        </w:rPr>
        <w:t>》</w:t>
      </w:r>
      <w:r>
        <w:rPr>
          <w:rFonts w:hint="eastAsia"/>
          <w:lang w:val="en-US" w:eastAsia="zh-CN"/>
        </w:rPr>
        <w:t>法律精神相一致；与承担监督检查社区矫正法律法规和政策执行工作，指导、监督对社区矫正对象的刑罚执行、管理教育和帮扶工作的部门职责相一致，属于部门履职所需项目；项目预算资金均来源于市级财政拨款，属于公共财政支出范围；我局内部无相关重复项目。项目立项</w:t>
      </w:r>
      <w:r>
        <w:rPr>
          <w:rFonts w:hint="eastAsia"/>
        </w:rPr>
        <w:t>相关依据充分</w:t>
      </w:r>
      <w:r>
        <w:rPr>
          <w:rFonts w:hint="eastAsia"/>
          <w:lang w:eastAsia="zh-CN"/>
        </w:rPr>
        <w:t>。</w:t>
      </w:r>
    </w:p>
    <w:p>
      <w:pPr>
        <w:bidi w:val="0"/>
        <w:rPr>
          <w:rFonts w:hint="eastAsia"/>
        </w:rPr>
      </w:pPr>
      <w:r>
        <w:rPr>
          <w:rFonts w:hint="eastAsia"/>
          <w:b/>
          <w:bCs/>
          <w:lang w:val="en-US" w:eastAsia="zh-CN"/>
        </w:rPr>
        <w:t>立项程序规范性：</w:t>
      </w:r>
      <w:r>
        <w:t>项目建设的可行性和必要性</w:t>
      </w:r>
      <w:r>
        <w:rPr>
          <w:rFonts w:hint="eastAsia"/>
          <w:lang w:val="en-US" w:eastAsia="zh-CN"/>
        </w:rPr>
        <w:t>经过充分论证</w:t>
      </w:r>
      <w:r>
        <w:t>，</w:t>
      </w:r>
      <w:r>
        <w:rPr>
          <w:rFonts w:hint="eastAsia"/>
          <w:lang w:val="en-US" w:eastAsia="zh-CN"/>
        </w:rPr>
        <w:t>项目涉及大额采购呈报局长办公会进行审批，项目</w:t>
      </w:r>
      <w:r>
        <w:t>设立过程</w:t>
      </w:r>
      <w:r>
        <w:rPr>
          <w:rFonts w:hint="eastAsia"/>
          <w:lang w:val="en-US" w:eastAsia="zh-CN"/>
        </w:rPr>
        <w:t>中</w:t>
      </w:r>
      <w:r>
        <w:t>提交</w:t>
      </w:r>
      <w:r>
        <w:rPr>
          <w:rFonts w:hint="eastAsia"/>
          <w:lang w:val="en-US" w:eastAsia="zh-CN"/>
        </w:rPr>
        <w:t>了</w:t>
      </w:r>
      <w:r>
        <w:t>符合相关要求的文件和材料</w:t>
      </w:r>
      <w:r>
        <w:rPr>
          <w:rFonts w:hint="eastAsia"/>
          <w:lang w:eastAsia="zh-CN"/>
        </w:rPr>
        <w:t>，</w:t>
      </w:r>
      <w:r>
        <w:rPr>
          <w:rFonts w:hint="eastAsia"/>
          <w:lang w:val="en-US" w:eastAsia="zh-CN"/>
        </w:rPr>
        <w:t>项目立项申请材料齐全、程序合规</w:t>
      </w:r>
      <w:r>
        <w:t>，有效保障了</w:t>
      </w:r>
      <w:r>
        <w:rPr>
          <w:rFonts w:hint="eastAsia"/>
          <w:lang w:eastAsia="zh-CN"/>
        </w:rPr>
        <w:t>社矫</w:t>
      </w:r>
      <w:r>
        <w:t>项目立项</w:t>
      </w:r>
      <w:r>
        <w:rPr>
          <w:rFonts w:hint="eastAsia"/>
          <w:lang w:val="en-US" w:eastAsia="zh-CN"/>
        </w:rPr>
        <w:t>程序</w:t>
      </w:r>
      <w:r>
        <w:t>规范性。</w:t>
      </w:r>
    </w:p>
    <w:p>
      <w:pPr>
        <w:bidi w:val="0"/>
        <w:rPr>
          <w:rFonts w:hint="default"/>
          <w:lang w:val="en-US" w:eastAsia="zh-CN"/>
        </w:rPr>
      </w:pPr>
      <w:r>
        <w:rPr>
          <w:rFonts w:hint="eastAsia"/>
          <w:b/>
          <w:bCs/>
          <w:lang w:val="en-US" w:eastAsia="zh-CN"/>
        </w:rPr>
        <w:t>绩效目标合理性：</w:t>
      </w:r>
      <w:r>
        <w:rPr>
          <w:rFonts w:hint="eastAsia"/>
          <w:lang w:val="en-US" w:eastAsia="zh-CN"/>
        </w:rPr>
        <w:t>我局在编制项目预算时按市财政要求为本项目同步编制了项目绩效目标，</w:t>
      </w:r>
      <w:r>
        <w:t>项目</w:t>
      </w:r>
      <w:r>
        <w:rPr>
          <w:rFonts w:hint="eastAsia"/>
          <w:lang w:val="en-US" w:eastAsia="zh-CN"/>
        </w:rPr>
        <w:t>绩效目标与实际工作具有相关性；项目预期产出效益和效果符合正常业绩水平；但项目与预算确定的项目资金量不能完全匹配，绩效目标并未完全覆盖所有预算资金。</w:t>
      </w:r>
    </w:p>
    <w:p>
      <w:pPr>
        <w:bidi w:val="0"/>
      </w:pPr>
      <w:r>
        <w:rPr>
          <w:rFonts w:hint="eastAsia"/>
          <w:b/>
          <w:bCs/>
          <w:lang w:val="en-US" w:eastAsia="zh-CN"/>
        </w:rPr>
        <w:t>绩效目标明确性：</w:t>
      </w:r>
      <w:bookmarkStart w:id="36" w:name="_Toc1898107659_WPSOffice_Level2"/>
      <w:r>
        <w:rPr>
          <w:rFonts w:hint="eastAsia"/>
          <w:lang w:eastAsia="zh-CN"/>
        </w:rPr>
        <w:t>社矫</w:t>
      </w:r>
      <w:r>
        <w:rPr>
          <w:rFonts w:hint="eastAsia"/>
        </w:rPr>
        <w:t>项目</w:t>
      </w:r>
      <w:r>
        <w:t>绩</w:t>
      </w:r>
      <w:bookmarkStart w:id="37" w:name="_Toc862935555_WPSOffice_Level2"/>
      <w:r>
        <w:t>效目标按照数量、</w:t>
      </w:r>
      <w:bookmarkEnd w:id="36"/>
      <w:r>
        <w:t>质量、时效与效果等</w:t>
      </w:r>
      <w:bookmarkEnd w:id="37"/>
      <w:r>
        <w:t>不同方面，将项目年度任务分解为绩效指标</w:t>
      </w:r>
      <w:r>
        <w:rPr>
          <w:rFonts w:hint="eastAsia"/>
          <w:lang w:eastAsia="zh-CN"/>
        </w:rPr>
        <w:t>；</w:t>
      </w:r>
      <w:r>
        <w:rPr>
          <w:rFonts w:hint="eastAsia"/>
          <w:lang w:val="en-US" w:eastAsia="zh-CN"/>
        </w:rPr>
        <w:t>绩效指标基本可通过清晰、可衡量的指标值予以体现；但绩效指标未能完全与项目目标任务数相对应</w:t>
      </w:r>
      <w:r>
        <w:t>。</w:t>
      </w:r>
    </w:p>
    <w:p>
      <w:pPr>
        <w:bidi w:val="0"/>
        <w:rPr>
          <w:rFonts w:hint="default"/>
          <w:lang w:val="en-US" w:eastAsia="zh-CN"/>
        </w:rPr>
      </w:pPr>
      <w:r>
        <w:rPr>
          <w:rFonts w:hint="eastAsia"/>
          <w:b/>
          <w:bCs/>
          <w:lang w:val="en-US" w:eastAsia="zh-CN"/>
        </w:rPr>
        <w:t>预算编制科学性：</w:t>
      </w:r>
      <w:r>
        <w:rPr>
          <w:rFonts w:hint="eastAsia"/>
          <w:lang w:val="en-US" w:eastAsia="zh-CN"/>
        </w:rPr>
        <w:t>我局</w:t>
      </w:r>
      <w:r>
        <w:rPr>
          <w:rFonts w:hint="eastAsia"/>
        </w:rPr>
        <w:t>根据《中华人民共和国预算法》《深圳市人民政府办公厅关于印发2020年市本级预算和2020—2022年中期财政规划编制方案的通知》（深府办函〔2019〕132号）等规定，遵循</w:t>
      </w:r>
      <w:r>
        <w:rPr>
          <w:rFonts w:hint="eastAsia"/>
          <w:lang w:val="en-US" w:eastAsia="zh-CN"/>
        </w:rPr>
        <w:t>预算编制</w:t>
      </w:r>
      <w:r>
        <w:rPr>
          <w:rFonts w:hint="eastAsia"/>
        </w:rPr>
        <w:t>完整性及审慎性原则，编制2020年度</w:t>
      </w:r>
      <w:r>
        <w:rPr>
          <w:rFonts w:hint="eastAsia"/>
          <w:lang w:val="en-US" w:eastAsia="zh-CN"/>
        </w:rPr>
        <w:t>社矫项目</w:t>
      </w:r>
      <w:r>
        <w:rPr>
          <w:rFonts w:hint="eastAsia"/>
        </w:rPr>
        <w:t>预算</w:t>
      </w:r>
      <w:r>
        <w:rPr>
          <w:rFonts w:hint="eastAsia"/>
          <w:lang w:eastAsia="zh-CN"/>
        </w:rPr>
        <w:t>；</w:t>
      </w:r>
      <w:r>
        <w:rPr>
          <w:rFonts w:hint="eastAsia"/>
          <w:lang w:val="en-US" w:eastAsia="zh-CN"/>
        </w:rPr>
        <w:t>预算编制能够</w:t>
      </w:r>
      <w:r>
        <w:rPr>
          <w:rFonts w:hint="eastAsia"/>
        </w:rPr>
        <w:t>结合实际工作需要，完整编列各类支出</w:t>
      </w:r>
      <w:r>
        <w:rPr>
          <w:rFonts w:hint="eastAsia"/>
          <w:lang w:eastAsia="zh-CN"/>
        </w:rPr>
        <w:t>，</w:t>
      </w:r>
      <w:r>
        <w:rPr>
          <w:rFonts w:hint="eastAsia"/>
          <w:lang w:val="en-US" w:eastAsia="zh-CN"/>
        </w:rPr>
        <w:t>预算内容与项目内容相匹配；项目测算依据充分且测算标准合理；预算确定的项目投资额与工作任务相匹配，预算编制较为科学。</w:t>
      </w:r>
    </w:p>
    <w:p>
      <w:pPr>
        <w:bidi w:val="0"/>
        <w:rPr>
          <w:rFonts w:hint="default"/>
          <w:lang w:val="en-US" w:eastAsia="zh-CN"/>
        </w:rPr>
      </w:pPr>
      <w:r>
        <w:rPr>
          <w:rFonts w:hint="eastAsia"/>
          <w:b/>
          <w:bCs/>
          <w:lang w:val="en-US" w:eastAsia="zh-CN"/>
        </w:rPr>
        <w:t>资金分配合理性：</w:t>
      </w:r>
      <w:r>
        <w:rPr>
          <w:rFonts w:hint="eastAsia"/>
          <w:lang w:val="en-US" w:eastAsia="zh-CN"/>
        </w:rPr>
        <w:t>2020年度社矫项目资金主要分配用于深圳市社区矫正信息化核查系统技术改造费用、社区矫正课题费用、社区矫正宣传费用、其他安置帮教支出。预算资金安排能够遵照轻重缓急的原则，资金分配依据充分，能够体现厉行节约从严从紧安排的导向；资金分配额度按照当年度预计支出分配，分配额度较为合理，与项目实际相适应。</w:t>
      </w:r>
    </w:p>
    <w:p>
      <w:pPr>
        <w:pStyle w:val="5"/>
        <w:bidi w:val="0"/>
        <w:rPr>
          <w:rFonts w:ascii="Times New Roman Regular" w:hAnsi="Times New Roman Regular" w:eastAsia="楷体_GB2312" w:cs="Times New Roman Regular"/>
          <w:b/>
          <w:bCs/>
          <w:szCs w:val="32"/>
          <w:lang w:eastAsia="zh-Hans"/>
        </w:rPr>
      </w:pPr>
      <w:bookmarkStart w:id="38" w:name="_Toc8625"/>
      <w:r>
        <w:rPr>
          <w:rFonts w:ascii="Times New Roman Regular" w:hAnsi="Times New Roman Regular" w:eastAsia="楷体_GB2312" w:cs="Times New Roman Regular"/>
          <w:b/>
          <w:bCs/>
          <w:szCs w:val="32"/>
          <w:lang w:eastAsia="zh-Hans"/>
        </w:rPr>
        <w:t>（二）项目</w:t>
      </w:r>
      <w:r>
        <w:rPr>
          <w:rFonts w:hint="eastAsia" w:ascii="Times New Roman Regular" w:hAnsi="Times New Roman Regular" w:eastAsia="楷体_GB2312" w:cs="Times New Roman Regular"/>
          <w:b/>
          <w:bCs/>
          <w:szCs w:val="32"/>
          <w:lang w:val="en-US" w:eastAsia="zh-CN"/>
        </w:rPr>
        <w:t>过程</w:t>
      </w:r>
      <w:r>
        <w:rPr>
          <w:rFonts w:ascii="Times New Roman Regular" w:hAnsi="Times New Roman Regular" w:eastAsia="楷体_GB2312" w:cs="Times New Roman Regular"/>
          <w:b/>
          <w:bCs/>
          <w:szCs w:val="32"/>
          <w:lang w:eastAsia="zh-Hans"/>
        </w:rPr>
        <w:t>管理情况</w:t>
      </w:r>
      <w:bookmarkEnd w:id="38"/>
    </w:p>
    <w:p>
      <w:pPr>
        <w:bidi w:val="0"/>
      </w:pPr>
      <w:r>
        <w:t>项目</w:t>
      </w:r>
      <w:r>
        <w:rPr>
          <w:rFonts w:hint="eastAsia"/>
          <w:lang w:val="en-US" w:eastAsia="zh-CN"/>
        </w:rPr>
        <w:t>过程管理</w:t>
      </w:r>
      <w:r>
        <w:t>指标共20分，得分</w:t>
      </w:r>
      <w:bookmarkStart w:id="39" w:name="_Toc625848628_WPSOffice_Level2"/>
      <w:r>
        <w:rPr>
          <w:rFonts w:hint="eastAsia"/>
          <w:lang w:val="en-US" w:eastAsia="zh-CN"/>
        </w:rPr>
        <w:t>20</w:t>
      </w:r>
      <w:r>
        <w:t>分，得分率为</w:t>
      </w:r>
      <w:bookmarkEnd w:id="39"/>
      <w:r>
        <w:rPr>
          <w:rFonts w:hint="eastAsia"/>
          <w:lang w:val="en-US" w:eastAsia="zh-CN"/>
        </w:rPr>
        <w:t>100</w:t>
      </w:r>
      <w:r>
        <w:t>%。</w:t>
      </w:r>
    </w:p>
    <w:p>
      <w:pPr>
        <w:bidi w:val="0"/>
        <w:rPr>
          <w:rFonts w:hint="eastAsia"/>
          <w:lang w:eastAsia="zh-CN"/>
        </w:rPr>
      </w:pPr>
      <w:r>
        <w:rPr>
          <w:rFonts w:hint="eastAsia"/>
          <w:b/>
          <w:bCs/>
          <w:lang w:val="en-US" w:eastAsia="zh-CN"/>
        </w:rPr>
        <w:t>资金到位率：</w:t>
      </w:r>
      <w:r>
        <w:t>2020年</w:t>
      </w:r>
      <w:r>
        <w:rPr>
          <w:rFonts w:hint="eastAsia"/>
          <w:lang w:eastAsia="zh-CN"/>
        </w:rPr>
        <w:t>社矫</w:t>
      </w:r>
      <w:r>
        <w:t>项目</w:t>
      </w:r>
      <w:r>
        <w:rPr>
          <w:rFonts w:hint="eastAsia"/>
          <w:lang w:val="en-US" w:eastAsia="zh-CN"/>
        </w:rPr>
        <w:t>年初</w:t>
      </w:r>
      <w:r>
        <w:t>预算资金为</w:t>
      </w:r>
      <w:r>
        <w:rPr>
          <w:rFonts w:hint="eastAsia"/>
          <w:lang w:eastAsia="zh-CN"/>
        </w:rPr>
        <w:t>92</w:t>
      </w:r>
      <w:r>
        <w:t>万元，</w:t>
      </w:r>
      <w:r>
        <w:rPr>
          <w:rFonts w:hint="eastAsia"/>
          <w:lang w:val="en-US" w:eastAsia="zh-CN"/>
        </w:rPr>
        <w:t>年中无调整、调剂，</w:t>
      </w:r>
      <w:r>
        <w:t>实际到位</w:t>
      </w:r>
      <w:r>
        <w:rPr>
          <w:rFonts w:hint="eastAsia"/>
          <w:lang w:val="en-US" w:eastAsia="zh-CN"/>
        </w:rPr>
        <w:t>预算</w:t>
      </w:r>
      <w:r>
        <w:t>资金</w:t>
      </w:r>
      <w:r>
        <w:rPr>
          <w:rFonts w:hint="eastAsia"/>
          <w:lang w:eastAsia="zh-CN"/>
        </w:rPr>
        <w:t>92</w:t>
      </w:r>
      <w:r>
        <w:t>万元，</w:t>
      </w:r>
      <w:r>
        <w:rPr>
          <w:rFonts w:hint="eastAsia"/>
          <w:lang w:val="en-US" w:eastAsia="zh-CN"/>
        </w:rPr>
        <w:t>均为市级财政拨款资金，</w:t>
      </w:r>
      <w:r>
        <w:t>资金到位率100%，未出现因资金未及时到位而影响项目正常开展的情况</w:t>
      </w:r>
      <w:r>
        <w:rPr>
          <w:rFonts w:hint="eastAsia"/>
          <w:lang w:eastAsia="zh-CN"/>
        </w:rPr>
        <w:t>。</w:t>
      </w:r>
    </w:p>
    <w:p>
      <w:pPr>
        <w:bidi w:val="0"/>
        <w:rPr>
          <w:rFonts w:hint="eastAsia"/>
          <w:lang w:val="en-US" w:eastAsia="zh-CN"/>
        </w:rPr>
      </w:pPr>
      <w:r>
        <w:rPr>
          <w:rFonts w:hint="eastAsia"/>
          <w:b/>
          <w:bCs/>
          <w:lang w:val="en-US" w:eastAsia="zh-CN"/>
        </w:rPr>
        <w:t>预算执行率：</w:t>
      </w:r>
      <w:r>
        <w:t>截</w:t>
      </w:r>
      <w:r>
        <w:rPr>
          <w:rFonts w:hint="eastAsia"/>
          <w:lang w:val="en-US" w:eastAsia="zh-CN"/>
        </w:rPr>
        <w:t>至</w:t>
      </w:r>
      <w:r>
        <w:t>2020年12月</w:t>
      </w:r>
      <w:r>
        <w:rPr>
          <w:rFonts w:hint="eastAsia"/>
          <w:lang w:val="en-US" w:eastAsia="zh-CN"/>
        </w:rPr>
        <w:t>31日</w:t>
      </w:r>
      <w:r>
        <w:t>，</w:t>
      </w:r>
      <w:r>
        <w:rPr>
          <w:rFonts w:hint="eastAsia"/>
          <w:lang w:val="en-US" w:eastAsia="zh-CN"/>
        </w:rPr>
        <w:t>项目预算92万元，</w:t>
      </w:r>
      <w:r>
        <w:t>实际支出</w:t>
      </w:r>
      <w:r>
        <w:rPr>
          <w:rFonts w:hint="eastAsia"/>
          <w:lang w:eastAsia="zh-CN"/>
        </w:rPr>
        <w:t>92</w:t>
      </w:r>
      <w:r>
        <w:t>万元，执行率达</w:t>
      </w:r>
      <w:r>
        <w:rPr>
          <w:rFonts w:hint="eastAsia"/>
          <w:lang w:eastAsia="zh-CN"/>
        </w:rPr>
        <w:t>100</w:t>
      </w:r>
      <w:r>
        <w:t>%，预算执行力度</w:t>
      </w:r>
      <w:r>
        <w:rPr>
          <w:rFonts w:hint="eastAsia"/>
          <w:lang w:val="en-US" w:eastAsia="zh-CN"/>
        </w:rPr>
        <w:t>高。</w:t>
      </w:r>
    </w:p>
    <w:p>
      <w:pPr>
        <w:bidi w:val="0"/>
        <w:rPr>
          <w:rFonts w:hint="eastAsia"/>
          <w:lang w:eastAsia="zh-CN"/>
        </w:rPr>
      </w:pPr>
      <w:r>
        <w:rPr>
          <w:rFonts w:hint="eastAsia"/>
          <w:b/>
          <w:bCs/>
          <w:lang w:val="en-US" w:eastAsia="zh-CN"/>
        </w:rPr>
        <w:t>资金使用合规性：</w:t>
      </w:r>
      <w:bookmarkStart w:id="40" w:name="_Toc440791406_WPSOffice_Level2"/>
      <w:r>
        <w:rPr>
          <w:rFonts w:hint="eastAsia"/>
          <w:lang w:val="en-US" w:eastAsia="zh-CN"/>
        </w:rPr>
        <w:t>社矫项目</w:t>
      </w:r>
      <w:r>
        <w:rPr>
          <w:rFonts w:hint="eastAsia"/>
        </w:rPr>
        <w:t>资金支出严格按照国家财经法规以及《深圳市司法局机关行政财务管理制度（试行）》等相关制度执行，</w:t>
      </w:r>
      <w:r>
        <w:t>项目支出严格实行预算控制与支出范围、支出标准规定相结合</w:t>
      </w:r>
      <w:r>
        <w:rPr>
          <w:rFonts w:hint="eastAsia"/>
        </w:rPr>
        <w:t>；</w:t>
      </w:r>
      <w:r>
        <w:t>各项费用支出服从部门预算，</w:t>
      </w:r>
      <w:r>
        <w:rPr>
          <w:rFonts w:hint="eastAsia"/>
        </w:rPr>
        <w:t>不存在</w:t>
      </w:r>
      <w:r>
        <w:t>无预算、无计划的开支，</w:t>
      </w:r>
      <w:r>
        <w:rPr>
          <w:rFonts w:hint="eastAsia"/>
        </w:rPr>
        <w:t>不存在</w:t>
      </w:r>
      <w:r>
        <w:t>各项开支相互挤占挪用</w:t>
      </w:r>
      <w:r>
        <w:rPr>
          <w:rFonts w:hint="eastAsia"/>
        </w:rPr>
        <w:t>情况；会计核算规范，会计凭证保管齐全；资金拨付有完整的审批程序和手续</w:t>
      </w:r>
      <w:r>
        <w:rPr>
          <w:rFonts w:hint="eastAsia"/>
          <w:lang w:eastAsia="zh-CN"/>
        </w:rPr>
        <w:t>。</w:t>
      </w:r>
    </w:p>
    <w:p>
      <w:pPr>
        <w:bidi w:val="0"/>
        <w:rPr>
          <w:rFonts w:hint="eastAsia"/>
          <w:lang w:eastAsia="zh-CN"/>
        </w:rPr>
      </w:pPr>
      <w:r>
        <w:rPr>
          <w:rFonts w:hint="eastAsia"/>
          <w:b/>
          <w:bCs/>
          <w:lang w:val="en-US" w:eastAsia="zh-CN"/>
        </w:rPr>
        <w:t>管理制度健全性：</w:t>
      </w:r>
      <w:r>
        <w:rPr>
          <w:rFonts w:hint="eastAsia"/>
          <w:lang w:val="en-US" w:eastAsia="zh-CN"/>
        </w:rPr>
        <w:t>社矫项目</w:t>
      </w:r>
      <w:r>
        <w:rPr>
          <w:rFonts w:hint="eastAsia"/>
        </w:rPr>
        <w:t>根据《深圳市司法局机关行政财务管理制度（试行）》《关于印发&lt;深圳市司法局自行采购项目管理办法（试行）&gt;的通知》（深司﹝2018﹞101号）</w:t>
      </w:r>
      <w:r>
        <w:rPr>
          <w:rFonts w:hint="eastAsia"/>
          <w:lang w:eastAsia="zh-CN"/>
        </w:rPr>
        <w:t>、</w:t>
      </w:r>
      <w:r>
        <w:rPr>
          <w:rFonts w:hint="eastAsia"/>
        </w:rPr>
        <w:t>《中华人民共和国社区矫正法</w:t>
      </w:r>
      <w:r>
        <w:t>》《</w:t>
      </w:r>
      <w:r>
        <w:rPr>
          <w:rFonts w:hint="eastAsia"/>
        </w:rPr>
        <w:t>深圳市司法局社区矫正工作信息化核查暂行规定</w:t>
      </w:r>
      <w:r>
        <w:t>》</w:t>
      </w:r>
      <w:r>
        <w:rPr>
          <w:rFonts w:hint="eastAsia"/>
        </w:rPr>
        <w:t>等相关管理办法，落实项目监管机制</w:t>
      </w:r>
      <w:r>
        <w:rPr>
          <w:rFonts w:hint="eastAsia"/>
          <w:lang w:eastAsia="zh-CN"/>
        </w:rPr>
        <w:t>。</w:t>
      </w:r>
    </w:p>
    <w:p>
      <w:pPr>
        <w:bidi w:val="0"/>
        <w:rPr>
          <w:rFonts w:hint="eastAsia"/>
          <w:lang w:val="en-US" w:eastAsia="zh-CN"/>
        </w:rPr>
      </w:pPr>
      <w:r>
        <w:rPr>
          <w:rFonts w:hint="eastAsia"/>
          <w:b/>
          <w:bCs/>
          <w:lang w:val="en-US" w:eastAsia="zh-CN"/>
        </w:rPr>
        <w:t>制度执行有效性：</w:t>
      </w:r>
      <w:r>
        <w:rPr>
          <w:rFonts w:hint="eastAsia"/>
          <w:lang w:val="en-US" w:eastAsia="zh-CN"/>
        </w:rPr>
        <w:t>为确保项目按照确定的工作计划及时开展，本项目指定专人负责相关工作，由项目负责人密切关注项目开展情况，定期检查项目质量，督促项目实施进度，提出相关指导意见。项目监管机制的形成，科学有效推动社矫项目工作的顺利实施，项目执行遵守相关法律法规和相关管理规定；项目支出未涉及调整；项目合同、技术鉴定资料齐全且已及时归档；项目实施的人员条件、场地设备、信息支撑均落实到位，管理制度执行有效确保项目得以顺利完成。</w:t>
      </w:r>
    </w:p>
    <w:p>
      <w:pPr>
        <w:pStyle w:val="5"/>
        <w:bidi w:val="0"/>
        <w:rPr>
          <w:lang w:eastAsia="zh-Hans"/>
        </w:rPr>
      </w:pPr>
      <w:bookmarkStart w:id="41" w:name="_Toc26135"/>
      <w:r>
        <w:rPr>
          <w:lang w:eastAsia="zh-Hans"/>
        </w:rPr>
        <w:t>（三）项目产出情况</w:t>
      </w:r>
      <w:bookmarkEnd w:id="41"/>
    </w:p>
    <w:p>
      <w:pPr>
        <w:bidi w:val="0"/>
      </w:pPr>
      <w:r>
        <w:t>项目产出指标共</w:t>
      </w:r>
      <w:bookmarkEnd w:id="40"/>
      <w:r>
        <w:rPr>
          <w:rFonts w:hint="eastAsia"/>
          <w:lang w:val="en-US" w:eastAsia="zh-CN"/>
        </w:rPr>
        <w:t>39</w:t>
      </w:r>
      <w:r>
        <w:t>分，得分</w:t>
      </w:r>
      <w:r>
        <w:rPr>
          <w:rFonts w:hint="eastAsia"/>
          <w:lang w:val="en-US" w:eastAsia="zh-CN"/>
        </w:rPr>
        <w:t>37</w:t>
      </w:r>
      <w:r>
        <w:t>分，得分率为9</w:t>
      </w:r>
      <w:r>
        <w:rPr>
          <w:rFonts w:hint="eastAsia"/>
          <w:lang w:val="en-US" w:eastAsia="zh-CN"/>
        </w:rPr>
        <w:t>4</w:t>
      </w:r>
      <w:r>
        <w:rPr>
          <w:rFonts w:hint="eastAsia"/>
        </w:rPr>
        <w:t>.</w:t>
      </w:r>
      <w:r>
        <w:t>8</w:t>
      </w:r>
      <w:r>
        <w:rPr>
          <w:rFonts w:hint="eastAsia"/>
          <w:lang w:val="en-US" w:eastAsia="zh-CN"/>
        </w:rPr>
        <w:t>7</w:t>
      </w:r>
      <w:r>
        <w:t>%。</w:t>
      </w:r>
    </w:p>
    <w:p>
      <w:pPr>
        <w:bidi w:val="0"/>
        <w:rPr>
          <w:rFonts w:hint="default"/>
          <w:lang w:val="en-US" w:eastAsia="zh-CN"/>
        </w:rPr>
      </w:pPr>
      <w:r>
        <w:rPr>
          <w:rFonts w:hint="eastAsia"/>
          <w:b/>
          <w:bCs/>
          <w:lang w:val="en-US" w:eastAsia="zh-CN"/>
        </w:rPr>
        <w:t>实际完成率：</w:t>
      </w:r>
      <w:r>
        <w:rPr>
          <w:rFonts w:hint="eastAsia"/>
          <w:lang w:val="en-US" w:eastAsia="zh-CN"/>
        </w:rPr>
        <w:t>本项目产出数量指标为深圳市社区矫正信息化核查系统升级改造完成率、社工聘用完成率、社矫宣传视频制作完成率、社矫课题研究完成率、</w:t>
      </w:r>
      <w:r>
        <w:rPr>
          <w:rFonts w:hint="eastAsia"/>
          <w:lang w:val="en-US" w:eastAsia="zh-Hans"/>
        </w:rPr>
        <w:t>社区矫正对象教育学习项目成果印制</w:t>
      </w:r>
      <w:r>
        <w:rPr>
          <w:rFonts w:hint="eastAsia"/>
          <w:lang w:val="en-US" w:eastAsia="zh-CN"/>
        </w:rPr>
        <w:t>完成率、</w:t>
      </w:r>
      <w:r>
        <w:rPr>
          <w:rFonts w:hint="eastAsia"/>
          <w:lang w:val="en-US" w:eastAsia="zh-Hans"/>
        </w:rPr>
        <w:t>社区矫正对象专项检查</w:t>
      </w:r>
      <w:r>
        <w:rPr>
          <w:rFonts w:hint="eastAsia"/>
          <w:lang w:val="en-US" w:eastAsia="zh-CN"/>
        </w:rPr>
        <w:t>完成率、</w:t>
      </w:r>
      <w:r>
        <w:rPr>
          <w:rFonts w:hint="default"/>
          <w:lang w:val="en-US" w:eastAsia="zh-Hans"/>
        </w:rPr>
        <w:t>信息化核查协议</w:t>
      </w:r>
      <w:r>
        <w:rPr>
          <w:rFonts w:hint="eastAsia"/>
          <w:lang w:val="en-US" w:eastAsia="zh-CN"/>
        </w:rPr>
        <w:t>签订率共7项指标，2020年度本项目除深圳市社区矫正信息化核查系统升级改造工作因工期进度原因暂未彻底完成投入使用外，其余产出数量指标均已完成，数量指标总体完成率为85.71%。</w:t>
      </w:r>
    </w:p>
    <w:p>
      <w:pPr>
        <w:bidi w:val="0"/>
        <w:rPr>
          <w:rFonts w:hint="eastAsia"/>
          <w:lang w:val="en-US" w:eastAsia="zh-CN"/>
        </w:rPr>
      </w:pPr>
      <w:r>
        <w:rPr>
          <w:rFonts w:hint="eastAsia"/>
          <w:b/>
          <w:bCs/>
          <w:lang w:val="en-US" w:eastAsia="zh-CN"/>
        </w:rPr>
        <w:t>质量达标率：</w:t>
      </w:r>
      <w:r>
        <w:rPr>
          <w:rFonts w:hint="eastAsia"/>
          <w:lang w:val="en-US" w:eastAsia="zh-CN"/>
        </w:rPr>
        <w:t>本项目产出质量指标为社矫对象帮教率、社矫对象</w:t>
      </w:r>
      <w:r>
        <w:rPr>
          <w:rFonts w:hint="eastAsia"/>
          <w:lang w:val="en-US" w:eastAsia="zh-Hans"/>
        </w:rPr>
        <w:t>安置率</w:t>
      </w:r>
      <w:r>
        <w:rPr>
          <w:rFonts w:hint="eastAsia"/>
          <w:lang w:val="en-US" w:eastAsia="zh-CN"/>
        </w:rPr>
        <w:t>、</w:t>
      </w:r>
      <w:r>
        <w:rPr>
          <w:rFonts w:hint="eastAsia"/>
          <w:lang w:val="en-US" w:eastAsia="zh-Hans"/>
        </w:rPr>
        <w:t>重点帮教对象接送率</w:t>
      </w:r>
      <w:r>
        <w:rPr>
          <w:rFonts w:hint="eastAsia"/>
          <w:lang w:val="en-US" w:eastAsia="zh-CN"/>
        </w:rPr>
        <w:t>、</w:t>
      </w:r>
      <w:r>
        <w:rPr>
          <w:rFonts w:hint="eastAsia"/>
          <w:lang w:val="en-US" w:eastAsia="zh-Hans"/>
        </w:rPr>
        <w:t>影响安全稳定的重大案件</w:t>
      </w:r>
      <w:r>
        <w:rPr>
          <w:rFonts w:hint="eastAsia"/>
          <w:lang w:val="en-US" w:eastAsia="zh-CN"/>
        </w:rPr>
        <w:t>发生率共4项指标。2020年度本项目社矫对象帮教率、社矫对象</w:t>
      </w:r>
      <w:r>
        <w:rPr>
          <w:rFonts w:hint="eastAsia"/>
          <w:lang w:val="en-US" w:eastAsia="zh-Hans"/>
        </w:rPr>
        <w:t>安置率</w:t>
      </w:r>
      <w:r>
        <w:rPr>
          <w:rFonts w:hint="eastAsia"/>
          <w:lang w:val="en-US" w:eastAsia="zh-CN"/>
        </w:rPr>
        <w:t>、</w:t>
      </w:r>
      <w:r>
        <w:rPr>
          <w:rFonts w:hint="eastAsia"/>
          <w:lang w:val="en-US" w:eastAsia="zh-Hans"/>
        </w:rPr>
        <w:t>重点帮教对象接送率</w:t>
      </w:r>
      <w:r>
        <w:rPr>
          <w:rFonts w:hint="eastAsia"/>
          <w:lang w:val="en-US" w:eastAsia="zh-CN"/>
        </w:rPr>
        <w:t>均达到了100%，</w:t>
      </w:r>
      <w:r>
        <w:rPr>
          <w:rFonts w:hint="eastAsia"/>
          <w:lang w:val="en-US" w:eastAsia="zh-Hans"/>
        </w:rPr>
        <w:t>影响安全稳定的重大案件</w:t>
      </w:r>
      <w:r>
        <w:rPr>
          <w:rFonts w:hint="eastAsia"/>
          <w:lang w:val="en-US" w:eastAsia="zh-CN"/>
        </w:rPr>
        <w:t>发生率为0，以上4项质量指标均达到了设定的质量标准，质量达标率为100%。</w:t>
      </w:r>
    </w:p>
    <w:p>
      <w:pPr>
        <w:bidi w:val="0"/>
        <w:rPr>
          <w:rFonts w:hint="eastAsia"/>
          <w:lang w:val="en-US" w:eastAsia="zh-CN"/>
        </w:rPr>
      </w:pPr>
      <w:r>
        <w:rPr>
          <w:rFonts w:hint="eastAsia"/>
          <w:b/>
          <w:bCs/>
          <w:lang w:val="en-US" w:eastAsia="zh-CN"/>
        </w:rPr>
        <w:t>完成及时性：</w:t>
      </w:r>
      <w:r>
        <w:rPr>
          <w:rFonts w:hint="eastAsia"/>
          <w:lang w:val="en-US" w:eastAsia="zh-CN"/>
        </w:rPr>
        <w:t>本项目产出时效指标为深圳市社区矫正信息化核查系统升级改造</w:t>
      </w:r>
      <w:r>
        <w:rPr>
          <w:rFonts w:hint="eastAsia"/>
          <w:lang w:val="en-US" w:eastAsia="zh-Hans"/>
        </w:rPr>
        <w:t>完成及时性</w:t>
      </w:r>
      <w:r>
        <w:rPr>
          <w:rFonts w:hint="eastAsia"/>
          <w:lang w:val="en-US" w:eastAsia="zh-CN"/>
        </w:rPr>
        <w:t>、社工聘用完成</w:t>
      </w:r>
      <w:r>
        <w:rPr>
          <w:rFonts w:hint="eastAsia"/>
          <w:lang w:val="en-US" w:eastAsia="zh-Hans"/>
        </w:rPr>
        <w:t>及时性</w:t>
      </w:r>
      <w:r>
        <w:rPr>
          <w:rFonts w:hint="eastAsia"/>
          <w:lang w:val="en-US" w:eastAsia="zh-CN"/>
        </w:rPr>
        <w:t>、社矫宣传视频制作完成</w:t>
      </w:r>
      <w:r>
        <w:rPr>
          <w:rFonts w:hint="eastAsia"/>
          <w:lang w:val="en-US" w:eastAsia="zh-Hans"/>
        </w:rPr>
        <w:t>及时性</w:t>
      </w:r>
      <w:r>
        <w:rPr>
          <w:rFonts w:hint="eastAsia"/>
          <w:lang w:val="en-US" w:eastAsia="zh-CN"/>
        </w:rPr>
        <w:t>、</w:t>
      </w:r>
      <w:r>
        <w:rPr>
          <w:rFonts w:hint="eastAsia"/>
          <w:lang w:val="en-US" w:eastAsia="zh-Hans"/>
        </w:rPr>
        <w:t>社区矫正对象教育学习项目成果印制</w:t>
      </w:r>
      <w:r>
        <w:rPr>
          <w:rFonts w:hint="eastAsia"/>
          <w:lang w:val="en-US" w:eastAsia="zh-CN"/>
        </w:rPr>
        <w:t>完成</w:t>
      </w:r>
      <w:r>
        <w:rPr>
          <w:rFonts w:hint="eastAsia"/>
          <w:lang w:val="en-US" w:eastAsia="zh-Hans"/>
        </w:rPr>
        <w:t>及时性</w:t>
      </w:r>
      <w:r>
        <w:rPr>
          <w:rFonts w:hint="eastAsia"/>
          <w:lang w:val="en-US" w:eastAsia="zh-CN"/>
        </w:rPr>
        <w:t>、</w:t>
      </w:r>
      <w:r>
        <w:rPr>
          <w:rFonts w:hint="eastAsia"/>
          <w:lang w:val="en-US" w:eastAsia="zh-Hans"/>
        </w:rPr>
        <w:t>社区矫正对象专项检查</w:t>
      </w:r>
      <w:r>
        <w:rPr>
          <w:rFonts w:hint="eastAsia"/>
          <w:lang w:val="en-US" w:eastAsia="zh-CN"/>
        </w:rPr>
        <w:t>完成</w:t>
      </w:r>
      <w:r>
        <w:rPr>
          <w:rFonts w:hint="eastAsia"/>
          <w:lang w:val="en-US" w:eastAsia="zh-Hans"/>
        </w:rPr>
        <w:t>及时性</w:t>
      </w:r>
      <w:r>
        <w:rPr>
          <w:rFonts w:hint="eastAsia"/>
          <w:lang w:val="en-US" w:eastAsia="zh-CN"/>
        </w:rPr>
        <w:t>、</w:t>
      </w:r>
      <w:r>
        <w:rPr>
          <w:rFonts w:hint="default"/>
          <w:lang w:val="en-US" w:eastAsia="zh-Hans"/>
        </w:rPr>
        <w:t>信息化核查协议</w:t>
      </w:r>
      <w:r>
        <w:rPr>
          <w:rFonts w:hint="eastAsia"/>
          <w:lang w:val="en-US" w:eastAsia="zh-CN"/>
        </w:rPr>
        <w:t>签订</w:t>
      </w:r>
      <w:r>
        <w:rPr>
          <w:rFonts w:hint="eastAsia"/>
          <w:lang w:val="en-US" w:eastAsia="zh-Hans"/>
        </w:rPr>
        <w:t>及时性</w:t>
      </w:r>
      <w:r>
        <w:rPr>
          <w:rFonts w:hint="eastAsia"/>
          <w:lang w:val="en-US" w:eastAsia="zh-CN"/>
        </w:rPr>
        <w:t>共6项指标。2020年度本项目除深圳市社区矫正信息化核查系统升级改造工作因工期进度原因暂未彻底完成投入使用外，其余产出时效指标均已完成，总体完成时效性较好。</w:t>
      </w:r>
    </w:p>
    <w:p>
      <w:pPr>
        <w:bidi w:val="0"/>
        <w:rPr>
          <w:rFonts w:hint="eastAsia"/>
          <w:lang w:val="en-US" w:eastAsia="zh-CN"/>
        </w:rPr>
      </w:pPr>
      <w:r>
        <w:rPr>
          <w:rFonts w:hint="eastAsia"/>
          <w:b/>
          <w:bCs/>
          <w:lang w:val="en-US" w:eastAsia="zh-CN"/>
        </w:rPr>
        <w:t>成本节约率：</w:t>
      </w:r>
      <w:r>
        <w:rPr>
          <w:rFonts w:hint="eastAsia"/>
          <w:lang w:val="en-US" w:eastAsia="zh-CN"/>
        </w:rPr>
        <w:t>本项目计划成本92万元，实际项目成本92万元，根据成本节约率公式：成本节约率=[（计划成本-实际成本）/计划成本]×100%，根据公式计算可知本项目成本节约率为0，符合原定目标值设定的范围。</w:t>
      </w:r>
    </w:p>
    <w:p>
      <w:pPr>
        <w:pStyle w:val="5"/>
        <w:bidi w:val="0"/>
        <w:rPr>
          <w:lang w:eastAsia="zh-Hans"/>
        </w:rPr>
      </w:pPr>
      <w:bookmarkStart w:id="42" w:name="_Toc21744"/>
      <w:r>
        <w:rPr>
          <w:lang w:eastAsia="zh-Hans"/>
        </w:rPr>
        <w:t>（四）项目效益情况</w:t>
      </w:r>
      <w:bookmarkEnd w:id="42"/>
    </w:p>
    <w:p>
      <w:pPr>
        <w:bidi w:val="0"/>
        <w:rPr>
          <w:rFonts w:hint="eastAsia"/>
          <w:lang w:val="en-US" w:eastAsia="zh-CN"/>
        </w:rPr>
      </w:pPr>
      <w:r>
        <w:rPr>
          <w:rFonts w:hint="eastAsia"/>
          <w:lang w:val="en-US" w:eastAsia="zh-CN"/>
        </w:rPr>
        <w:t>项目效益指标共21分，得分19分，得分率为94.44%。</w:t>
      </w:r>
    </w:p>
    <w:p>
      <w:pPr>
        <w:bidi w:val="0"/>
        <w:rPr>
          <w:rFonts w:hint="eastAsia"/>
        </w:rPr>
      </w:pPr>
      <w:r>
        <w:rPr>
          <w:rFonts w:hint="eastAsia"/>
          <w:b/>
          <w:bCs/>
          <w:lang w:val="en-US" w:eastAsia="zh-CN"/>
        </w:rPr>
        <w:t>实施效益：</w:t>
      </w:r>
      <w:r>
        <w:rPr>
          <w:rFonts w:hint="eastAsia"/>
          <w:lang w:val="en-US" w:eastAsia="zh-CN"/>
        </w:rPr>
        <w:t>本项目社会效益指标为</w:t>
      </w:r>
      <w:r>
        <w:rPr>
          <w:rFonts w:hint="eastAsia"/>
          <w:lang w:val="en-US" w:eastAsia="zh-Hans"/>
        </w:rPr>
        <w:t>维护我市社会和谐稳定</w:t>
      </w:r>
      <w:r>
        <w:rPr>
          <w:rFonts w:hint="eastAsia"/>
          <w:lang w:val="en-US" w:eastAsia="zh-CN"/>
        </w:rPr>
        <w:t>、推动</w:t>
      </w:r>
      <w:r>
        <w:rPr>
          <w:rFonts w:hint="eastAsia"/>
          <w:lang w:val="en-US" w:eastAsia="zh-Hans"/>
        </w:rPr>
        <w:t>社矫法宣传贯彻</w:t>
      </w:r>
      <w:r>
        <w:rPr>
          <w:rFonts w:hint="eastAsia"/>
          <w:lang w:val="en-US" w:eastAsia="zh-CN"/>
        </w:rPr>
        <w:t>、</w:t>
      </w:r>
      <w:r>
        <w:rPr>
          <w:rFonts w:hint="eastAsia"/>
          <w:lang w:val="en-US" w:eastAsia="zh-Hans"/>
        </w:rPr>
        <w:t>完善</w:t>
      </w:r>
      <w:r>
        <w:rPr>
          <w:rFonts w:hint="eastAsia"/>
          <w:lang w:val="en-US" w:eastAsia="zh-CN"/>
        </w:rPr>
        <w:t>社矫</w:t>
      </w:r>
      <w:r>
        <w:rPr>
          <w:rFonts w:hint="eastAsia"/>
          <w:lang w:val="en-US" w:eastAsia="zh-Hans"/>
        </w:rPr>
        <w:t>工作机制</w:t>
      </w:r>
      <w:r>
        <w:rPr>
          <w:rFonts w:hint="eastAsia"/>
          <w:lang w:val="en-US" w:eastAsia="zh-CN"/>
        </w:rPr>
        <w:t>共3项指标。2020年度通过本项目的实施，当年度上半年</w:t>
      </w:r>
      <w:r>
        <w:rPr>
          <w:rFonts w:hint="eastAsia"/>
        </w:rPr>
        <w:t>我市社矫安帮工作经受住了新冠肺炎疫情的考验，正式启用了社矫基地，全面推动了社矫法宣传贯彻，积极申请省厅为各区解决警用车辆牌照，协调将社矫社工（15:1）、安帮社工（20:1）配比纳入市民政局《关于提升社会工作服务水平的若干措施》，通过一系列有力举措，确保了社矫安帮工作整体平稳有序，成效显著。但</w:t>
      </w:r>
      <w:r>
        <w:rPr>
          <w:rFonts w:hint="eastAsia"/>
          <w:lang w:val="en-US" w:eastAsia="zh-CN"/>
        </w:rPr>
        <w:t>在完善社矫工作机制方面，虽</w:t>
      </w:r>
      <w:r>
        <w:rPr>
          <w:rFonts w:hint="eastAsia"/>
        </w:rPr>
        <w:t>制定</w:t>
      </w:r>
      <w:r>
        <w:rPr>
          <w:rFonts w:hint="eastAsia"/>
          <w:lang w:val="en-US" w:eastAsia="zh-CN"/>
        </w:rPr>
        <w:t>了</w:t>
      </w:r>
      <w:r>
        <w:rPr>
          <w:rFonts w:hint="eastAsia"/>
        </w:rPr>
        <w:t>《深圳市司法局社区矫正工作信息化核查暂行规定》，</w:t>
      </w:r>
      <w:r>
        <w:rPr>
          <w:rFonts w:hint="eastAsia"/>
          <w:lang w:val="en-US" w:eastAsia="zh-CN"/>
        </w:rPr>
        <w:t>助推《社区矫正法》平稳过渡；</w:t>
      </w:r>
      <w:r>
        <w:rPr>
          <w:rFonts w:hint="eastAsia"/>
        </w:rPr>
        <w:t>建立</w:t>
      </w:r>
      <w:r>
        <w:rPr>
          <w:rFonts w:hint="eastAsia"/>
          <w:lang w:val="en-US" w:eastAsia="zh-CN"/>
        </w:rPr>
        <w:t>了</w:t>
      </w:r>
      <w:r>
        <w:rPr>
          <w:rFonts w:hint="eastAsia"/>
        </w:rPr>
        <w:t>安置帮教工作管理规定并悬挂上墙</w:t>
      </w:r>
      <w:r>
        <w:rPr>
          <w:rFonts w:hint="eastAsia"/>
          <w:lang w:eastAsia="zh-CN"/>
        </w:rPr>
        <w:t>；</w:t>
      </w:r>
      <w:r>
        <w:rPr>
          <w:rFonts w:hint="eastAsia"/>
        </w:rPr>
        <w:t>探索建立责任机制与量化考核标准</w:t>
      </w:r>
      <w:r>
        <w:rPr>
          <w:rFonts w:hint="eastAsia"/>
          <w:lang w:eastAsia="zh-CN"/>
        </w:rPr>
        <w:t>，</w:t>
      </w:r>
      <w:r>
        <w:rPr>
          <w:rFonts w:hint="eastAsia"/>
          <w:lang w:val="en-US" w:eastAsia="zh-CN"/>
        </w:rPr>
        <w:t>一系列举措在完善社矫工作机制方面起到了一定的积极作用</w:t>
      </w:r>
      <w:r>
        <w:rPr>
          <w:rFonts w:hint="eastAsia"/>
          <w:lang w:eastAsia="zh-CN"/>
        </w:rPr>
        <w:t>，</w:t>
      </w:r>
      <w:r>
        <w:rPr>
          <w:rFonts w:hint="eastAsia"/>
          <w:lang w:val="en-US" w:eastAsia="zh-CN"/>
        </w:rPr>
        <w:t>但仍存在着一些不足和进步空间</w:t>
      </w:r>
      <w:r>
        <w:rPr>
          <w:rFonts w:hint="eastAsia"/>
        </w:rPr>
        <w:t>，</w:t>
      </w:r>
      <w:r>
        <w:rPr>
          <w:rFonts w:hint="eastAsia"/>
          <w:lang w:val="en-US" w:eastAsia="zh-CN"/>
        </w:rPr>
        <w:t>如</w:t>
      </w:r>
      <w:r>
        <w:rPr>
          <w:rFonts w:hint="eastAsia"/>
        </w:rPr>
        <w:t>社矫法实施下的工作体系尚未全面建立健全，配套制度尚不完善；司法所管理体系不顺畅，职能弱化，动摇了社矫安帮工作根基等。</w:t>
      </w:r>
    </w:p>
    <w:p>
      <w:pPr>
        <w:bidi w:val="0"/>
        <w:rPr>
          <w:rFonts w:hint="default"/>
          <w:lang w:val="en-US" w:eastAsia="zh-CN"/>
        </w:rPr>
      </w:pPr>
      <w:r>
        <w:rPr>
          <w:rFonts w:hint="eastAsia"/>
          <w:b/>
          <w:bCs/>
          <w:lang w:val="en-US" w:eastAsia="zh-CN"/>
        </w:rPr>
        <w:t>满意度：</w:t>
      </w:r>
      <w:r>
        <w:rPr>
          <w:rFonts w:hint="eastAsia"/>
          <w:lang w:val="en-US" w:eastAsia="zh-CN"/>
        </w:rPr>
        <w:t>本项目满意度指标旨在考察项目管理人员对本项目实施情况</w:t>
      </w:r>
      <w:r>
        <w:rPr>
          <w:rFonts w:hint="eastAsia"/>
        </w:rPr>
        <w:t>的满意</w:t>
      </w:r>
      <w:r>
        <w:rPr>
          <w:rFonts w:hint="eastAsia"/>
          <w:lang w:val="en-US" w:eastAsia="zh-CN"/>
        </w:rPr>
        <w:t>程度</w:t>
      </w:r>
      <w:r>
        <w:rPr>
          <w:rFonts w:hint="eastAsia"/>
          <w:lang w:eastAsia="zh-CN"/>
        </w:rPr>
        <w:t>，</w:t>
      </w:r>
      <w:r>
        <w:rPr>
          <w:rFonts w:hint="eastAsia"/>
          <w:lang w:val="en-US" w:eastAsia="zh-CN"/>
        </w:rPr>
        <w:t>当年度项目结束后，我局通过访谈、问卷调查等形式进行满意度调查，调查结果显示项目管理人员对本项目实施情况比较满意。</w:t>
      </w:r>
    </w:p>
    <w:p>
      <w:pPr>
        <w:pStyle w:val="3"/>
        <w:bidi w:val="0"/>
      </w:pPr>
      <w:bookmarkStart w:id="43" w:name="_Toc22456"/>
      <w:bookmarkStart w:id="44" w:name="_Toc1583298952"/>
      <w:r>
        <w:rPr>
          <w:lang w:eastAsia="zh-Hans"/>
        </w:rPr>
        <w:t>五</w:t>
      </w:r>
      <w:r>
        <w:t>、主要经验</w:t>
      </w:r>
      <w:r>
        <w:rPr>
          <w:lang w:eastAsia="zh-Hans"/>
        </w:rPr>
        <w:t>及</w:t>
      </w:r>
      <w:r>
        <w:t>做法</w:t>
      </w:r>
      <w:bookmarkEnd w:id="43"/>
      <w:bookmarkEnd w:id="44"/>
    </w:p>
    <w:p>
      <w:pPr>
        <w:pStyle w:val="5"/>
        <w:bidi w:val="0"/>
        <w:rPr>
          <w:rFonts w:hint="eastAsia"/>
          <w:lang w:val="en-US" w:eastAsia="zh-CN"/>
        </w:rPr>
      </w:pPr>
      <w:bookmarkStart w:id="45" w:name="_Toc5914"/>
      <w:r>
        <w:rPr>
          <w:rFonts w:hint="eastAsia"/>
          <w:lang w:val="en-US" w:eastAsia="zh-Hans"/>
        </w:rPr>
        <w:t>（一）</w:t>
      </w:r>
      <w:r>
        <w:rPr>
          <w:rFonts w:hint="eastAsia"/>
          <w:lang w:val="en-US" w:eastAsia="zh-CN"/>
        </w:rPr>
        <w:t>筑牢安全防线，确保监管安全平稳</w:t>
      </w:r>
      <w:bookmarkEnd w:id="45"/>
    </w:p>
    <w:p>
      <w:pPr>
        <w:bidi w:val="0"/>
        <w:rPr>
          <w:rFonts w:hint="eastAsia"/>
          <w:lang w:val="en-US" w:eastAsia="zh-CN"/>
        </w:rPr>
      </w:pPr>
      <w:r>
        <w:rPr>
          <w:rFonts w:hint="eastAsia"/>
          <w:lang w:val="en-US" w:eastAsia="zh-CN"/>
        </w:rPr>
        <w:t>一是加强重点人员排查监管。对全市78个司法所（包括深汕4个）进行逐一走访，认真开展检查督导、人员点验、重点人员谈话、矫情分析等工作，开展调查评估307件、个别谈话教育725人次、远程视频会见1058场次。二是认真抓好扫黑除恶工作。开展“五涉人员”排查，做到新接收社矫对象个别谈话、签署承诺书和专项谈话完成率3个100%。三是开展暂予监外执行社区矫正对象专项检查活动。根据省厅统一部署要求，2020年8月上旬以来开展专项检查活动，涉及8个区共65人。</w:t>
      </w:r>
    </w:p>
    <w:p>
      <w:pPr>
        <w:pStyle w:val="5"/>
        <w:bidi w:val="0"/>
        <w:rPr>
          <w:rFonts w:hint="eastAsia"/>
          <w:lang w:val="en-US" w:eastAsia="zh-CN"/>
        </w:rPr>
      </w:pPr>
      <w:bookmarkStart w:id="46" w:name="_Toc8371"/>
      <w:r>
        <w:rPr>
          <w:rFonts w:hint="eastAsia"/>
          <w:lang w:val="en-US" w:eastAsia="zh-CN"/>
        </w:rPr>
        <w:t>（二）抓好疫情防控，确保监管对象“零感染”</w:t>
      </w:r>
      <w:bookmarkEnd w:id="46"/>
    </w:p>
    <w:p>
      <w:pPr>
        <w:bidi w:val="0"/>
        <w:rPr>
          <w:rFonts w:hint="eastAsia"/>
          <w:lang w:val="en-US" w:eastAsia="zh-CN"/>
        </w:rPr>
      </w:pPr>
      <w:r>
        <w:rPr>
          <w:rFonts w:hint="eastAsia"/>
          <w:lang w:val="en-US" w:eastAsia="zh-CN"/>
        </w:rPr>
        <w:t>一是加大信息核查。对在册监管对象进行逐一排查摸底，对其本人及家属身体状况、近期行程安排等信息进行收集归纳。二是创新监管方式。充分利用互联网技术，通过终端信息化核查、钉钉签到、电话、微信视频等信息化管控手段，切实掌握监管对象的活动轨迹和行动去向。三是加强人文关怀。2020年上半年开展心理矫治讲座45场，2800余人次参加。鼓励监管对象参与力所能及的疫情防控志愿活动，如参与岗亭测温、核查出入证件等，强化他们的社会责任感。四是落实联防联控。加强与公安、卫生疾控、民政、街道等各部门、各层级的沟通协作，形成工作合力。五是加强应急处置。完善印发应急处置预案，明确适用范围、职责分工、处置程序等。疫情紧急期间，各区、各街道司法所每日定期上报辖区监管安全和疫情防控情况，实施“零报告”制度。疫情发生以来，我市社矫安帮对象和工作人员均未发现感染或疑似等情况。</w:t>
      </w:r>
    </w:p>
    <w:p>
      <w:pPr>
        <w:pStyle w:val="5"/>
        <w:bidi w:val="0"/>
      </w:pPr>
      <w:bookmarkStart w:id="47" w:name="_Toc4058"/>
      <w:r>
        <w:rPr>
          <w:rFonts w:hint="eastAsia"/>
        </w:rPr>
        <w:t>（三）宣传贯彻社矫法，确保平稳有序过渡</w:t>
      </w:r>
      <w:bookmarkEnd w:id="47"/>
    </w:p>
    <w:p>
      <w:pPr>
        <w:bidi w:val="0"/>
        <w:rPr>
          <w:rFonts w:hint="eastAsia"/>
          <w:lang w:val="en-US" w:eastAsia="zh-CN"/>
        </w:rPr>
      </w:pPr>
      <w:r>
        <w:rPr>
          <w:rFonts w:hint="eastAsia"/>
          <w:lang w:val="en-US" w:eastAsia="zh-CN"/>
        </w:rPr>
        <w:t>一是各级联动全面推进宣传学习工作。成立《社矫法》宣讲团，在系统内和参与社矫工作的相关部门间进行专题巡回宣讲。二是全力推进社区矫正委员会的设立工作。根据《社矫法》精神和深圳实际，我局提请市领导担任市社矫委员会主任，并把参与委员会的相关部门的范围扩大到16个，体现了高标准、高要求、高规格的特点，为《社矫法》的贯彻落实打下坚实基础。三是全力保障《社矫法》实施的平顺过渡。为保障社区矫正管理的良好秩序，确保安全稳定，市局制定《深圳市司法局社区矫正工作信息化核查暂行规定》，利用信息化核查终端，作为《社矫法》确认的信息化核查手段，取代电子手环。目前全市社矫对象除法定情形外，已全部顺利完成手环解除工作，并签署信息化核查协议。</w:t>
      </w:r>
    </w:p>
    <w:p>
      <w:pPr>
        <w:pStyle w:val="5"/>
        <w:bidi w:val="0"/>
      </w:pPr>
      <w:bookmarkStart w:id="48" w:name="_Toc13565"/>
      <w:r>
        <w:rPr>
          <w:rFonts w:hint="eastAsia"/>
        </w:rPr>
        <w:t>（</w:t>
      </w:r>
      <w:r>
        <w:rPr>
          <w:rFonts w:hint="eastAsia"/>
          <w:lang w:val="en-US" w:eastAsia="zh-CN"/>
        </w:rPr>
        <w:t>四</w:t>
      </w:r>
      <w:r>
        <w:rPr>
          <w:rFonts w:hint="eastAsia"/>
        </w:rPr>
        <w:t>）完善安帮体系建设，进一步提升帮教质量</w:t>
      </w:r>
      <w:bookmarkEnd w:id="48"/>
    </w:p>
    <w:p>
      <w:pPr>
        <w:bidi w:val="0"/>
        <w:rPr>
          <w:rFonts w:hint="eastAsia"/>
          <w:lang w:val="en-US" w:eastAsia="zh-CN"/>
        </w:rPr>
      </w:pPr>
      <w:r>
        <w:rPr>
          <w:rFonts w:hint="eastAsia"/>
          <w:lang w:val="en-US" w:eastAsia="zh-CN"/>
        </w:rPr>
        <w:t>一是落实衔接核查工作。督导各区及时组织司法所对刑释人员进行信息核查，并将核查信息反馈至全省管理系统，形成流畅的信息反馈机制。二是建立健全过渡性安置基地。积极发挥安置基地作用，今年与我局合作的安置帮教基地（“阳光下”青年驿站）成功安置了4名“三假”和“三无”人员。三是完善社矫工作机制。建立安置帮教工作管理规定并悬挂上墙，明晰工作流程，确保各项业务有序、高效开展。探索建立责任机制与量化考核标准，让每一工作环节更为规范、高效和合理。建立业务交流学习机制，有效拓宽工作思路，不断提高业务水平和能力。</w:t>
      </w:r>
    </w:p>
    <w:p>
      <w:pPr>
        <w:pStyle w:val="3"/>
        <w:bidi w:val="0"/>
        <w:rPr>
          <w:lang w:eastAsia="zh-Hans"/>
        </w:rPr>
      </w:pPr>
      <w:bookmarkStart w:id="49" w:name="_Toc448950785"/>
      <w:bookmarkStart w:id="50" w:name="_Toc27263"/>
      <w:r>
        <w:rPr>
          <w:lang w:eastAsia="zh-Hans"/>
        </w:rPr>
        <w:t>六</w:t>
      </w:r>
      <w:r>
        <w:t>、存在问题及原因</w:t>
      </w:r>
      <w:bookmarkEnd w:id="49"/>
      <w:r>
        <w:rPr>
          <w:lang w:eastAsia="zh-Hans"/>
        </w:rPr>
        <w:t>分析</w:t>
      </w:r>
      <w:bookmarkEnd w:id="50"/>
      <w:bookmarkStart w:id="51" w:name="_Toc984567007"/>
    </w:p>
    <w:p>
      <w:pPr>
        <w:bidi w:val="0"/>
        <w:rPr>
          <w:rFonts w:hint="default"/>
          <w:lang w:val="en-US" w:eastAsia="zh-CN"/>
        </w:rPr>
      </w:pPr>
      <w:r>
        <w:rPr>
          <w:rFonts w:hint="eastAsia"/>
        </w:rPr>
        <w:t>通过本次</w:t>
      </w:r>
      <w:r>
        <w:rPr>
          <w:rFonts w:hint="eastAsia"/>
          <w:lang w:val="en-US" w:eastAsia="zh-CN"/>
        </w:rPr>
        <w:t>绩效</w:t>
      </w:r>
      <w:r>
        <w:rPr>
          <w:rFonts w:hint="eastAsia"/>
        </w:rPr>
        <w:t>评价</w:t>
      </w:r>
      <w:r>
        <w:rPr>
          <w:rFonts w:hint="eastAsia"/>
          <w:lang w:val="en-US" w:eastAsia="zh-CN"/>
        </w:rPr>
        <w:t>工作的组织开展</w:t>
      </w:r>
      <w:r>
        <w:rPr>
          <w:rFonts w:hint="eastAsia"/>
        </w:rPr>
        <w:t>，我局全面分析项目绩效完成情况，梳理项目存在的问题。经评价，</w:t>
      </w:r>
      <w:r>
        <w:rPr>
          <w:rFonts w:hint="eastAsia"/>
          <w:lang w:val="en-US" w:eastAsia="zh-CN"/>
        </w:rPr>
        <w:t>本项目自评</w:t>
      </w:r>
      <w:r>
        <w:rPr>
          <w:rFonts w:hint="eastAsia"/>
        </w:rPr>
        <w:t>总得分</w:t>
      </w:r>
      <w:r>
        <w:rPr>
          <w:rFonts w:hint="eastAsia"/>
          <w:lang w:val="en-US" w:eastAsia="zh-CN"/>
        </w:rPr>
        <w:t>91</w:t>
      </w:r>
      <w:r>
        <w:rPr>
          <w:rFonts w:hint="eastAsia"/>
        </w:rPr>
        <w:t>分</w:t>
      </w:r>
      <w:r>
        <w:rPr>
          <w:rFonts w:hint="eastAsia"/>
          <w:lang w:eastAsia="zh-CN"/>
        </w:rPr>
        <w:t>，</w:t>
      </w:r>
      <w:r>
        <w:rPr>
          <w:rFonts w:hint="eastAsia"/>
          <w:lang w:val="en-US" w:eastAsia="zh-CN"/>
        </w:rPr>
        <w:t>现将评价发现的主要存在问题及原因分析列示如下：</w:t>
      </w:r>
    </w:p>
    <w:p>
      <w:pPr>
        <w:pStyle w:val="5"/>
        <w:bidi w:val="0"/>
        <w:rPr>
          <w:rFonts w:hint="eastAsia"/>
          <w:lang w:val="en-US" w:eastAsia="zh-CN"/>
        </w:rPr>
      </w:pPr>
      <w:bookmarkStart w:id="52" w:name="_Toc9514"/>
      <w:r>
        <w:t>（</w:t>
      </w:r>
      <w:r>
        <w:rPr>
          <w:rFonts w:hint="eastAsia"/>
          <w:lang w:val="en-US" w:eastAsia="zh-CN"/>
        </w:rPr>
        <w:t>一</w:t>
      </w:r>
      <w:r>
        <w:t>）绩效目标</w:t>
      </w:r>
      <w:r>
        <w:rPr>
          <w:rFonts w:hint="eastAsia"/>
          <w:lang w:eastAsia="zh-CN"/>
        </w:rPr>
        <w:t>、</w:t>
      </w:r>
      <w:r>
        <w:rPr>
          <w:rFonts w:hint="eastAsia"/>
          <w:lang w:val="en-US" w:eastAsia="zh-CN"/>
        </w:rPr>
        <w:t>指标的设置欠缺全面性</w:t>
      </w:r>
      <w:bookmarkEnd w:id="52"/>
    </w:p>
    <w:p>
      <w:pPr>
        <w:bidi w:val="0"/>
        <w:rPr>
          <w:rFonts w:ascii="仿宋_GB2312" w:hAnsi="Times New Roman Regular" w:cs="Times New Roman Regular"/>
          <w:color w:val="181717" w:themeColor="background2" w:themeShade="1A"/>
          <w:kern w:val="0"/>
          <w:szCs w:val="32"/>
        </w:rPr>
      </w:pPr>
      <w:r>
        <w:t>绩效目标是贯穿项目实施的整个周期，指导着项目的实施方向</w:t>
      </w:r>
      <w:r>
        <w:rPr>
          <w:rFonts w:hint="eastAsia"/>
        </w:rPr>
        <w:t>，</w:t>
      </w:r>
      <w:r>
        <w:t>而绩效指标是绩效目标的具体化，对项目实施的各个阶段起着考核、监督、引导的作用。</w:t>
      </w:r>
      <w:r>
        <w:rPr>
          <w:rFonts w:hint="eastAsia"/>
          <w:lang w:val="en-US" w:eastAsia="zh-CN"/>
        </w:rPr>
        <w:t>我局</w:t>
      </w:r>
      <w:r>
        <w:t>虽然按照</w:t>
      </w:r>
      <w:r>
        <w:rPr>
          <w:rFonts w:hint="eastAsia"/>
          <w:lang w:val="en-US" w:eastAsia="zh-CN"/>
        </w:rPr>
        <w:t>市</w:t>
      </w:r>
      <w:r>
        <w:t>财政要求填报</w:t>
      </w:r>
      <w:r>
        <w:rPr>
          <w:rFonts w:hint="eastAsia"/>
          <w:lang w:val="en-US" w:eastAsia="zh-CN"/>
        </w:rPr>
        <w:t>了</w:t>
      </w:r>
      <w:r>
        <w:t>绩效目标申报表，但</w:t>
      </w:r>
      <w:r>
        <w:rPr>
          <w:rFonts w:hint="eastAsia"/>
          <w:lang w:val="en-US" w:eastAsia="zh-CN"/>
        </w:rPr>
        <w:t>所填报的</w:t>
      </w:r>
      <w:r>
        <w:t>目标</w:t>
      </w:r>
      <w:r>
        <w:rPr>
          <w:rFonts w:hint="eastAsia"/>
          <w:lang w:eastAsia="zh-CN"/>
        </w:rPr>
        <w:t>、</w:t>
      </w:r>
      <w:r>
        <w:rPr>
          <w:rFonts w:hint="eastAsia"/>
          <w:lang w:val="en-US" w:eastAsia="zh-CN"/>
        </w:rPr>
        <w:t>指标</w:t>
      </w:r>
      <w:r>
        <w:t>不够全面，未能</w:t>
      </w:r>
      <w:r>
        <w:rPr>
          <w:rFonts w:hint="eastAsia"/>
          <w:lang w:val="en-US" w:eastAsia="zh-CN"/>
        </w:rPr>
        <w:t>充分</w:t>
      </w:r>
      <w:r>
        <w:t>体现</w:t>
      </w:r>
      <w:r>
        <w:rPr>
          <w:rFonts w:hint="eastAsia"/>
          <w:lang w:eastAsia="zh-CN"/>
        </w:rPr>
        <w:t>社矫</w:t>
      </w:r>
      <w:r>
        <w:t>项目</w:t>
      </w:r>
      <w:r>
        <w:rPr>
          <w:rFonts w:hint="eastAsia"/>
          <w:lang w:val="en-US" w:eastAsia="zh-CN"/>
        </w:rPr>
        <w:t>2020年度</w:t>
      </w:r>
      <w:r>
        <w:t>所有工作内容，</w:t>
      </w:r>
      <w:r>
        <w:rPr>
          <w:rFonts w:hint="eastAsia"/>
          <w:lang w:val="en-US" w:eastAsia="zh-CN"/>
        </w:rPr>
        <w:t>原有的绩效指标难以</w:t>
      </w:r>
      <w:r>
        <w:rPr>
          <w:rFonts w:hint="eastAsia"/>
        </w:rPr>
        <w:t>全面衡量项目实际产出及效益情况</w:t>
      </w:r>
      <w:r>
        <w:rPr>
          <w:rFonts w:hint="eastAsia"/>
          <w:lang w:eastAsia="zh-CN"/>
        </w:rPr>
        <w:t>，</w:t>
      </w:r>
      <w:r>
        <w:t>绩效指标</w:t>
      </w:r>
      <w:r>
        <w:rPr>
          <w:rFonts w:hint="eastAsia"/>
          <w:lang w:val="en-US" w:eastAsia="zh-CN"/>
        </w:rPr>
        <w:t>仍有提炼和细化空间</w:t>
      </w:r>
      <w:r>
        <w:t>，</w:t>
      </w:r>
      <w:r>
        <w:rPr>
          <w:rFonts w:hint="eastAsia"/>
          <w:lang w:val="en-US" w:eastAsia="zh-CN"/>
        </w:rPr>
        <w:t>故我局在本次绩效评价工作中，重新梳理了项目内容并进一步完善了绩效目标、指标。在完善了绩效目标、指标的基础上组织开展绩效评价工作，力争反映最全面真实的项目绩效情况</w:t>
      </w:r>
      <w:r>
        <w:t>。</w:t>
      </w:r>
    </w:p>
    <w:p>
      <w:pPr>
        <w:pStyle w:val="5"/>
        <w:bidi w:val="0"/>
        <w:rPr>
          <w:rFonts w:hint="eastAsia"/>
          <w:lang w:val="en-US" w:eastAsia="zh-CN"/>
        </w:rPr>
      </w:pPr>
      <w:bookmarkStart w:id="53" w:name="_Toc17858"/>
      <w:r>
        <w:rPr>
          <w:rFonts w:hint="eastAsia"/>
          <w:lang w:eastAsia="zh-CN"/>
        </w:rPr>
        <w:t>（</w:t>
      </w:r>
      <w:r>
        <w:rPr>
          <w:rFonts w:hint="eastAsia"/>
          <w:lang w:val="en-US" w:eastAsia="zh-CN"/>
        </w:rPr>
        <w:t>二</w:t>
      </w:r>
      <w:r>
        <w:rPr>
          <w:rFonts w:hint="eastAsia"/>
          <w:lang w:eastAsia="zh-CN"/>
        </w:rPr>
        <w:t>）</w:t>
      </w:r>
      <w:r>
        <w:rPr>
          <w:rFonts w:hint="eastAsia"/>
          <w:lang w:val="en-US" w:eastAsia="zh-CN"/>
        </w:rPr>
        <w:t>系统升级改造工作尚未完成</w:t>
      </w:r>
      <w:bookmarkEnd w:id="53"/>
    </w:p>
    <w:p>
      <w:pPr>
        <w:bidi w:val="0"/>
        <w:rPr>
          <w:lang w:val="en-US" w:eastAsia="zh-CN"/>
        </w:rPr>
      </w:pPr>
      <w:r>
        <w:rPr>
          <w:lang w:val="en-US" w:eastAsia="zh-CN"/>
        </w:rPr>
        <w:t>为进一步规范实施社区矫正对象的监督管理工作，积极推动科技创新与社区矫正工作的深度融合。根据《中华人民共和国社区矫正法</w:t>
      </w:r>
      <w:r>
        <w:rPr>
          <w:rFonts w:hint="eastAsia"/>
          <w:lang w:val="en-US" w:eastAsia="zh-CN"/>
        </w:rPr>
        <w:t>》</w:t>
      </w:r>
      <w:r>
        <w:rPr>
          <w:lang w:val="en-US" w:eastAsia="zh-CN"/>
        </w:rPr>
        <w:t>与结合实际工作需要及上级部门的工作指导意见，在原有系统功能上进行深度开发，增加了通过信息化核查终端进行人脸识别签到功能，进步完善对社区矫正对象的活动情况和行为表现进行核实、查验的系列工作。</w:t>
      </w:r>
    </w:p>
    <w:p>
      <w:pPr>
        <w:bidi w:val="0"/>
        <w:rPr>
          <w:rFonts w:hint="default"/>
          <w:lang w:val="en-US"/>
        </w:rPr>
      </w:pPr>
      <w:r>
        <w:rPr>
          <w:rFonts w:hint="eastAsia"/>
          <w:lang w:val="en-US" w:eastAsia="zh-CN"/>
        </w:rPr>
        <w:t>2020年6月，受我局委托的深圳市润安科技发展有限公司（以下简称“润安公司”）完成了深圳市社区矫正信息化核查系统技术方案的编制，7月经局长办公会讨论同意，采取单一来源采购的方式，委托润安公司根据我局的应用需求，进行首期的技术改造，根据《技术开发（委托）合同》约定，研究开发成果交付时间为合同签订后的180个日历日完成交付。因此，由于工期原因，此项工作未能在2020年度内彻底完成。</w:t>
      </w:r>
    </w:p>
    <w:p>
      <w:pPr>
        <w:pStyle w:val="5"/>
        <w:bidi w:val="0"/>
        <w:rPr>
          <w:lang w:eastAsia="zh-Hans"/>
        </w:rPr>
      </w:pPr>
      <w:bookmarkStart w:id="54" w:name="_Toc2980"/>
      <w:r>
        <w:rPr>
          <w:lang w:eastAsia="zh-Hans"/>
        </w:rPr>
        <w:t>（</w:t>
      </w:r>
      <w:r>
        <w:rPr>
          <w:rFonts w:hint="eastAsia"/>
          <w:lang w:val="en-US" w:eastAsia="zh-CN"/>
        </w:rPr>
        <w:t>三</w:t>
      </w:r>
      <w:r>
        <w:rPr>
          <w:lang w:eastAsia="zh-Hans"/>
        </w:rPr>
        <w:t>）</w:t>
      </w:r>
      <w:r>
        <w:rPr>
          <w:rFonts w:hint="eastAsia"/>
          <w:lang w:val="en-US" w:eastAsia="zh-CN"/>
        </w:rPr>
        <w:t>社矫项目</w:t>
      </w:r>
      <w:r>
        <w:rPr>
          <w:rFonts w:hint="eastAsia"/>
          <w:lang w:eastAsia="zh-Hans"/>
        </w:rPr>
        <w:t>尚存较多</w:t>
      </w:r>
      <w:r>
        <w:rPr>
          <w:lang w:eastAsia="zh-Hans"/>
        </w:rPr>
        <w:t>重难点</w:t>
      </w:r>
      <w:bookmarkEnd w:id="54"/>
    </w:p>
    <w:p>
      <w:pPr>
        <w:bidi w:val="0"/>
      </w:pPr>
      <w:r>
        <w:t>项目实施过程中仍发现存在部分问题及重难点，主要包括：</w:t>
      </w:r>
      <w:r>
        <w:rPr>
          <w:rFonts w:hint="eastAsia"/>
          <w:lang w:val="en-US" w:eastAsia="zh-CN"/>
        </w:rPr>
        <w:t>一是</w:t>
      </w:r>
      <w:r>
        <w:rPr>
          <w:rFonts w:hint="eastAsia"/>
        </w:rPr>
        <w:t>工作力量不足，队伍专业化程度不高；</w:t>
      </w:r>
      <w:r>
        <w:rPr>
          <w:rFonts w:hint="eastAsia"/>
          <w:lang w:val="en-US" w:eastAsia="zh-CN"/>
        </w:rPr>
        <w:t>二是</w:t>
      </w:r>
      <w:r>
        <w:rPr>
          <w:rFonts w:hint="eastAsia"/>
        </w:rPr>
        <w:t>社矫法实施下的工作体系尚未全面建立健全，配套制度尚不完善；</w:t>
      </w:r>
      <w:r>
        <w:rPr>
          <w:rFonts w:hint="eastAsia"/>
          <w:lang w:val="en-US" w:eastAsia="zh-CN"/>
        </w:rPr>
        <w:t>三是</w:t>
      </w:r>
      <w:r>
        <w:rPr>
          <w:rFonts w:hint="eastAsia"/>
        </w:rPr>
        <w:t>司法所管理体系不顺畅，职能弱化，动摇了社矫安帮工作根基等，</w:t>
      </w:r>
      <w:r>
        <w:rPr>
          <w:rFonts w:hint="eastAsia"/>
          <w:lang w:val="en-US" w:eastAsia="zh-CN"/>
        </w:rPr>
        <w:t>以上问题我局仍需</w:t>
      </w:r>
      <w:r>
        <w:rPr>
          <w:rFonts w:hint="eastAsia"/>
        </w:rPr>
        <w:t>积极协调争取，逐一加以解决。</w:t>
      </w:r>
    </w:p>
    <w:p>
      <w:pPr>
        <w:pStyle w:val="3"/>
        <w:bidi w:val="0"/>
      </w:pPr>
      <w:bookmarkStart w:id="55" w:name="_Toc14002"/>
      <w:r>
        <w:rPr>
          <w:lang w:eastAsia="zh-Hans"/>
        </w:rPr>
        <w:t>七</w:t>
      </w:r>
      <w:r>
        <w:t>、改进建议</w:t>
      </w:r>
      <w:bookmarkEnd w:id="51"/>
      <w:bookmarkEnd w:id="55"/>
    </w:p>
    <w:p>
      <w:pPr>
        <w:pStyle w:val="5"/>
        <w:bidi w:val="0"/>
        <w:rPr>
          <w:rFonts w:hint="default"/>
          <w:lang w:val="en-US" w:eastAsia="zh-CN"/>
        </w:rPr>
      </w:pPr>
      <w:bookmarkStart w:id="56" w:name="_Toc9307"/>
      <w:r>
        <w:rPr>
          <w:lang w:eastAsia="zh-Hans"/>
        </w:rPr>
        <w:t>（</w:t>
      </w:r>
      <w:r>
        <w:rPr>
          <w:rFonts w:hint="eastAsia"/>
          <w:lang w:val="en-US" w:eastAsia="zh-CN"/>
        </w:rPr>
        <w:t>一</w:t>
      </w:r>
      <w:r>
        <w:rPr>
          <w:lang w:eastAsia="zh-Hans"/>
        </w:rPr>
        <w:t>）</w:t>
      </w:r>
      <w:r>
        <w:rPr>
          <w:rFonts w:hint="eastAsia"/>
          <w:lang w:val="en-US" w:eastAsia="zh-CN"/>
        </w:rPr>
        <w:t>强化学习预算绩效管理，提高绩效目标编制水平</w:t>
      </w:r>
      <w:bookmarkEnd w:id="56"/>
    </w:p>
    <w:p>
      <w:pPr>
        <w:bidi w:val="0"/>
      </w:pPr>
      <w:r>
        <w:rPr>
          <w:rFonts w:hint="eastAsia"/>
        </w:rPr>
        <w:t>一是</w:t>
      </w:r>
      <w:r>
        <w:t>积极</w:t>
      </w:r>
      <w:r>
        <w:rPr>
          <w:rFonts w:hint="eastAsia"/>
          <w:lang w:val="en-US" w:eastAsia="zh-CN"/>
        </w:rPr>
        <w:t>参加</w:t>
      </w:r>
      <w:r>
        <w:t>预算绩效管理专题培训，提高预算绩效</w:t>
      </w:r>
      <w:r>
        <w:rPr>
          <w:rFonts w:hint="eastAsia"/>
          <w:lang w:val="en-US" w:eastAsia="zh-CN"/>
        </w:rPr>
        <w:t>管理的</w:t>
      </w:r>
      <w:r>
        <w:t>认识，</w:t>
      </w:r>
      <w:r>
        <w:rPr>
          <w:rFonts w:hint="eastAsia"/>
          <w:lang w:val="en-US" w:eastAsia="zh-CN"/>
        </w:rPr>
        <w:t>按照绩效管理</w:t>
      </w:r>
      <w:r>
        <w:t>相关制度和要求</w:t>
      </w:r>
      <w:r>
        <w:rPr>
          <w:rFonts w:hint="eastAsia"/>
          <w:lang w:eastAsia="zh-CN"/>
        </w:rPr>
        <w:t>，</w:t>
      </w:r>
      <w:r>
        <w:rPr>
          <w:rFonts w:hint="eastAsia"/>
          <w:lang w:val="en-US" w:eastAsia="zh-CN"/>
        </w:rPr>
        <w:t>实编、细编绩效指标</w:t>
      </w:r>
      <w:r>
        <w:rPr>
          <w:rFonts w:hint="eastAsia"/>
        </w:rPr>
        <w:t>；二是</w:t>
      </w:r>
      <w:r>
        <w:rPr>
          <w:rFonts w:hint="eastAsia"/>
          <w:lang w:val="en-US" w:eastAsia="zh-CN"/>
        </w:rPr>
        <w:t>要重点关注</w:t>
      </w:r>
      <w:r>
        <w:t>绩效指标编制</w:t>
      </w:r>
      <w:r>
        <w:rPr>
          <w:rFonts w:hint="eastAsia"/>
          <w:lang w:val="en-US" w:eastAsia="zh-CN"/>
        </w:rPr>
        <w:t>的</w:t>
      </w:r>
      <w:r>
        <w:t>规范性</w:t>
      </w:r>
      <w:r>
        <w:rPr>
          <w:rFonts w:hint="eastAsia"/>
          <w:lang w:eastAsia="zh-CN"/>
        </w:rPr>
        <w:t>、</w:t>
      </w:r>
      <w:r>
        <w:rPr>
          <w:rFonts w:hint="eastAsia"/>
          <w:lang w:val="en-US" w:eastAsia="zh-CN"/>
        </w:rPr>
        <w:t>全面性</w:t>
      </w:r>
      <w:r>
        <w:t>，在绩效目标的设置时充分考虑本年度项目的实际完成情况与进度，从每项工作任务预期要达到的产出和效果中概括，提炼出最</w:t>
      </w:r>
      <w:r>
        <w:rPr>
          <w:rFonts w:hint="eastAsia"/>
          <w:lang w:val="en-US" w:eastAsia="zh-CN"/>
        </w:rPr>
        <w:t>能</w:t>
      </w:r>
      <w:r>
        <w:t>反映工作任务预期实现程度的关键性指标，并将其确定为相应的绩效指标</w:t>
      </w:r>
      <w:r>
        <w:rPr>
          <w:rFonts w:hint="eastAsia"/>
          <w:lang w:eastAsia="zh-CN"/>
        </w:rPr>
        <w:t>。</w:t>
      </w:r>
      <w:r>
        <w:rPr>
          <w:rFonts w:hint="eastAsia"/>
          <w:lang w:val="en-US" w:eastAsia="zh-CN"/>
        </w:rPr>
        <w:t>下一年度编制项目绩效目标、指标时，我局将深入了解项目内容，分解项目内容，针对不同的工作方面设置更为贴近项目实际情况的关键性指标</w:t>
      </w:r>
      <w:r>
        <w:t>，切实做到绩效目标与工作目标相符。</w:t>
      </w:r>
    </w:p>
    <w:p>
      <w:pPr>
        <w:pStyle w:val="5"/>
        <w:bidi w:val="0"/>
        <w:rPr>
          <w:rFonts w:hint="eastAsia"/>
          <w:lang w:val="en-US" w:eastAsia="zh-CN"/>
        </w:rPr>
      </w:pPr>
      <w:bookmarkStart w:id="57" w:name="_Toc8214"/>
      <w:r>
        <w:rPr>
          <w:rFonts w:hint="eastAsia"/>
          <w:lang w:eastAsia="zh-CN"/>
        </w:rPr>
        <w:t>（</w:t>
      </w:r>
      <w:r>
        <w:rPr>
          <w:rFonts w:hint="eastAsia"/>
          <w:lang w:val="en-US" w:eastAsia="zh-CN"/>
        </w:rPr>
        <w:t>二</w:t>
      </w:r>
      <w:r>
        <w:rPr>
          <w:rFonts w:hint="eastAsia"/>
          <w:lang w:eastAsia="zh-CN"/>
        </w:rPr>
        <w:t>）</w:t>
      </w:r>
      <w:r>
        <w:rPr>
          <w:rFonts w:hint="eastAsia"/>
          <w:lang w:val="en-US" w:eastAsia="zh-CN"/>
        </w:rPr>
        <w:t>重点关注深圳市社区矫正信息化核查系统升级改造工作，确保业务平台按时上线运营</w:t>
      </w:r>
      <w:bookmarkEnd w:id="57"/>
    </w:p>
    <w:p>
      <w:pPr>
        <w:bidi w:val="0"/>
        <w:rPr>
          <w:rFonts w:hint="default"/>
          <w:lang w:val="en-US" w:eastAsia="zh-CN"/>
        </w:rPr>
      </w:pPr>
      <w:r>
        <w:rPr>
          <w:rFonts w:hint="eastAsia"/>
          <w:lang w:val="en-US" w:eastAsia="zh-CN"/>
        </w:rPr>
        <w:t>我局将监督润安公司按时完成深圳市社区矫正信息化核查系统升级改造功能工作，及时交付研究开发成果，实现</w:t>
      </w:r>
      <w:r>
        <w:rPr>
          <w:rFonts w:hint="default"/>
          <w:lang w:val="en-US" w:eastAsia="zh-CN"/>
        </w:rPr>
        <w:t>通过信息化核查终端进行人脸识别签到功能，完善对社区矫正对象的活动情况和行为表现进行核实、查验的系列工作</w:t>
      </w:r>
      <w:r>
        <w:rPr>
          <w:rFonts w:hint="eastAsia"/>
          <w:lang w:val="en-US" w:eastAsia="zh-CN"/>
        </w:rPr>
        <w:t>；</w:t>
      </w:r>
      <w:r>
        <w:rPr>
          <w:rFonts w:hint="default"/>
          <w:lang w:val="en-US" w:eastAsia="zh-CN"/>
        </w:rPr>
        <w:t>为社区矫正工作提供数据支撑和分析依据，做到数据留痕，为社矫工作人员的日常管理工作提供可靠的信息证明</w:t>
      </w:r>
      <w:r>
        <w:rPr>
          <w:rFonts w:hint="eastAsia"/>
          <w:lang w:val="en-US" w:eastAsia="zh-CN"/>
        </w:rPr>
        <w:t>；</w:t>
      </w:r>
      <w:r>
        <w:rPr>
          <w:rFonts w:hint="default"/>
          <w:lang w:val="en-US" w:eastAsia="zh-CN"/>
        </w:rPr>
        <w:t>使得社矫管理工作更加标准化、规范化和精细化，使用上更为便捷，同时减轻基层社矫工作人员的工作负荷，提高社矫工作的效率。</w:t>
      </w:r>
    </w:p>
    <w:p>
      <w:pPr>
        <w:pStyle w:val="5"/>
        <w:bidi w:val="0"/>
        <w:rPr>
          <w:rFonts w:hint="eastAsia" w:eastAsia="楷体_GB2312"/>
          <w:lang w:val="en-US" w:eastAsia="zh-CN"/>
        </w:rPr>
      </w:pPr>
      <w:bookmarkStart w:id="58" w:name="_Toc27436"/>
      <w:r>
        <w:t>（</w:t>
      </w:r>
      <w:r>
        <w:rPr>
          <w:rFonts w:hint="eastAsia"/>
          <w:lang w:val="en-US" w:eastAsia="zh-CN"/>
        </w:rPr>
        <w:t>三</w:t>
      </w:r>
      <w:r>
        <w:t>）</w:t>
      </w:r>
      <w:r>
        <w:rPr>
          <w:rFonts w:hint="eastAsia"/>
          <w:lang w:val="en-US" w:eastAsia="zh-CN"/>
        </w:rPr>
        <w:t>针对</w:t>
      </w:r>
      <w:r>
        <w:rPr>
          <w:lang w:eastAsia="zh-Hans"/>
        </w:rPr>
        <w:t>现存问题整改，全面提升</w:t>
      </w:r>
      <w:r>
        <w:rPr>
          <w:rFonts w:hint="eastAsia"/>
          <w:lang w:eastAsia="zh-CN"/>
        </w:rPr>
        <w:t>社矫</w:t>
      </w:r>
      <w:r>
        <w:rPr>
          <w:lang w:eastAsia="zh-Hans"/>
        </w:rPr>
        <w:t>水平</w:t>
      </w:r>
      <w:bookmarkEnd w:id="58"/>
    </w:p>
    <w:p>
      <w:pPr>
        <w:bidi w:val="0"/>
        <w:rPr>
          <w:rFonts w:hint="eastAsia"/>
        </w:rPr>
      </w:pPr>
      <w:r>
        <w:rPr>
          <w:rFonts w:hint="eastAsia"/>
        </w:rPr>
        <w:t>一是“制度先行”，探索建立完善常态化、长效化的安全机制。二是“预防为主”，加强政策宣讲和“震撼教育”。不断强化社矫对象的服刑意识和遵纪守法意识，最大程度预防和减少重新违法犯罪。三是“集中攻坚”，加强重点人员的日常管理和转化攻坚。针对个别不服管对象，专门制定攻坚方案，派出专人前往开展工作，不断加大心理和政策攻势，全力确保不发生影响稳定的事件。</w:t>
      </w:r>
      <w:r>
        <w:rPr>
          <w:rFonts w:hint="eastAsia"/>
          <w:lang w:val="en-US" w:eastAsia="zh-CN"/>
        </w:rPr>
        <w:t>四是</w:t>
      </w:r>
      <w:r>
        <w:rPr>
          <w:rFonts w:hint="eastAsia"/>
        </w:rPr>
        <w:t>推动“监管模式创新”，加快“智慧矫正”建设步伐。加大互联网、物联网、大数据、人工智能等现代科技在社区矫正领域的应用，进一步强化监管手段。</w:t>
      </w:r>
    </w:p>
    <w:p>
      <w:pPr>
        <w:bidi w:val="0"/>
        <w:sectPr>
          <w:footerReference r:id="rId8" w:type="default"/>
          <w:pgSz w:w="11906" w:h="16838"/>
          <w:pgMar w:top="2098" w:right="1474" w:bottom="1985" w:left="1588" w:header="851" w:footer="992" w:gutter="0"/>
          <w:pgNumType w:fmt="numberInDash" w:start="1"/>
          <w:cols w:space="425" w:num="1"/>
          <w:docGrid w:type="lines" w:linePitch="435" w:charSpace="0"/>
        </w:sectPr>
      </w:pPr>
    </w:p>
    <w:p>
      <w:pPr>
        <w:pStyle w:val="3"/>
        <w:numPr>
          <w:ilvl w:val="0"/>
          <w:numId w:val="0"/>
        </w:numPr>
        <w:spacing w:line="560" w:lineRule="exact"/>
        <w:rPr>
          <w:rFonts w:ascii="Times New Roman Regular" w:hAnsi="Times New Roman Regular" w:cs="Times New Roman Regular"/>
          <w:color w:val="181717" w:themeColor="background2" w:themeShade="1A"/>
          <w:lang w:val="en-US"/>
        </w:rPr>
      </w:pPr>
      <w:bookmarkStart w:id="59" w:name="_Toc787177042"/>
      <w:bookmarkStart w:id="60" w:name="_Toc27079"/>
      <w:r>
        <w:rPr>
          <w:rFonts w:ascii="Times New Roman Regular" w:hAnsi="Times New Roman Regular" w:cs="Times New Roman Regular"/>
          <w:color w:val="181717" w:themeColor="background2" w:themeShade="1A"/>
          <w:lang w:val="en-US"/>
        </w:rPr>
        <w:t>附件</w:t>
      </w:r>
      <w:r>
        <w:rPr>
          <w:rFonts w:hint="eastAsia" w:ascii="Times New Roman Regular" w:hAnsi="Times New Roman Regular" w:cs="Times New Roman Regular"/>
          <w:color w:val="181717" w:themeColor="background2" w:themeShade="1A"/>
          <w:lang w:val="en-US" w:eastAsia="zh-CN"/>
        </w:rPr>
        <w:t>：</w:t>
      </w:r>
      <w:r>
        <w:rPr>
          <w:rFonts w:ascii="Times New Roman Regular" w:hAnsi="Times New Roman Regular" w:cs="Times New Roman Regular"/>
          <w:color w:val="181717" w:themeColor="background2" w:themeShade="1A"/>
          <w:lang w:val="en-US"/>
        </w:rPr>
        <w:t>绩效评价指标体系</w:t>
      </w:r>
      <w:bookmarkEnd w:id="59"/>
      <w:bookmarkEnd w:id="60"/>
    </w:p>
    <w:p>
      <w:pPr>
        <w:snapToGrid w:val="0"/>
        <w:spacing w:line="360" w:lineRule="auto"/>
        <w:ind w:left="560" w:firstLine="6" w:firstLineChars="2"/>
        <w:jc w:val="center"/>
        <w:outlineLvl w:val="0"/>
        <w:rPr>
          <w:rFonts w:hint="default" w:ascii="Times New Roman Regular" w:hAnsi="Times New Roman Regular" w:eastAsia="仿宋_GB2312" w:cs="Times New Roman Regular"/>
          <w:color w:val="181717" w:themeColor="background2" w:themeShade="1A"/>
          <w:lang w:val="en-US" w:eastAsia="zh-CN"/>
        </w:rPr>
      </w:pPr>
      <w:bookmarkStart w:id="61" w:name="_Toc15956"/>
      <w:r>
        <w:rPr>
          <w:rFonts w:hint="eastAsia" w:ascii="Times New Roman Regular" w:hAnsi="Times New Roman Regular" w:cs="Times New Roman Regular"/>
          <w:b/>
          <w:bCs/>
          <w:color w:val="181717" w:themeColor="background2" w:themeShade="1A"/>
          <w:szCs w:val="28"/>
          <w:lang w:eastAsia="zh-CN"/>
        </w:rPr>
        <w:t>社区矫正、安帮经费</w:t>
      </w:r>
      <w:r>
        <w:rPr>
          <w:rFonts w:ascii="Times New Roman Regular" w:hAnsi="Times New Roman Regular" w:cs="Times New Roman Regular"/>
          <w:b/>
          <w:bCs/>
          <w:color w:val="181717" w:themeColor="background2" w:themeShade="1A"/>
          <w:szCs w:val="28"/>
        </w:rPr>
        <w:t>项目绩效评价指标</w:t>
      </w:r>
      <w:r>
        <w:rPr>
          <w:rFonts w:hint="eastAsia" w:ascii="Times New Roman Regular" w:hAnsi="Times New Roman Regular" w:cs="Times New Roman Regular"/>
          <w:b/>
          <w:bCs/>
          <w:color w:val="181717" w:themeColor="background2" w:themeShade="1A"/>
          <w:szCs w:val="28"/>
          <w:lang w:val="en-US" w:eastAsia="zh-CN"/>
        </w:rPr>
        <w:t>评分表</w:t>
      </w:r>
      <w:bookmarkEnd w:id="61"/>
    </w:p>
    <w:tbl>
      <w:tblPr>
        <w:tblStyle w:val="23"/>
        <w:tblW w:w="5000" w:type="pct"/>
        <w:tblInd w:w="0" w:type="dxa"/>
        <w:tblLayout w:type="fixed"/>
        <w:tblCellMar>
          <w:top w:w="15" w:type="dxa"/>
          <w:left w:w="15" w:type="dxa"/>
          <w:bottom w:w="15" w:type="dxa"/>
          <w:right w:w="15" w:type="dxa"/>
        </w:tblCellMar>
      </w:tblPr>
      <w:tblGrid>
        <w:gridCol w:w="1259"/>
        <w:gridCol w:w="1268"/>
        <w:gridCol w:w="1268"/>
        <w:gridCol w:w="845"/>
        <w:gridCol w:w="2992"/>
        <w:gridCol w:w="5056"/>
        <w:gridCol w:w="1303"/>
      </w:tblGrid>
      <w:tr>
        <w:tblPrEx>
          <w:tblCellMar>
            <w:top w:w="15" w:type="dxa"/>
            <w:left w:w="15" w:type="dxa"/>
            <w:bottom w:w="15" w:type="dxa"/>
            <w:right w:w="15" w:type="dxa"/>
          </w:tblCellMar>
        </w:tblPrEx>
        <w:trPr>
          <w:trHeight w:val="285" w:hRule="atLeast"/>
          <w:tblHeader/>
        </w:trPr>
        <w:tc>
          <w:tcPr>
            <w:tcW w:w="1658" w:type="pct"/>
            <w:gridSpan w:val="4"/>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spacing w:line="240" w:lineRule="auto"/>
              <w:ind w:firstLine="0" w:firstLineChars="0"/>
              <w:jc w:val="center"/>
              <w:textAlignment w:val="center"/>
              <w:rPr>
                <w:rFonts w:ascii="Times New Roman Regular" w:hAnsi="Times New Roman Regular" w:cs="Times New Roman Regular"/>
                <w:b/>
                <w:color w:val="181717" w:themeColor="background2" w:themeShade="1A"/>
                <w:sz w:val="24"/>
                <w:szCs w:val="24"/>
              </w:rPr>
            </w:pPr>
            <w:r>
              <w:rPr>
                <w:rFonts w:ascii="Times New Roman Regular" w:hAnsi="Times New Roman Regular" w:cs="Times New Roman Regular"/>
                <w:b/>
                <w:color w:val="181717" w:themeColor="background2" w:themeShade="1A"/>
                <w:kern w:val="0"/>
                <w:sz w:val="24"/>
                <w:szCs w:val="24"/>
                <w:lang w:bidi="ar"/>
              </w:rPr>
              <w:t>评价指标</w:t>
            </w:r>
          </w:p>
        </w:tc>
        <w:tc>
          <w:tcPr>
            <w:tcW w:w="1069" w:type="pct"/>
            <w:vMerge w:val="restart"/>
            <w:tcBorders>
              <w:top w:val="single" w:color="000000" w:sz="4" w:space="0"/>
              <w:left w:val="single" w:color="000000" w:sz="4" w:space="0"/>
              <w:right w:val="single" w:color="000000" w:sz="4" w:space="0"/>
            </w:tcBorders>
            <w:shd w:val="clear" w:color="auto" w:fill="D7D7D7" w:themeFill="background1" w:themeFillShade="D8"/>
            <w:vAlign w:val="center"/>
          </w:tcPr>
          <w:p>
            <w:pPr>
              <w:widowControl/>
              <w:spacing w:line="240" w:lineRule="auto"/>
              <w:ind w:firstLine="0" w:firstLineChars="0"/>
              <w:jc w:val="center"/>
              <w:textAlignment w:val="center"/>
              <w:rPr>
                <w:rFonts w:hint="eastAsia" w:ascii="Times New Roman Regular" w:hAnsi="Times New Roman Regular" w:eastAsia="仿宋_GB2312" w:cs="Times New Roman Regular"/>
                <w:b/>
                <w:color w:val="181717" w:themeColor="background2" w:themeShade="1A"/>
                <w:sz w:val="24"/>
                <w:szCs w:val="24"/>
                <w:lang w:val="en-US" w:eastAsia="zh-CN"/>
              </w:rPr>
            </w:pPr>
            <w:r>
              <w:rPr>
                <w:rFonts w:ascii="Times New Roman Regular" w:hAnsi="Times New Roman Regular" w:cs="Times New Roman Regular"/>
                <w:b/>
                <w:color w:val="181717" w:themeColor="background2" w:themeShade="1A"/>
                <w:kern w:val="0"/>
                <w:sz w:val="24"/>
                <w:szCs w:val="24"/>
                <w:lang w:bidi="ar"/>
              </w:rPr>
              <w:t>指标</w:t>
            </w:r>
            <w:r>
              <w:rPr>
                <w:rFonts w:hint="eastAsia" w:ascii="Times New Roman Regular" w:hAnsi="Times New Roman Regular" w:cs="Times New Roman Regular"/>
                <w:b/>
                <w:color w:val="181717" w:themeColor="background2" w:themeShade="1A"/>
                <w:kern w:val="0"/>
                <w:sz w:val="24"/>
                <w:szCs w:val="24"/>
                <w:lang w:val="en-US" w:eastAsia="zh-CN" w:bidi="ar"/>
              </w:rPr>
              <w:t>解释</w:t>
            </w:r>
          </w:p>
        </w:tc>
        <w:tc>
          <w:tcPr>
            <w:tcW w:w="1806" w:type="pct"/>
            <w:vMerge w:val="restart"/>
            <w:tcBorders>
              <w:top w:val="single" w:color="000000" w:sz="4" w:space="0"/>
              <w:left w:val="single" w:color="000000" w:sz="4" w:space="0"/>
              <w:right w:val="single" w:color="000000" w:sz="4" w:space="0"/>
            </w:tcBorders>
            <w:shd w:val="clear" w:color="auto" w:fill="D7D7D7" w:themeFill="background1" w:themeFillShade="D8"/>
            <w:vAlign w:val="center"/>
          </w:tcPr>
          <w:p>
            <w:pPr>
              <w:widowControl/>
              <w:spacing w:line="240" w:lineRule="auto"/>
              <w:ind w:firstLine="0" w:firstLineChars="0"/>
              <w:jc w:val="center"/>
              <w:textAlignment w:val="center"/>
              <w:rPr>
                <w:rFonts w:hint="default" w:ascii="Times New Roman Regular" w:hAnsi="Times New Roman Regular" w:eastAsia="仿宋_GB2312" w:cs="Times New Roman Regular"/>
                <w:b/>
                <w:color w:val="181717" w:themeColor="background2" w:themeShade="1A"/>
                <w:sz w:val="24"/>
                <w:szCs w:val="24"/>
                <w:lang w:val="en-US" w:eastAsia="zh-CN"/>
              </w:rPr>
            </w:pPr>
            <w:r>
              <w:rPr>
                <w:rFonts w:hint="eastAsia" w:ascii="Times New Roman Regular" w:hAnsi="Times New Roman Regular" w:cs="Times New Roman Regular"/>
                <w:b/>
                <w:color w:val="181717" w:themeColor="background2" w:themeShade="1A"/>
                <w:kern w:val="0"/>
                <w:sz w:val="24"/>
                <w:szCs w:val="24"/>
                <w:lang w:val="en-US" w:eastAsia="zh-CN" w:bidi="ar"/>
              </w:rPr>
              <w:t>指标说明</w:t>
            </w:r>
          </w:p>
        </w:tc>
        <w:tc>
          <w:tcPr>
            <w:tcW w:w="465" w:type="pct"/>
            <w:vMerge w:val="restart"/>
            <w:tcBorders>
              <w:top w:val="single" w:color="000000" w:sz="4" w:space="0"/>
              <w:left w:val="single" w:color="000000" w:sz="4" w:space="0"/>
              <w:right w:val="single" w:color="000000" w:sz="4" w:space="0"/>
            </w:tcBorders>
            <w:shd w:val="clear" w:color="auto" w:fill="D7D7D7" w:themeFill="background1" w:themeFillShade="D8"/>
            <w:vAlign w:val="center"/>
          </w:tcPr>
          <w:p>
            <w:pPr>
              <w:widowControl/>
              <w:spacing w:line="240" w:lineRule="auto"/>
              <w:ind w:firstLine="0" w:firstLineChars="0"/>
              <w:jc w:val="center"/>
              <w:textAlignment w:val="center"/>
              <w:rPr>
                <w:rFonts w:hint="eastAsia" w:ascii="Times New Roman Regular" w:hAnsi="Times New Roman Regular" w:eastAsia="仿宋_GB2312" w:cs="Times New Roman Regular"/>
                <w:b/>
                <w:color w:val="181717" w:themeColor="background2" w:themeShade="1A"/>
                <w:sz w:val="24"/>
                <w:szCs w:val="24"/>
                <w:lang w:eastAsia="zh-CN"/>
              </w:rPr>
            </w:pPr>
            <w:r>
              <w:rPr>
                <w:rFonts w:hint="eastAsia" w:ascii="Times New Roman Regular" w:hAnsi="Times New Roman Regular" w:cs="Times New Roman Regular"/>
                <w:b/>
                <w:color w:val="181717" w:themeColor="background2" w:themeShade="1A"/>
                <w:kern w:val="0"/>
                <w:sz w:val="24"/>
                <w:szCs w:val="24"/>
                <w:lang w:val="en-US" w:eastAsia="zh-CN" w:bidi="ar"/>
              </w:rPr>
              <w:t>得分</w:t>
            </w:r>
          </w:p>
        </w:tc>
      </w:tr>
      <w:tr>
        <w:tblPrEx>
          <w:tblCellMar>
            <w:top w:w="15" w:type="dxa"/>
            <w:left w:w="15" w:type="dxa"/>
            <w:bottom w:w="15" w:type="dxa"/>
            <w:right w:w="15" w:type="dxa"/>
          </w:tblCellMar>
        </w:tblPrEx>
        <w:trPr>
          <w:trHeight w:val="420" w:hRule="atLeast"/>
          <w:tblHeader/>
        </w:trPr>
        <w:tc>
          <w:tcPr>
            <w:tcW w:w="44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spacing w:line="240" w:lineRule="auto"/>
              <w:ind w:firstLine="0" w:firstLineChars="0"/>
              <w:jc w:val="center"/>
              <w:textAlignment w:val="center"/>
              <w:rPr>
                <w:rFonts w:ascii="Times New Roman Regular" w:hAnsi="Times New Roman Regular" w:cs="Times New Roman Regular"/>
                <w:b/>
                <w:color w:val="181717" w:themeColor="background2" w:themeShade="1A"/>
                <w:sz w:val="24"/>
                <w:szCs w:val="24"/>
              </w:rPr>
            </w:pPr>
            <w:r>
              <w:rPr>
                <w:rFonts w:ascii="Times New Roman Regular" w:hAnsi="Times New Roman Regular" w:cs="Times New Roman Regular"/>
                <w:b/>
                <w:color w:val="181717" w:themeColor="background2" w:themeShade="1A"/>
                <w:kern w:val="0"/>
                <w:sz w:val="24"/>
                <w:szCs w:val="24"/>
                <w:lang w:bidi="ar"/>
              </w:rPr>
              <w:t>一级指标</w:t>
            </w:r>
          </w:p>
        </w:tc>
        <w:tc>
          <w:tcPr>
            <w:tcW w:w="45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spacing w:line="240" w:lineRule="auto"/>
              <w:ind w:firstLine="0" w:firstLineChars="0"/>
              <w:jc w:val="center"/>
              <w:textAlignment w:val="center"/>
              <w:rPr>
                <w:rFonts w:ascii="Times New Roman Regular" w:hAnsi="Times New Roman Regular" w:cs="Times New Roman Regular"/>
                <w:b/>
                <w:color w:val="181717" w:themeColor="background2" w:themeShade="1A"/>
                <w:sz w:val="24"/>
                <w:szCs w:val="24"/>
              </w:rPr>
            </w:pPr>
            <w:r>
              <w:rPr>
                <w:rFonts w:ascii="Times New Roman Regular" w:hAnsi="Times New Roman Regular" w:cs="Times New Roman Regular"/>
                <w:b/>
                <w:color w:val="181717" w:themeColor="background2" w:themeShade="1A"/>
                <w:kern w:val="0"/>
                <w:sz w:val="24"/>
                <w:szCs w:val="24"/>
                <w:lang w:bidi="ar"/>
              </w:rPr>
              <w:t>二级指标</w:t>
            </w:r>
          </w:p>
        </w:tc>
        <w:tc>
          <w:tcPr>
            <w:tcW w:w="453"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spacing w:line="240" w:lineRule="auto"/>
              <w:ind w:firstLine="0" w:firstLineChars="0"/>
              <w:jc w:val="center"/>
              <w:textAlignment w:val="center"/>
              <w:rPr>
                <w:rFonts w:ascii="Times New Roman Regular" w:hAnsi="Times New Roman Regular" w:cs="Times New Roman Regular"/>
                <w:b/>
                <w:color w:val="181717" w:themeColor="background2" w:themeShade="1A"/>
                <w:sz w:val="24"/>
                <w:szCs w:val="24"/>
              </w:rPr>
            </w:pPr>
            <w:r>
              <w:rPr>
                <w:rFonts w:ascii="Times New Roman Regular" w:hAnsi="Times New Roman Regular" w:cs="Times New Roman Regular"/>
                <w:b/>
                <w:color w:val="181717" w:themeColor="background2" w:themeShade="1A"/>
                <w:kern w:val="0"/>
                <w:sz w:val="24"/>
                <w:szCs w:val="24"/>
                <w:lang w:bidi="ar"/>
              </w:rPr>
              <w:t>三级指标</w:t>
            </w:r>
          </w:p>
        </w:tc>
        <w:tc>
          <w:tcPr>
            <w:tcW w:w="30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spacing w:line="240" w:lineRule="auto"/>
              <w:ind w:firstLine="0" w:firstLineChars="0"/>
              <w:jc w:val="center"/>
              <w:textAlignment w:val="center"/>
              <w:rPr>
                <w:rFonts w:ascii="Times New Roman Regular" w:hAnsi="Times New Roman Regular" w:cs="Times New Roman Regular"/>
                <w:b/>
                <w:color w:val="181717" w:themeColor="background2" w:themeShade="1A"/>
                <w:sz w:val="24"/>
                <w:szCs w:val="24"/>
              </w:rPr>
            </w:pPr>
            <w:r>
              <w:rPr>
                <w:rFonts w:ascii="Times New Roman Regular" w:hAnsi="Times New Roman Regular" w:cs="Times New Roman Regular"/>
                <w:b/>
                <w:color w:val="181717" w:themeColor="background2" w:themeShade="1A"/>
                <w:kern w:val="0"/>
                <w:sz w:val="24"/>
                <w:szCs w:val="24"/>
                <w:lang w:bidi="ar"/>
              </w:rPr>
              <w:t>权重分</w:t>
            </w:r>
          </w:p>
        </w:tc>
        <w:tc>
          <w:tcPr>
            <w:tcW w:w="1069"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Times New Roman Regular" w:hAnsi="Times New Roman Regular" w:cs="Times New Roman Regular"/>
                <w:b/>
                <w:color w:val="181717" w:themeColor="background2" w:themeShade="1A"/>
                <w:sz w:val="24"/>
                <w:szCs w:val="24"/>
              </w:rPr>
            </w:pPr>
          </w:p>
        </w:tc>
        <w:tc>
          <w:tcPr>
            <w:tcW w:w="1806"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Times New Roman Regular" w:hAnsi="Times New Roman Regular" w:cs="Times New Roman Regular"/>
                <w:b/>
                <w:color w:val="181717" w:themeColor="background2" w:themeShade="1A"/>
                <w:sz w:val="24"/>
                <w:szCs w:val="24"/>
              </w:rPr>
            </w:pPr>
          </w:p>
        </w:tc>
        <w:tc>
          <w:tcPr>
            <w:tcW w:w="465"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Times New Roman Regular" w:hAnsi="Times New Roman Regular" w:cs="Times New Roman Regular"/>
                <w:b/>
                <w:color w:val="181717" w:themeColor="background2" w:themeShade="1A"/>
                <w:sz w:val="24"/>
                <w:szCs w:val="24"/>
              </w:rPr>
            </w:pPr>
          </w:p>
        </w:tc>
      </w:tr>
      <w:tr>
        <w:tblPrEx>
          <w:tblCellMar>
            <w:top w:w="15" w:type="dxa"/>
            <w:left w:w="15" w:type="dxa"/>
            <w:bottom w:w="15" w:type="dxa"/>
            <w:right w:w="15" w:type="dxa"/>
          </w:tblCellMar>
        </w:tblPrEx>
        <w:trPr>
          <w:trHeight w:val="2460" w:hRule="atLeast"/>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项目决策（20分）</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项目立项</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立项依据充分性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sz w:val="24"/>
                <w:szCs w:val="24"/>
              </w:rPr>
              <w:t>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项目立项是否符合法律法规、相关政策、发展规划以及部门职责，用以反映和考核项目立项依据情况。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①项目立项是否符合国家法律法规、国民经济发展规划和相关政策；</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②项目立项是否符合行业发展规划和政策要求；</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③项目立项是否与部门职责范围相符，属于部门履职所需；</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④项目是否属于公共财政支持范围，是否符合中央、地方事权支出责任划分原则；</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⑤项目是否与相关部门同类项目或部门内部相关项目重复。</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五项均符合得权重分</w:t>
            </w:r>
            <w:r>
              <w:rPr>
                <w:rFonts w:hint="eastAsia" w:ascii="Times New Roman Regular" w:hAnsi="Times New Roman Regular" w:cs="Times New Roman Regular"/>
                <w:color w:val="181717" w:themeColor="background2" w:themeShade="1A"/>
                <w:kern w:val="0"/>
                <w:sz w:val="24"/>
                <w:szCs w:val="24"/>
                <w:lang w:eastAsia="zh-Hans" w:bidi="ar"/>
              </w:rPr>
              <w:t>的</w:t>
            </w:r>
            <w:r>
              <w:rPr>
                <w:rFonts w:ascii="Times New Roman Regular" w:hAnsi="Times New Roman Regular" w:cs="Times New Roman Regular"/>
                <w:color w:val="181717" w:themeColor="background2" w:themeShade="1A"/>
                <w:kern w:val="0"/>
                <w:sz w:val="24"/>
                <w:szCs w:val="24"/>
                <w:lang w:bidi="ar"/>
              </w:rPr>
              <w:t>100%，每项占权重的1/5，符合得到相应权重分，否则不得分。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3</w:t>
            </w:r>
          </w:p>
        </w:tc>
      </w:tr>
      <w:tr>
        <w:tblPrEx>
          <w:tblCellMar>
            <w:top w:w="15" w:type="dxa"/>
            <w:left w:w="15" w:type="dxa"/>
            <w:bottom w:w="15" w:type="dxa"/>
            <w:right w:w="15" w:type="dxa"/>
          </w:tblCellMar>
        </w:tblPrEx>
        <w:trPr>
          <w:trHeight w:val="797"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立项程序规范性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项目申请、设立过程是否符合相关要求，用以反映和考核项目立项的规范情况。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①项目是否按照规定的程序申请设立（1分）；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②审批文件、材料是否符合相关要求（1分）；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③事前是否已经过必要的可行性研究、专家论证、风险评估、绩效评估、集体决策（1分）。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3</w:t>
            </w:r>
          </w:p>
        </w:tc>
      </w:tr>
      <w:tr>
        <w:tblPrEx>
          <w:tblCellMar>
            <w:top w:w="15" w:type="dxa"/>
            <w:left w:w="15" w:type="dxa"/>
            <w:bottom w:w="15" w:type="dxa"/>
            <w:right w:w="15" w:type="dxa"/>
          </w:tblCellMar>
        </w:tblPrEx>
        <w:trPr>
          <w:trHeight w:val="144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绩效目标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绩效目标合理性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项目所设定的绩效目标是否依据充分，是否符合客观实际，用以反映和考核项目绩效目标与项目实施的相符情况。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①项目是否设置了绩效目标（1分）；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②项目绩效目标与实际工作内容是否具有相关性且全面（1分）；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③项目预期产出效益和效果是否符合正常的业绩水平（1分）；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④是否与预算确定的项目投资额或资金量相匹配（1分）。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3</w:t>
            </w:r>
          </w:p>
        </w:tc>
      </w:tr>
      <w:tr>
        <w:tblPrEx>
          <w:tblCellMar>
            <w:top w:w="15" w:type="dxa"/>
            <w:left w:w="15" w:type="dxa"/>
            <w:bottom w:w="15" w:type="dxa"/>
            <w:right w:w="15" w:type="dxa"/>
          </w:tblCellMar>
        </w:tblPrEx>
        <w:trPr>
          <w:trHeight w:val="184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绩效目标明确性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依据绩效目标设定的绩效指标是否清晰、细化、可衡量等，用以反映和考核项目绩效目标的明细化情况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①是否将项目绩效目标细化分解为具体的绩效指标（1分）；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②绩效指标符合其实际含义，且通过清晰、可衡量的指标值予以体现（1分）；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③是否与项目目标任务数或计划数相对应（1分）。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1</w:t>
            </w:r>
          </w:p>
        </w:tc>
      </w:tr>
      <w:tr>
        <w:tblPrEx>
          <w:tblCellMar>
            <w:top w:w="15" w:type="dxa"/>
            <w:left w:w="15" w:type="dxa"/>
            <w:bottom w:w="15" w:type="dxa"/>
            <w:right w:w="15" w:type="dxa"/>
          </w:tblCellMar>
        </w:tblPrEx>
        <w:trPr>
          <w:trHeight w:val="123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资金投入</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预算编制科学性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项目预算编制是否经过科学论证、有明确标准，资金额度与年度目标是否相适应，用以反映和考核项目预算编制的科学性、合理性情况。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①预算编制是否经过科学论证（1分）；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②预算内容与项目内容是否匹配（1分）；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③预算额度测算依据是否充分，是否按照标准编制（1分）；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④预算确定的项目投资额或资金量是否与工作任务相匹配（1分）。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r>
      <w:tr>
        <w:tblPrEx>
          <w:tblCellMar>
            <w:top w:w="15" w:type="dxa"/>
            <w:left w:w="15" w:type="dxa"/>
            <w:bottom w:w="15" w:type="dxa"/>
            <w:right w:w="15" w:type="dxa"/>
          </w:tblCellMar>
        </w:tblPrEx>
        <w:trPr>
          <w:trHeight w:val="82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资金分配合理性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sz w:val="24"/>
                <w:szCs w:val="24"/>
              </w:rPr>
              <w:t>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项目预算资金分配是否有测算依据，与补助单位或地方实际是否相适应，用以反映和考核项目预算资金分配的科学性、合理性情况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①预算资金分配依据是否充分（1.5分）；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②资金分配额度是否合理，与项目单位或地方实际是否相适应（1.5分）。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3</w:t>
            </w:r>
          </w:p>
        </w:tc>
      </w:tr>
      <w:tr>
        <w:tblPrEx>
          <w:tblCellMar>
            <w:top w:w="15" w:type="dxa"/>
            <w:left w:w="15" w:type="dxa"/>
            <w:bottom w:w="15" w:type="dxa"/>
            <w:right w:w="15" w:type="dxa"/>
          </w:tblCellMar>
        </w:tblPrEx>
        <w:trPr>
          <w:trHeight w:val="780" w:hRule="atLeast"/>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项目管理（20分）</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资金管理</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资金到位性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3</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实际到位资金与预算资金的比率，用以反映和考核资金落实情况对项目实施的总体保障程度。</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资金到位率=（实际到位资金/预算资金）*100%，若达到100%，得3分；到位率每降低1%，扣0.15分，扣完为止。</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3</w:t>
            </w:r>
          </w:p>
        </w:tc>
      </w:tr>
      <w:tr>
        <w:tblPrEx>
          <w:tblCellMar>
            <w:top w:w="15" w:type="dxa"/>
            <w:left w:w="15" w:type="dxa"/>
            <w:bottom w:w="15" w:type="dxa"/>
            <w:right w:w="15" w:type="dxa"/>
          </w:tblCellMar>
        </w:tblPrEx>
        <w:trPr>
          <w:trHeight w:val="102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预算执行率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项目预算资金是否按照计划执行，用以反映或考核项目预算执行情况。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预算执行率=（实际支出资金/实际到位资金）×100%。</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实际支出资金：一定时期（本年度或项目期）内项目实际拨付的资金。</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得分=预算执行率*权重。</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r>
      <w:tr>
        <w:tblPrEx>
          <w:tblCellMar>
            <w:top w:w="15" w:type="dxa"/>
            <w:left w:w="15" w:type="dxa"/>
            <w:bottom w:w="15" w:type="dxa"/>
            <w:right w:w="15" w:type="dxa"/>
          </w:tblCellMar>
        </w:tblPrEx>
        <w:trPr>
          <w:trHeight w:val="163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资金使用</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合规性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项目资金使用是否符合相关的财务管理制度规定，用以反映和考核项目资金的规范运行情况。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①是否符合国家财经法规和财务管理制度的规定（2分）；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②资金的拨付是否有完整的审批程序和手续（2分）；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③是否符合项目预算批复或合同规定的用途（1分）；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④是否存在截留、挤占、挪用、虚列支出等情况，如有，该项不得分。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5</w:t>
            </w:r>
          </w:p>
        </w:tc>
      </w:tr>
      <w:tr>
        <w:tblPrEx>
          <w:tblCellMar>
            <w:top w:w="15" w:type="dxa"/>
            <w:left w:w="15" w:type="dxa"/>
            <w:bottom w:w="15" w:type="dxa"/>
            <w:right w:w="15" w:type="dxa"/>
          </w:tblCellMar>
        </w:tblPrEx>
        <w:trPr>
          <w:trHeight w:val="82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组织实施</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管理制度健全性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项目实施单位的财务和业务管理制度是否健全，用以反映和考核财务和业务管理制度对项目顺利实施的保障情况。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①项目已制定或具有相应的财务和业务管理制度（2分）；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②财务和业务管理制度是否合法、合规、完整（2分）。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r>
      <w:tr>
        <w:tblPrEx>
          <w:tblCellMar>
            <w:top w:w="15" w:type="dxa"/>
            <w:left w:w="15" w:type="dxa"/>
            <w:bottom w:w="15" w:type="dxa"/>
            <w:right w:w="15" w:type="dxa"/>
          </w:tblCellMar>
        </w:tblPrEx>
        <w:trPr>
          <w:trHeight w:val="144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制度执行有效性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项目实施是否符合相关管理规定，用以反映和考核相关管理制度的有效执行情况。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①是否遵守相关法律法规和相关管理规定（1分）；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②项目调整及支出调整手续是否完备（1分）；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③项目合同书、验收报告、技术鉴定等资料是否齐全并及时归档（1分）；</w:t>
            </w:r>
            <w:r>
              <w:rPr>
                <w:rFonts w:ascii="Times New Roman Regular" w:hAnsi="Times New Roman Regular" w:cs="Times New Roman Regular"/>
                <w:color w:val="181717" w:themeColor="background2" w:themeShade="1A"/>
                <w:kern w:val="0"/>
                <w:sz w:val="24"/>
                <w:szCs w:val="24"/>
                <w:lang w:bidi="ar"/>
              </w:rPr>
              <w:br w:type="textWrapping"/>
            </w:r>
            <w:r>
              <w:rPr>
                <w:rFonts w:ascii="Times New Roman Regular" w:hAnsi="Times New Roman Regular" w:cs="Times New Roman Regular"/>
                <w:color w:val="181717" w:themeColor="background2" w:themeShade="1A"/>
                <w:kern w:val="0"/>
                <w:sz w:val="24"/>
                <w:szCs w:val="24"/>
                <w:lang w:bidi="ar"/>
              </w:rPr>
              <w:t>④项目实施的人员条件、场地设备、信息支撑等是否落实到位（1分）。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4</w:t>
            </w:r>
          </w:p>
        </w:tc>
      </w:tr>
      <w:tr>
        <w:tblPrEx>
          <w:tblCellMar>
            <w:top w:w="15" w:type="dxa"/>
            <w:left w:w="15" w:type="dxa"/>
            <w:bottom w:w="15" w:type="dxa"/>
            <w:right w:w="15" w:type="dxa"/>
          </w:tblCellMar>
        </w:tblPrEx>
        <w:trPr>
          <w:trHeight w:val="3480" w:hRule="atLeast"/>
        </w:trPr>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产出指标（37分）</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产出数量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深圳市社区矫正信息化核查系统升级改造完成率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深圳市社区矫正信息化核查系统升级改造的完成情况</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按合同约定完成</w:t>
            </w:r>
            <w:r>
              <w:rPr>
                <w:rFonts w:hint="eastAsia"/>
                <w:color w:val="000000"/>
                <w:sz w:val="24"/>
                <w:szCs w:val="24"/>
              </w:rPr>
              <w:t>信息化核查终端和矫正对象在线核查管理系统</w:t>
            </w:r>
            <w:r>
              <w:rPr>
                <w:rFonts w:hint="eastAsia" w:ascii="Times New Roman Regular" w:hAnsi="Times New Roman Regular" w:cs="Times New Roman Regular"/>
                <w:color w:val="181717" w:themeColor="background2" w:themeShade="1A"/>
                <w:kern w:val="0"/>
                <w:sz w:val="24"/>
                <w:szCs w:val="24"/>
                <w:lang w:val="en-US" w:eastAsia="zh-CN" w:bidi="ar"/>
              </w:rPr>
              <w:t>建设</w:t>
            </w:r>
            <w:r>
              <w:rPr>
                <w:rFonts w:ascii="Times New Roman Regular" w:hAnsi="Times New Roman Regular" w:cs="Times New Roman Regular"/>
                <w:color w:val="181717" w:themeColor="background2" w:themeShade="1A"/>
                <w:kern w:val="0"/>
                <w:sz w:val="24"/>
                <w:szCs w:val="24"/>
                <w:lang w:bidi="ar"/>
              </w:rPr>
              <w:t>工作，得满分，发现一</w:t>
            </w:r>
            <w:r>
              <w:rPr>
                <w:rFonts w:ascii="Times New Roman Regular" w:hAnsi="Times New Roman Regular" w:cs="Times New Roman Regular"/>
                <w:color w:val="181717" w:themeColor="background2" w:themeShade="1A"/>
                <w:kern w:val="0"/>
                <w:sz w:val="24"/>
                <w:szCs w:val="24"/>
                <w:lang w:eastAsia="zh-Hans" w:bidi="ar"/>
              </w:rPr>
              <w:t>项</w:t>
            </w:r>
            <w:r>
              <w:rPr>
                <w:rFonts w:ascii="Times New Roman Regular" w:hAnsi="Times New Roman Regular" w:cs="Times New Roman Regular"/>
                <w:color w:val="181717" w:themeColor="background2" w:themeShade="1A"/>
                <w:kern w:val="0"/>
                <w:sz w:val="24"/>
                <w:szCs w:val="24"/>
                <w:lang w:bidi="ar"/>
              </w:rPr>
              <w:t>未完成，扣</w:t>
            </w:r>
            <w:r>
              <w:rPr>
                <w:rFonts w:hint="eastAsia" w:ascii="Times New Roman Regular" w:hAnsi="Times New Roman Regular" w:cs="Times New Roman Regular"/>
                <w:color w:val="181717" w:themeColor="background2" w:themeShade="1A"/>
                <w:kern w:val="0"/>
                <w:sz w:val="24"/>
                <w:szCs w:val="24"/>
                <w:lang w:val="en-US" w:eastAsia="zh-CN" w:bidi="ar"/>
              </w:rPr>
              <w:t>5</w:t>
            </w:r>
            <w:r>
              <w:rPr>
                <w:rFonts w:ascii="Times New Roman Regular" w:hAnsi="Times New Roman Regular" w:cs="Times New Roman Regular"/>
                <w:color w:val="181717" w:themeColor="background2" w:themeShade="1A"/>
                <w:kern w:val="0"/>
                <w:sz w:val="24"/>
                <w:szCs w:val="24"/>
                <w:lang w:bidi="ar"/>
              </w:rPr>
              <w:t>0%</w:t>
            </w:r>
            <w:r>
              <w:rPr>
                <w:rFonts w:ascii="Times New Roman Regular" w:hAnsi="Times New Roman Regular" w:cs="Times New Roman Regular"/>
                <w:color w:val="181717" w:themeColor="background2" w:themeShade="1A"/>
                <w:kern w:val="0"/>
                <w:sz w:val="24"/>
                <w:szCs w:val="24"/>
                <w:lang w:eastAsia="zh-Hans" w:bidi="ar"/>
              </w:rPr>
              <w:t>的权重</w:t>
            </w:r>
            <w:r>
              <w:rPr>
                <w:rFonts w:ascii="Times New Roman Regular" w:hAnsi="Times New Roman Regular" w:cs="Times New Roman Regular"/>
                <w:color w:val="181717" w:themeColor="background2" w:themeShade="1A"/>
                <w:kern w:val="0"/>
                <w:sz w:val="24"/>
                <w:szCs w:val="24"/>
                <w:lang w:bidi="ar"/>
              </w:rPr>
              <w:t>分，扣完为止。</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0</w:t>
            </w:r>
          </w:p>
        </w:tc>
      </w:tr>
      <w:tr>
        <w:tblPrEx>
          <w:tblCellMar>
            <w:top w:w="15" w:type="dxa"/>
            <w:left w:w="15" w:type="dxa"/>
            <w:bottom w:w="15" w:type="dxa"/>
            <w:right w:w="15" w:type="dxa"/>
          </w:tblCellMar>
        </w:tblPrEx>
        <w:trPr>
          <w:trHeight w:val="1790"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社工聘用完成率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社工聘用</w:t>
            </w:r>
            <w:r>
              <w:rPr>
                <w:rFonts w:ascii="Times New Roman Regular" w:hAnsi="Times New Roman Regular" w:cs="Times New Roman Regular"/>
                <w:color w:val="181717" w:themeColor="background2" w:themeShade="1A"/>
                <w:kern w:val="0"/>
                <w:sz w:val="24"/>
                <w:szCs w:val="24"/>
                <w:lang w:bidi="ar"/>
              </w:rPr>
              <w:t>的完成情况。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按</w:t>
            </w:r>
            <w:r>
              <w:rPr>
                <w:rFonts w:hint="eastAsia" w:ascii="Times New Roman Regular" w:hAnsi="Times New Roman Regular" w:cs="Times New Roman Regular"/>
                <w:color w:val="181717" w:themeColor="background2" w:themeShade="1A"/>
                <w:kern w:val="0"/>
                <w:sz w:val="24"/>
                <w:szCs w:val="24"/>
                <w:lang w:val="en-US" w:eastAsia="zh-CN" w:bidi="ar"/>
              </w:rPr>
              <w:t>年初计划</w:t>
            </w:r>
            <w:r>
              <w:rPr>
                <w:rFonts w:ascii="Times New Roman Regular" w:hAnsi="Times New Roman Regular" w:cs="Times New Roman Regular"/>
                <w:color w:val="181717" w:themeColor="background2" w:themeShade="1A"/>
                <w:kern w:val="0"/>
                <w:sz w:val="24"/>
                <w:szCs w:val="24"/>
                <w:lang w:bidi="ar"/>
              </w:rPr>
              <w:t>完成</w:t>
            </w:r>
            <w:r>
              <w:rPr>
                <w:rFonts w:hint="eastAsia" w:ascii="Times New Roman Regular" w:hAnsi="Times New Roman Regular" w:cs="Times New Roman Regular"/>
                <w:color w:val="181717" w:themeColor="background2" w:themeShade="1A"/>
                <w:kern w:val="0"/>
                <w:sz w:val="24"/>
                <w:szCs w:val="24"/>
                <w:lang w:val="en-US" w:eastAsia="zh-CN" w:bidi="ar"/>
              </w:rPr>
              <w:t>社工聘用</w:t>
            </w:r>
            <w:r>
              <w:rPr>
                <w:rFonts w:ascii="Times New Roman Regular" w:hAnsi="Times New Roman Regular" w:cs="Times New Roman Regular"/>
                <w:color w:val="181717" w:themeColor="background2" w:themeShade="1A"/>
                <w:kern w:val="0"/>
                <w:sz w:val="24"/>
                <w:szCs w:val="24"/>
                <w:lang w:bidi="ar"/>
              </w:rPr>
              <w:t>工作。</w:t>
            </w:r>
            <w:r>
              <w:rPr>
                <w:rFonts w:ascii="Times New Roman Regular" w:hAnsi="Times New Roman Regular" w:cs="Times New Roman Regular"/>
                <w:color w:val="181717" w:themeColor="background2" w:themeShade="1A"/>
                <w:kern w:val="0"/>
                <w:sz w:val="24"/>
                <w:szCs w:val="24"/>
                <w:lang w:eastAsia="zh-Hans" w:bidi="ar"/>
              </w:rPr>
              <w:t>得分=（实际</w:t>
            </w:r>
            <w:r>
              <w:rPr>
                <w:rFonts w:hint="eastAsia" w:ascii="Times New Roman Regular" w:hAnsi="Times New Roman Regular" w:cs="Times New Roman Regular"/>
                <w:color w:val="181717" w:themeColor="background2" w:themeShade="1A"/>
                <w:kern w:val="0"/>
                <w:sz w:val="24"/>
                <w:szCs w:val="24"/>
                <w:lang w:val="en-US" w:eastAsia="zh-CN" w:bidi="ar"/>
              </w:rPr>
              <w:t>聘用社工人数</w:t>
            </w:r>
            <w:r>
              <w:rPr>
                <w:rFonts w:ascii="Times New Roman Regular" w:hAnsi="Times New Roman Regular" w:cs="Times New Roman Regular"/>
                <w:color w:val="181717" w:themeColor="background2" w:themeShade="1A"/>
                <w:kern w:val="0"/>
                <w:sz w:val="24"/>
                <w:szCs w:val="24"/>
                <w:lang w:eastAsia="zh-Hans" w:bidi="ar"/>
              </w:rPr>
              <w:t>/年度</w:t>
            </w:r>
            <w:r>
              <w:rPr>
                <w:rFonts w:hint="eastAsia" w:ascii="Times New Roman Regular" w:hAnsi="Times New Roman Regular" w:cs="Times New Roman Regular"/>
                <w:color w:val="181717" w:themeColor="background2" w:themeShade="1A"/>
                <w:kern w:val="0"/>
                <w:sz w:val="24"/>
                <w:szCs w:val="24"/>
                <w:lang w:val="en-US" w:eastAsia="zh-CN" w:bidi="ar"/>
              </w:rPr>
              <w:t>计划聘用社工人数</w:t>
            </w:r>
            <w:r>
              <w:rPr>
                <w:rFonts w:ascii="Times New Roman Regular" w:hAnsi="Times New Roman Regular" w:cs="Times New Roman Regular"/>
                <w:color w:val="181717" w:themeColor="background2" w:themeShade="1A"/>
                <w:kern w:val="0"/>
                <w:sz w:val="24"/>
                <w:szCs w:val="24"/>
                <w:lang w:eastAsia="zh-Hans" w:bidi="ar"/>
              </w:rPr>
              <w:t>）*权重分。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社矫宣传视频制作完成率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社矫宣传视频制作的完成</w:t>
            </w:r>
            <w:r>
              <w:rPr>
                <w:rFonts w:ascii="Times New Roman Regular" w:hAnsi="Times New Roman Regular" w:cs="Times New Roman Regular"/>
                <w:color w:val="181717" w:themeColor="background2" w:themeShade="1A"/>
                <w:kern w:val="0"/>
                <w:sz w:val="24"/>
                <w:szCs w:val="24"/>
                <w:lang w:bidi="ar"/>
              </w:rPr>
              <w:t>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按</w:t>
            </w:r>
            <w:r>
              <w:rPr>
                <w:rFonts w:hint="eastAsia" w:ascii="Times New Roman Regular" w:hAnsi="Times New Roman Regular" w:cs="Times New Roman Regular"/>
                <w:color w:val="181717" w:themeColor="background2" w:themeShade="1A"/>
                <w:kern w:val="0"/>
                <w:sz w:val="24"/>
                <w:szCs w:val="24"/>
                <w:lang w:val="en-US" w:eastAsia="zh-CN" w:bidi="ar"/>
              </w:rPr>
              <w:t>年初计划</w:t>
            </w:r>
            <w:r>
              <w:rPr>
                <w:rFonts w:ascii="Times New Roman Regular" w:hAnsi="Times New Roman Regular" w:cs="Times New Roman Regular"/>
                <w:color w:val="181717" w:themeColor="background2" w:themeShade="1A"/>
                <w:kern w:val="0"/>
                <w:sz w:val="24"/>
                <w:szCs w:val="24"/>
                <w:lang w:bidi="ar"/>
              </w:rPr>
              <w:t>完成</w:t>
            </w:r>
            <w:r>
              <w:rPr>
                <w:rFonts w:hint="eastAsia" w:ascii="Times New Roman Regular" w:hAnsi="Times New Roman Regular" w:cs="Times New Roman Regular"/>
                <w:color w:val="181717" w:themeColor="background2" w:themeShade="1A"/>
                <w:kern w:val="0"/>
                <w:sz w:val="24"/>
                <w:szCs w:val="24"/>
                <w:lang w:val="en-US" w:eastAsia="zh-CN" w:bidi="ar"/>
              </w:rPr>
              <w:t>社矫宣传视频制作</w:t>
            </w:r>
            <w:r>
              <w:rPr>
                <w:rFonts w:ascii="Times New Roman Regular" w:hAnsi="Times New Roman Regular" w:cs="Times New Roman Regular"/>
                <w:color w:val="181717" w:themeColor="background2" w:themeShade="1A"/>
                <w:kern w:val="0"/>
                <w:sz w:val="24"/>
                <w:szCs w:val="24"/>
                <w:lang w:bidi="ar"/>
              </w:rPr>
              <w:t>工作。</w:t>
            </w:r>
            <w:r>
              <w:rPr>
                <w:rFonts w:ascii="Times New Roman Regular" w:hAnsi="Times New Roman Regular" w:cs="Times New Roman Regular"/>
                <w:color w:val="181717" w:themeColor="background2" w:themeShade="1A"/>
                <w:kern w:val="0"/>
                <w:sz w:val="24"/>
                <w:szCs w:val="24"/>
                <w:lang w:eastAsia="zh-Hans" w:bidi="ar"/>
              </w:rPr>
              <w:t>得分=（实际</w:t>
            </w:r>
            <w:r>
              <w:rPr>
                <w:rFonts w:hint="eastAsia" w:ascii="Times New Roman Regular" w:hAnsi="Times New Roman Regular" w:cs="Times New Roman Regular"/>
                <w:color w:val="181717" w:themeColor="background2" w:themeShade="1A"/>
                <w:kern w:val="0"/>
                <w:sz w:val="24"/>
                <w:szCs w:val="24"/>
                <w:lang w:val="en-US" w:eastAsia="zh-CN" w:bidi="ar"/>
              </w:rPr>
              <w:t>制作完成的社矫宣传视频数</w:t>
            </w:r>
            <w:r>
              <w:rPr>
                <w:rFonts w:ascii="Times New Roman Regular" w:hAnsi="Times New Roman Regular" w:cs="Times New Roman Regular"/>
                <w:color w:val="181717" w:themeColor="background2" w:themeShade="1A"/>
                <w:kern w:val="0"/>
                <w:sz w:val="24"/>
                <w:szCs w:val="24"/>
                <w:lang w:eastAsia="zh-Hans" w:bidi="ar"/>
              </w:rPr>
              <w:t>/年度</w:t>
            </w:r>
            <w:r>
              <w:rPr>
                <w:rFonts w:hint="eastAsia" w:ascii="Times New Roman Regular" w:hAnsi="Times New Roman Regular" w:cs="Times New Roman Regular"/>
                <w:color w:val="181717" w:themeColor="background2" w:themeShade="1A"/>
                <w:kern w:val="0"/>
                <w:sz w:val="24"/>
                <w:szCs w:val="24"/>
                <w:lang w:val="en-US" w:eastAsia="zh-CN" w:bidi="ar"/>
              </w:rPr>
              <w:t>计划完成社矫宣传视频数</w:t>
            </w:r>
            <w:r>
              <w:rPr>
                <w:rFonts w:ascii="Times New Roman Regular" w:hAnsi="Times New Roman Regular" w:cs="Times New Roman Regular"/>
                <w:color w:val="181717" w:themeColor="background2" w:themeShade="1A"/>
                <w:kern w:val="0"/>
                <w:sz w:val="24"/>
                <w:szCs w:val="24"/>
                <w:lang w:eastAsia="zh-Hans" w:bidi="ar"/>
              </w:rPr>
              <w:t>）*权重分。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社矫课题研究完成率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社矫课题研究</w:t>
            </w:r>
            <w:r>
              <w:rPr>
                <w:rFonts w:ascii="Times New Roman Regular" w:hAnsi="Times New Roman Regular" w:cs="Times New Roman Regular"/>
                <w:color w:val="181717" w:themeColor="background2" w:themeShade="1A"/>
                <w:kern w:val="0"/>
                <w:sz w:val="24"/>
                <w:szCs w:val="24"/>
                <w:lang w:bidi="ar"/>
              </w:rPr>
              <w:t>工作的完成情况。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按</w:t>
            </w:r>
            <w:r>
              <w:rPr>
                <w:rFonts w:hint="eastAsia" w:ascii="Times New Roman Regular" w:hAnsi="Times New Roman Regular" w:cs="Times New Roman Regular"/>
                <w:color w:val="181717" w:themeColor="background2" w:themeShade="1A"/>
                <w:kern w:val="0"/>
                <w:sz w:val="24"/>
                <w:szCs w:val="24"/>
                <w:lang w:val="en-US" w:eastAsia="zh-CN" w:bidi="ar"/>
              </w:rPr>
              <w:t>年初计划</w:t>
            </w:r>
            <w:r>
              <w:rPr>
                <w:rFonts w:ascii="Times New Roman Regular" w:hAnsi="Times New Roman Regular" w:cs="Times New Roman Regular"/>
                <w:color w:val="181717" w:themeColor="background2" w:themeShade="1A"/>
                <w:kern w:val="0"/>
                <w:sz w:val="24"/>
                <w:szCs w:val="24"/>
                <w:lang w:bidi="ar"/>
              </w:rPr>
              <w:t>完成</w:t>
            </w:r>
            <w:r>
              <w:rPr>
                <w:rFonts w:hint="eastAsia" w:ascii="Times New Roman Regular" w:hAnsi="Times New Roman Regular" w:cs="Times New Roman Regular"/>
                <w:color w:val="181717" w:themeColor="background2" w:themeShade="1A"/>
                <w:kern w:val="0"/>
                <w:sz w:val="24"/>
                <w:szCs w:val="24"/>
                <w:lang w:val="en-US" w:eastAsia="zh-CN" w:bidi="ar"/>
              </w:rPr>
              <w:t>社矫课题研究</w:t>
            </w:r>
            <w:r>
              <w:rPr>
                <w:rFonts w:ascii="Times New Roman Regular" w:hAnsi="Times New Roman Regular" w:cs="Times New Roman Regular"/>
                <w:color w:val="181717" w:themeColor="background2" w:themeShade="1A"/>
                <w:kern w:val="0"/>
                <w:sz w:val="24"/>
                <w:szCs w:val="24"/>
                <w:lang w:bidi="ar"/>
              </w:rPr>
              <w:t>工作。</w:t>
            </w:r>
            <w:r>
              <w:rPr>
                <w:rFonts w:ascii="Times New Roman Regular" w:hAnsi="Times New Roman Regular" w:cs="Times New Roman Regular"/>
                <w:color w:val="181717" w:themeColor="background2" w:themeShade="1A"/>
                <w:kern w:val="0"/>
                <w:sz w:val="24"/>
                <w:szCs w:val="24"/>
                <w:lang w:eastAsia="zh-Hans" w:bidi="ar"/>
              </w:rPr>
              <w:t>得分=（实际</w:t>
            </w:r>
            <w:r>
              <w:rPr>
                <w:rFonts w:hint="eastAsia" w:ascii="Times New Roman Regular" w:hAnsi="Times New Roman Regular" w:cs="Times New Roman Regular"/>
                <w:color w:val="181717" w:themeColor="background2" w:themeShade="1A"/>
                <w:kern w:val="0"/>
                <w:sz w:val="24"/>
                <w:szCs w:val="24"/>
                <w:lang w:val="en-US" w:eastAsia="zh-CN" w:bidi="ar"/>
              </w:rPr>
              <w:t>完成社矫课题研究数</w:t>
            </w:r>
            <w:r>
              <w:rPr>
                <w:rFonts w:ascii="Times New Roman Regular" w:hAnsi="Times New Roman Regular" w:cs="Times New Roman Regular"/>
                <w:color w:val="181717" w:themeColor="background2" w:themeShade="1A"/>
                <w:kern w:val="0"/>
                <w:sz w:val="24"/>
                <w:szCs w:val="24"/>
                <w:lang w:eastAsia="zh-Hans" w:bidi="ar"/>
              </w:rPr>
              <w:t>/年度</w:t>
            </w:r>
            <w:r>
              <w:rPr>
                <w:rFonts w:hint="eastAsia" w:ascii="Times New Roman Regular" w:hAnsi="Times New Roman Regular" w:cs="Times New Roman Regular"/>
                <w:color w:val="181717" w:themeColor="background2" w:themeShade="1A"/>
                <w:kern w:val="0"/>
                <w:sz w:val="24"/>
                <w:szCs w:val="24"/>
                <w:lang w:val="en-US" w:eastAsia="zh-CN" w:bidi="ar"/>
              </w:rPr>
              <w:t>计划完成社矫课题研究数</w:t>
            </w:r>
            <w:r>
              <w:rPr>
                <w:rFonts w:ascii="Times New Roman Regular" w:hAnsi="Times New Roman Regular" w:cs="Times New Roman Regular"/>
                <w:color w:val="181717" w:themeColor="background2" w:themeShade="1A"/>
                <w:kern w:val="0"/>
                <w:sz w:val="24"/>
                <w:szCs w:val="24"/>
                <w:lang w:eastAsia="zh-Hans" w:bidi="ar"/>
              </w:rPr>
              <w:t>）*权重分。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社区矫正对象教育学习项目成果印制</w:t>
            </w:r>
            <w:r>
              <w:rPr>
                <w:rFonts w:hint="eastAsia" w:ascii="Times New Roman Regular" w:hAnsi="Times New Roman Regular" w:cs="Times New Roman Regular"/>
                <w:color w:val="181717" w:themeColor="background2" w:themeShade="1A"/>
                <w:kern w:val="0"/>
                <w:sz w:val="24"/>
                <w:szCs w:val="24"/>
                <w:lang w:val="en-US" w:eastAsia="zh-CN" w:bidi="ar"/>
              </w:rPr>
              <w:t>完成率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社区矫正对象教育学习项目成果印制</w:t>
            </w:r>
            <w:r>
              <w:rPr>
                <w:rFonts w:ascii="Times New Roman Regular" w:hAnsi="Times New Roman Regular" w:cs="Times New Roman Regular"/>
                <w:color w:val="181717" w:themeColor="background2" w:themeShade="1A"/>
                <w:kern w:val="0"/>
                <w:sz w:val="24"/>
                <w:szCs w:val="24"/>
                <w:lang w:bidi="ar"/>
              </w:rPr>
              <w:t>的完成情况。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按</w:t>
            </w:r>
            <w:r>
              <w:rPr>
                <w:rFonts w:hint="eastAsia" w:ascii="Times New Roman Regular" w:hAnsi="Times New Roman Regular" w:cs="Times New Roman Regular"/>
                <w:color w:val="181717" w:themeColor="background2" w:themeShade="1A"/>
                <w:kern w:val="0"/>
                <w:sz w:val="24"/>
                <w:szCs w:val="24"/>
                <w:lang w:val="en-US" w:eastAsia="zh-CN" w:bidi="ar"/>
              </w:rPr>
              <w:t>年初计划</w:t>
            </w:r>
            <w:r>
              <w:rPr>
                <w:rFonts w:ascii="Times New Roman Regular" w:hAnsi="Times New Roman Regular" w:cs="Times New Roman Regular"/>
                <w:color w:val="181717" w:themeColor="background2" w:themeShade="1A"/>
                <w:kern w:val="0"/>
                <w:sz w:val="24"/>
                <w:szCs w:val="24"/>
                <w:lang w:bidi="ar"/>
              </w:rPr>
              <w:t>完成</w:t>
            </w: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社区矫正对象教育学习项目成果印制</w:t>
            </w:r>
            <w:r>
              <w:rPr>
                <w:rFonts w:ascii="Times New Roman Regular" w:hAnsi="Times New Roman Regular" w:cs="Times New Roman Regular"/>
                <w:color w:val="181717" w:themeColor="background2" w:themeShade="1A"/>
                <w:kern w:val="0"/>
                <w:sz w:val="24"/>
                <w:szCs w:val="24"/>
                <w:lang w:bidi="ar"/>
              </w:rPr>
              <w:t>工作。</w:t>
            </w:r>
            <w:r>
              <w:rPr>
                <w:rFonts w:ascii="Times New Roman Regular" w:hAnsi="Times New Roman Regular" w:cs="Times New Roman Regular"/>
                <w:color w:val="181717" w:themeColor="background2" w:themeShade="1A"/>
                <w:kern w:val="0"/>
                <w:sz w:val="24"/>
                <w:szCs w:val="24"/>
                <w:lang w:eastAsia="zh-Hans" w:bidi="ar"/>
              </w:rPr>
              <w:t>得分=（实际</w:t>
            </w:r>
            <w:r>
              <w:rPr>
                <w:rFonts w:hint="eastAsia" w:ascii="Times New Roman Regular" w:hAnsi="Times New Roman Regular" w:cs="Times New Roman Regular"/>
                <w:color w:val="181717" w:themeColor="background2" w:themeShade="1A"/>
                <w:kern w:val="0"/>
                <w:sz w:val="24"/>
                <w:szCs w:val="24"/>
                <w:lang w:val="en-US" w:eastAsia="zh-CN" w:bidi="ar"/>
              </w:rPr>
              <w:t>印制</w:t>
            </w: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w:t>
            </w:r>
            <w:r>
              <w:rPr>
                <w:rFonts w:hint="eastAsia" w:ascii="Times New Roman Regular" w:hAnsi="Times New Roman Regular" w:cs="Times New Roman Regular"/>
                <w:color w:val="181717" w:themeColor="background2" w:themeShade="1A"/>
                <w:kern w:val="0"/>
                <w:sz w:val="24"/>
                <w:szCs w:val="24"/>
                <w:lang w:val="en-US" w:eastAsia="zh-CN" w:bidi="ar"/>
              </w:rPr>
              <w:t>数</w:t>
            </w:r>
            <w:r>
              <w:rPr>
                <w:rFonts w:ascii="Times New Roman Regular" w:hAnsi="Times New Roman Regular" w:cs="Times New Roman Regular"/>
                <w:color w:val="181717" w:themeColor="background2" w:themeShade="1A"/>
                <w:kern w:val="0"/>
                <w:sz w:val="24"/>
                <w:szCs w:val="24"/>
                <w:lang w:eastAsia="zh-Hans" w:bidi="ar"/>
              </w:rPr>
              <w:t>/年度</w:t>
            </w:r>
            <w:r>
              <w:rPr>
                <w:rFonts w:hint="eastAsia" w:ascii="Times New Roman Regular" w:hAnsi="Times New Roman Regular" w:cs="Times New Roman Regular"/>
                <w:color w:val="181717" w:themeColor="background2" w:themeShade="1A"/>
                <w:kern w:val="0"/>
                <w:sz w:val="24"/>
                <w:szCs w:val="24"/>
                <w:lang w:val="en-US" w:eastAsia="zh-CN" w:bidi="ar"/>
              </w:rPr>
              <w:t>计划印制</w:t>
            </w: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w:t>
            </w:r>
            <w:r>
              <w:rPr>
                <w:rFonts w:hint="eastAsia" w:ascii="Times New Roman Regular" w:hAnsi="Times New Roman Regular" w:cs="Times New Roman Regular"/>
                <w:color w:val="181717" w:themeColor="background2" w:themeShade="1A"/>
                <w:kern w:val="0"/>
                <w:sz w:val="24"/>
                <w:szCs w:val="24"/>
                <w:lang w:val="en-US" w:eastAsia="zh-CN" w:bidi="ar"/>
              </w:rPr>
              <w:t>数</w:t>
            </w:r>
            <w:r>
              <w:rPr>
                <w:rFonts w:ascii="Times New Roman Regular" w:hAnsi="Times New Roman Regular" w:cs="Times New Roman Regular"/>
                <w:color w:val="181717" w:themeColor="background2" w:themeShade="1A"/>
                <w:kern w:val="0"/>
                <w:sz w:val="24"/>
                <w:szCs w:val="24"/>
                <w:lang w:eastAsia="zh-Hans" w:bidi="ar"/>
              </w:rPr>
              <w:t>）*权重分。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完成率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的完成</w:t>
            </w:r>
            <w:r>
              <w:rPr>
                <w:rFonts w:ascii="Times New Roman Regular" w:hAnsi="Times New Roman Regular" w:cs="Times New Roman Regular"/>
                <w:color w:val="181717" w:themeColor="background2" w:themeShade="1A"/>
                <w:kern w:val="0"/>
                <w:sz w:val="24"/>
                <w:szCs w:val="24"/>
                <w:lang w:bidi="ar"/>
              </w:rPr>
              <w:t>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按</w:t>
            </w:r>
            <w:r>
              <w:rPr>
                <w:rFonts w:hint="eastAsia" w:ascii="Times New Roman Regular" w:hAnsi="Times New Roman Regular" w:cs="Times New Roman Regular"/>
                <w:color w:val="181717" w:themeColor="background2" w:themeShade="1A"/>
                <w:kern w:val="0"/>
                <w:sz w:val="24"/>
                <w:szCs w:val="24"/>
                <w:lang w:val="en-US" w:eastAsia="zh-CN" w:bidi="ar"/>
              </w:rPr>
              <w:t>年初计划</w:t>
            </w:r>
            <w:r>
              <w:rPr>
                <w:rFonts w:ascii="Times New Roman Regular" w:hAnsi="Times New Roman Regular" w:cs="Times New Roman Regular"/>
                <w:color w:val="181717" w:themeColor="background2" w:themeShade="1A"/>
                <w:kern w:val="0"/>
                <w:sz w:val="24"/>
                <w:szCs w:val="24"/>
                <w:lang w:bidi="ar"/>
              </w:rPr>
              <w:t>完成</w:t>
            </w: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ascii="Times New Roman Regular" w:hAnsi="Times New Roman Regular" w:cs="Times New Roman Regular"/>
                <w:color w:val="181717" w:themeColor="background2" w:themeShade="1A"/>
                <w:kern w:val="0"/>
                <w:sz w:val="24"/>
                <w:szCs w:val="24"/>
                <w:lang w:bidi="ar"/>
              </w:rPr>
              <w:t>工作。</w:t>
            </w:r>
            <w:r>
              <w:rPr>
                <w:rFonts w:ascii="Times New Roman Regular" w:hAnsi="Times New Roman Regular" w:cs="Times New Roman Regular"/>
                <w:color w:val="181717" w:themeColor="background2" w:themeShade="1A"/>
                <w:kern w:val="0"/>
                <w:sz w:val="24"/>
                <w:szCs w:val="24"/>
                <w:lang w:eastAsia="zh-Hans" w:bidi="ar"/>
              </w:rPr>
              <w:t>得分=（实际</w:t>
            </w:r>
            <w:r>
              <w:rPr>
                <w:rFonts w:hint="eastAsia" w:ascii="Times New Roman Regular" w:hAnsi="Times New Roman Regular" w:cs="Times New Roman Regular"/>
                <w:color w:val="181717" w:themeColor="background2" w:themeShade="1A"/>
                <w:kern w:val="0"/>
                <w:sz w:val="24"/>
                <w:szCs w:val="24"/>
                <w:lang w:val="en-US" w:eastAsia="zh-CN" w:bidi="ar"/>
              </w:rPr>
              <w:t>完成</w:t>
            </w: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数</w:t>
            </w:r>
            <w:r>
              <w:rPr>
                <w:rFonts w:ascii="Times New Roman Regular" w:hAnsi="Times New Roman Regular" w:cs="Times New Roman Regular"/>
                <w:color w:val="181717" w:themeColor="background2" w:themeShade="1A"/>
                <w:kern w:val="0"/>
                <w:sz w:val="24"/>
                <w:szCs w:val="24"/>
                <w:lang w:eastAsia="zh-Hans" w:bidi="ar"/>
              </w:rPr>
              <w:t>/年度</w:t>
            </w:r>
            <w:r>
              <w:rPr>
                <w:rFonts w:hint="eastAsia" w:ascii="Times New Roman Regular" w:hAnsi="Times New Roman Regular" w:cs="Times New Roman Regular"/>
                <w:color w:val="181717" w:themeColor="background2" w:themeShade="1A"/>
                <w:kern w:val="0"/>
                <w:sz w:val="24"/>
                <w:szCs w:val="24"/>
                <w:lang w:val="en-US" w:eastAsia="zh-CN" w:bidi="ar"/>
              </w:rPr>
              <w:t>完成</w:t>
            </w: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数</w:t>
            </w:r>
            <w:r>
              <w:rPr>
                <w:rFonts w:ascii="Times New Roman Regular" w:hAnsi="Times New Roman Regular" w:cs="Times New Roman Regular"/>
                <w:color w:val="181717" w:themeColor="background2" w:themeShade="1A"/>
                <w:kern w:val="0"/>
                <w:sz w:val="24"/>
                <w:szCs w:val="24"/>
                <w:lang w:eastAsia="zh-Hans" w:bidi="ar"/>
              </w:rPr>
              <w:t>）*权重分。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127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w:t>
            </w:r>
            <w:r>
              <w:rPr>
                <w:rFonts w:ascii="Times New Roman Regular" w:hAnsi="Times New Roman Regular" w:cs="Times New Roman Regular"/>
                <w:color w:val="181717" w:themeColor="background2" w:themeShade="1A"/>
                <w:kern w:val="0"/>
                <w:sz w:val="24"/>
                <w:szCs w:val="24"/>
                <w:lang w:bidi="ar"/>
              </w:rPr>
              <w:t>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按</w:t>
            </w:r>
            <w:r>
              <w:rPr>
                <w:rFonts w:hint="eastAsia" w:ascii="Times New Roman Regular" w:hAnsi="Times New Roman Regular" w:cs="Times New Roman Regular"/>
                <w:color w:val="181717" w:themeColor="background2" w:themeShade="1A"/>
                <w:kern w:val="0"/>
                <w:sz w:val="24"/>
                <w:szCs w:val="24"/>
                <w:lang w:val="en-US" w:eastAsia="zh-CN" w:bidi="ar"/>
              </w:rPr>
              <w:t>年初计划</w:t>
            </w:r>
            <w:r>
              <w:rPr>
                <w:rFonts w:ascii="Times New Roman Regular" w:hAnsi="Times New Roman Regular" w:cs="Times New Roman Regular"/>
                <w:color w:val="181717" w:themeColor="background2" w:themeShade="1A"/>
                <w:kern w:val="0"/>
                <w:sz w:val="24"/>
                <w:szCs w:val="24"/>
                <w:lang w:bidi="ar"/>
              </w:rPr>
              <w:t>完成</w:t>
            </w: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w:t>
            </w:r>
            <w:r>
              <w:rPr>
                <w:rFonts w:ascii="Times New Roman Regular" w:hAnsi="Times New Roman Regular" w:cs="Times New Roman Regular"/>
                <w:color w:val="181717" w:themeColor="background2" w:themeShade="1A"/>
                <w:kern w:val="0"/>
                <w:sz w:val="24"/>
                <w:szCs w:val="24"/>
                <w:lang w:bidi="ar"/>
              </w:rPr>
              <w:t>工作。</w:t>
            </w:r>
            <w:r>
              <w:rPr>
                <w:rFonts w:ascii="Times New Roman Regular" w:hAnsi="Times New Roman Regular" w:cs="Times New Roman Regular"/>
                <w:color w:val="181717" w:themeColor="background2" w:themeShade="1A"/>
                <w:kern w:val="0"/>
                <w:sz w:val="24"/>
                <w:szCs w:val="24"/>
                <w:lang w:eastAsia="zh-Hans" w:bidi="ar"/>
              </w:rPr>
              <w:t>得分=（实际</w:t>
            </w:r>
            <w:r>
              <w:rPr>
                <w:rFonts w:hint="eastAsia" w:ascii="Times New Roman Regular" w:hAnsi="Times New Roman Regular" w:cs="Times New Roman Regular"/>
                <w:color w:val="181717" w:themeColor="background2" w:themeShade="1A"/>
                <w:kern w:val="0"/>
                <w:sz w:val="24"/>
                <w:szCs w:val="24"/>
                <w:lang w:val="en-US" w:eastAsia="zh-CN" w:bidi="ar"/>
              </w:rPr>
              <w:t>完成</w:t>
            </w: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签订人数</w:t>
            </w:r>
            <w:r>
              <w:rPr>
                <w:rFonts w:ascii="Times New Roman Regular" w:hAnsi="Times New Roman Regular" w:cs="Times New Roman Regular"/>
                <w:color w:val="181717" w:themeColor="background2" w:themeShade="1A"/>
                <w:kern w:val="0"/>
                <w:sz w:val="24"/>
                <w:szCs w:val="24"/>
                <w:lang w:eastAsia="zh-Hans" w:bidi="ar"/>
              </w:rPr>
              <w:t>/年度</w:t>
            </w:r>
            <w:r>
              <w:rPr>
                <w:rFonts w:hint="eastAsia" w:ascii="Times New Roman Regular" w:hAnsi="Times New Roman Regular" w:cs="Times New Roman Regular"/>
                <w:color w:val="181717" w:themeColor="background2" w:themeShade="1A"/>
                <w:kern w:val="0"/>
                <w:sz w:val="24"/>
                <w:szCs w:val="24"/>
                <w:lang w:val="en-US" w:eastAsia="zh-CN" w:bidi="ar"/>
              </w:rPr>
              <w:t>计划完成</w:t>
            </w: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签订人数</w:t>
            </w:r>
            <w:r>
              <w:rPr>
                <w:rFonts w:ascii="Times New Roman Regular" w:hAnsi="Times New Roman Regular" w:cs="Times New Roman Regular"/>
                <w:color w:val="181717" w:themeColor="background2" w:themeShade="1A"/>
                <w:kern w:val="0"/>
                <w:sz w:val="24"/>
                <w:szCs w:val="24"/>
                <w:lang w:eastAsia="zh-Hans" w:bidi="ar"/>
              </w:rPr>
              <w:t>）*权重分。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82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产出质量</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帮教率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帮教</w:t>
            </w:r>
            <w:r>
              <w:rPr>
                <w:rFonts w:ascii="Times New Roman Regular" w:hAnsi="Times New Roman Regular" w:cs="Times New Roman Regular"/>
                <w:color w:val="181717" w:themeColor="background2" w:themeShade="1A"/>
                <w:kern w:val="0"/>
                <w:sz w:val="24"/>
                <w:szCs w:val="24"/>
                <w:lang w:bidi="ar"/>
              </w:rPr>
              <w:t>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帮教率</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实际社矫对象</w:t>
            </w:r>
            <w:r>
              <w:rPr>
                <w:rFonts w:hint="eastAsia" w:ascii="Times New Roman Regular" w:hAnsi="Times New Roman Regular" w:cs="Times New Roman Regular"/>
                <w:color w:val="181717" w:themeColor="background2" w:themeShade="1A"/>
                <w:kern w:val="0"/>
                <w:sz w:val="24"/>
                <w:szCs w:val="24"/>
                <w:lang w:eastAsia="zh-Hans" w:bidi="ar"/>
              </w:rPr>
              <w:t>帮教</w:t>
            </w:r>
            <w:r>
              <w:rPr>
                <w:rFonts w:hint="eastAsia" w:ascii="Times New Roman Regular" w:hAnsi="Times New Roman Regular" w:cs="Times New Roman Regular"/>
                <w:color w:val="181717" w:themeColor="background2" w:themeShade="1A"/>
                <w:kern w:val="0"/>
                <w:sz w:val="24"/>
                <w:szCs w:val="24"/>
                <w:lang w:val="en-US" w:eastAsia="zh-CN" w:bidi="ar"/>
              </w:rPr>
              <w:t>人数</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年度计划社矫对象</w:t>
            </w:r>
            <w:r>
              <w:rPr>
                <w:rFonts w:hint="eastAsia" w:ascii="Times New Roman Regular" w:hAnsi="Times New Roman Regular" w:cs="Times New Roman Regular"/>
                <w:color w:val="181717" w:themeColor="background2" w:themeShade="1A"/>
                <w:kern w:val="0"/>
                <w:sz w:val="24"/>
                <w:szCs w:val="24"/>
                <w:lang w:eastAsia="zh-Hans" w:bidi="ar"/>
              </w:rPr>
              <w:t>帮教</w:t>
            </w:r>
            <w:r>
              <w:rPr>
                <w:rFonts w:hint="eastAsia" w:ascii="Times New Roman Regular" w:hAnsi="Times New Roman Regular" w:cs="Times New Roman Regular"/>
                <w:color w:val="181717" w:themeColor="background2" w:themeShade="1A"/>
                <w:kern w:val="0"/>
                <w:sz w:val="24"/>
                <w:szCs w:val="24"/>
                <w:lang w:val="en-US" w:eastAsia="zh-CN" w:bidi="ar"/>
              </w:rPr>
              <w:t>人数</w:t>
            </w:r>
            <w:r>
              <w:rPr>
                <w:rFonts w:ascii="Times New Roman Regular" w:hAnsi="Times New Roman Regular" w:cs="Times New Roman Regular"/>
                <w:color w:val="181717" w:themeColor="background2" w:themeShade="1A"/>
                <w:kern w:val="0"/>
                <w:sz w:val="24"/>
                <w:szCs w:val="24"/>
                <w:lang w:bidi="ar"/>
              </w:rPr>
              <w:t>）*100%，得分=</w:t>
            </w: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帮教率</w:t>
            </w:r>
            <w:r>
              <w:rPr>
                <w:rFonts w:ascii="Times New Roman Regular" w:hAnsi="Times New Roman Regular" w:cs="Times New Roman Regular"/>
                <w:color w:val="181717" w:themeColor="background2" w:themeShade="1A"/>
                <w:kern w:val="0"/>
                <w:sz w:val="24"/>
                <w:szCs w:val="24"/>
                <w:lang w:bidi="ar"/>
              </w:rPr>
              <w:t>*权重。</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82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安置率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安置</w:t>
            </w:r>
            <w:r>
              <w:rPr>
                <w:rFonts w:hint="eastAsia" w:ascii="Times New Roman Regular" w:hAnsi="Times New Roman Regular" w:cs="Times New Roman Regular"/>
                <w:color w:val="181717" w:themeColor="background2" w:themeShade="1A"/>
                <w:kern w:val="0"/>
                <w:sz w:val="24"/>
                <w:szCs w:val="24"/>
                <w:lang w:val="en-US" w:eastAsia="zh-CN" w:bidi="ar"/>
              </w:rPr>
              <w:t>情况</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安置率</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实际社矫对象</w:t>
            </w:r>
            <w:r>
              <w:rPr>
                <w:rFonts w:hint="eastAsia" w:ascii="Times New Roman Regular" w:hAnsi="Times New Roman Regular" w:cs="Times New Roman Regular"/>
                <w:color w:val="181717" w:themeColor="background2" w:themeShade="1A"/>
                <w:kern w:val="0"/>
                <w:sz w:val="24"/>
                <w:szCs w:val="24"/>
                <w:lang w:eastAsia="zh-Hans" w:bidi="ar"/>
              </w:rPr>
              <w:t>安置</w:t>
            </w:r>
            <w:r>
              <w:rPr>
                <w:rFonts w:hint="eastAsia" w:ascii="Times New Roman Regular" w:hAnsi="Times New Roman Regular" w:cs="Times New Roman Regular"/>
                <w:color w:val="181717" w:themeColor="background2" w:themeShade="1A"/>
                <w:kern w:val="0"/>
                <w:sz w:val="24"/>
                <w:szCs w:val="24"/>
                <w:lang w:val="en-US" w:eastAsia="zh-CN" w:bidi="ar"/>
              </w:rPr>
              <w:t>人数</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年度计划社矫对象</w:t>
            </w:r>
            <w:r>
              <w:rPr>
                <w:rFonts w:hint="eastAsia" w:ascii="Times New Roman Regular" w:hAnsi="Times New Roman Regular" w:cs="Times New Roman Regular"/>
                <w:color w:val="181717" w:themeColor="background2" w:themeShade="1A"/>
                <w:kern w:val="0"/>
                <w:sz w:val="24"/>
                <w:szCs w:val="24"/>
                <w:lang w:eastAsia="zh-Hans" w:bidi="ar"/>
              </w:rPr>
              <w:t>安置</w:t>
            </w:r>
            <w:r>
              <w:rPr>
                <w:rFonts w:hint="eastAsia" w:ascii="Times New Roman Regular" w:hAnsi="Times New Roman Regular" w:cs="Times New Roman Regular"/>
                <w:color w:val="181717" w:themeColor="background2" w:themeShade="1A"/>
                <w:kern w:val="0"/>
                <w:sz w:val="24"/>
                <w:szCs w:val="24"/>
                <w:lang w:val="en-US" w:eastAsia="zh-CN" w:bidi="ar"/>
              </w:rPr>
              <w:t>人数</w:t>
            </w:r>
            <w:r>
              <w:rPr>
                <w:rFonts w:ascii="Times New Roman Regular" w:hAnsi="Times New Roman Regular" w:cs="Times New Roman Regular"/>
                <w:color w:val="181717" w:themeColor="background2" w:themeShade="1A"/>
                <w:kern w:val="0"/>
                <w:sz w:val="24"/>
                <w:szCs w:val="24"/>
                <w:lang w:bidi="ar"/>
              </w:rPr>
              <w:t>）*100%，得分=</w:t>
            </w:r>
            <w:r>
              <w:rPr>
                <w:rFonts w:hint="eastAsia" w:ascii="Times New Roman Regular" w:hAnsi="Times New Roman Regular" w:cs="Times New Roman Regular"/>
                <w:color w:val="181717" w:themeColor="background2" w:themeShade="1A"/>
                <w:kern w:val="0"/>
                <w:sz w:val="24"/>
                <w:szCs w:val="24"/>
                <w:lang w:val="en-US" w:eastAsia="zh-CN" w:bidi="ar"/>
              </w:rPr>
              <w:t>社矫对象</w:t>
            </w:r>
            <w:r>
              <w:rPr>
                <w:rFonts w:hint="eastAsia" w:ascii="Times New Roman Regular" w:hAnsi="Times New Roman Regular" w:cs="Times New Roman Regular"/>
                <w:color w:val="181717" w:themeColor="background2" w:themeShade="1A"/>
                <w:kern w:val="0"/>
                <w:sz w:val="24"/>
                <w:szCs w:val="24"/>
                <w:lang w:eastAsia="zh-Hans" w:bidi="ar"/>
              </w:rPr>
              <w:t>安置率</w:t>
            </w:r>
            <w:r>
              <w:rPr>
                <w:rFonts w:ascii="Times New Roman Regular" w:hAnsi="Times New Roman Regular" w:cs="Times New Roman Regular"/>
                <w:color w:val="181717" w:themeColor="background2" w:themeShade="1A"/>
                <w:kern w:val="0"/>
                <w:sz w:val="24"/>
                <w:szCs w:val="24"/>
                <w:lang w:bidi="ar"/>
              </w:rPr>
              <w:t>*权重。</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eastAsia="zh-Hans" w:bidi="ar"/>
              </w:rPr>
              <w:t>重点帮教对象接送率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eastAsia="zh-Hans" w:bidi="ar"/>
              </w:rPr>
              <w:t>重点帮教对象接送</w:t>
            </w:r>
            <w:r>
              <w:rPr>
                <w:rFonts w:hint="eastAsia" w:ascii="Times New Roman Regular" w:hAnsi="Times New Roman Regular" w:cs="Times New Roman Regular"/>
                <w:color w:val="181717" w:themeColor="background2" w:themeShade="1A"/>
                <w:kern w:val="0"/>
                <w:sz w:val="24"/>
                <w:szCs w:val="24"/>
                <w:lang w:val="en-US" w:eastAsia="zh-CN" w:bidi="ar"/>
              </w:rPr>
              <w:t>情况</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eastAsia="zh-Hans" w:bidi="ar"/>
              </w:rPr>
              <w:t>重点帮教对象接送率</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实际</w:t>
            </w:r>
            <w:r>
              <w:rPr>
                <w:rFonts w:hint="eastAsia" w:ascii="Times New Roman Regular" w:hAnsi="Times New Roman Regular" w:cs="Times New Roman Regular"/>
                <w:color w:val="181717" w:themeColor="background2" w:themeShade="1A"/>
                <w:kern w:val="0"/>
                <w:sz w:val="24"/>
                <w:szCs w:val="24"/>
                <w:lang w:eastAsia="zh-Hans" w:bidi="ar"/>
              </w:rPr>
              <w:t>重点帮教对象接送</w:t>
            </w:r>
            <w:r>
              <w:rPr>
                <w:rFonts w:hint="eastAsia" w:ascii="Times New Roman Regular" w:hAnsi="Times New Roman Regular" w:cs="Times New Roman Regular"/>
                <w:color w:val="181717" w:themeColor="background2" w:themeShade="1A"/>
                <w:kern w:val="0"/>
                <w:sz w:val="24"/>
                <w:szCs w:val="24"/>
                <w:lang w:val="en-US" w:eastAsia="zh-CN" w:bidi="ar"/>
              </w:rPr>
              <w:t>人数</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年度计划</w:t>
            </w:r>
            <w:r>
              <w:rPr>
                <w:rFonts w:hint="eastAsia" w:ascii="Times New Roman Regular" w:hAnsi="Times New Roman Regular" w:cs="Times New Roman Regular"/>
                <w:color w:val="181717" w:themeColor="background2" w:themeShade="1A"/>
                <w:kern w:val="0"/>
                <w:sz w:val="24"/>
                <w:szCs w:val="24"/>
                <w:lang w:eastAsia="zh-Hans" w:bidi="ar"/>
              </w:rPr>
              <w:t>重点帮教对象接送</w:t>
            </w:r>
            <w:r>
              <w:rPr>
                <w:rFonts w:hint="eastAsia" w:ascii="Times New Roman Regular" w:hAnsi="Times New Roman Regular" w:cs="Times New Roman Regular"/>
                <w:color w:val="181717" w:themeColor="background2" w:themeShade="1A"/>
                <w:kern w:val="0"/>
                <w:sz w:val="24"/>
                <w:szCs w:val="24"/>
                <w:lang w:val="en-US" w:eastAsia="zh-CN" w:bidi="ar"/>
              </w:rPr>
              <w:t>人数</w:t>
            </w:r>
            <w:r>
              <w:rPr>
                <w:rFonts w:ascii="Times New Roman Regular" w:hAnsi="Times New Roman Regular" w:cs="Times New Roman Regular"/>
                <w:color w:val="181717" w:themeColor="background2" w:themeShade="1A"/>
                <w:kern w:val="0"/>
                <w:sz w:val="24"/>
                <w:szCs w:val="24"/>
                <w:lang w:bidi="ar"/>
              </w:rPr>
              <w:t>）*100%，得分=</w:t>
            </w:r>
            <w:r>
              <w:rPr>
                <w:rFonts w:hint="eastAsia" w:ascii="Times New Roman Regular" w:hAnsi="Times New Roman Regular" w:cs="Times New Roman Regular"/>
                <w:color w:val="181717" w:themeColor="background2" w:themeShade="1A"/>
                <w:kern w:val="0"/>
                <w:sz w:val="24"/>
                <w:szCs w:val="24"/>
                <w:lang w:eastAsia="zh-Hans" w:bidi="ar"/>
              </w:rPr>
              <w:t>重点帮教对象接送率</w:t>
            </w:r>
            <w:r>
              <w:rPr>
                <w:rFonts w:ascii="Times New Roman Regular" w:hAnsi="Times New Roman Regular" w:cs="Times New Roman Regular"/>
                <w:color w:val="181717" w:themeColor="background2" w:themeShade="1A"/>
                <w:kern w:val="0"/>
                <w:sz w:val="24"/>
                <w:szCs w:val="24"/>
                <w:lang w:bidi="ar"/>
              </w:rPr>
              <w:t>*权重。</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1635" w:hRule="atLeast"/>
        </w:trPr>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eastAsia="zh-Hans" w:bidi="ar"/>
              </w:rPr>
              <w:t>影响安全稳定的重大案件</w:t>
            </w:r>
            <w:r>
              <w:rPr>
                <w:rFonts w:hint="eastAsia" w:ascii="Times New Roman Regular" w:hAnsi="Times New Roman Regular" w:cs="Times New Roman Regular"/>
                <w:color w:val="181717" w:themeColor="background2" w:themeShade="1A"/>
                <w:kern w:val="0"/>
                <w:sz w:val="24"/>
                <w:szCs w:val="24"/>
                <w:lang w:val="en-US" w:eastAsia="zh-CN" w:bidi="ar"/>
              </w:rPr>
              <w:t>发生率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eastAsia="zh-Hans" w:bidi="ar"/>
              </w:rPr>
              <w:t>影响安全稳定的重大案件</w:t>
            </w:r>
            <w:r>
              <w:rPr>
                <w:rFonts w:hint="eastAsia" w:ascii="Times New Roman Regular" w:hAnsi="Times New Roman Regular" w:cs="Times New Roman Regular"/>
                <w:color w:val="181717" w:themeColor="background2" w:themeShade="1A"/>
                <w:kern w:val="0"/>
                <w:sz w:val="24"/>
                <w:szCs w:val="24"/>
                <w:lang w:val="en-US" w:eastAsia="zh-CN" w:bidi="ar"/>
              </w:rPr>
              <w:t>发生</w:t>
            </w:r>
            <w:r>
              <w:rPr>
                <w:rFonts w:ascii="Times New Roman Regular" w:hAnsi="Times New Roman Regular" w:cs="Times New Roman Regular"/>
                <w:color w:val="181717" w:themeColor="background2" w:themeShade="1A"/>
                <w:kern w:val="0"/>
                <w:sz w:val="24"/>
                <w:szCs w:val="24"/>
                <w:lang w:bidi="ar"/>
              </w:rPr>
              <w:t>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hint="eastAsia" w:ascii="Times New Roman Regular" w:hAnsi="Times New Roman Regular" w:eastAsia="仿宋_GB2312" w:cs="Times New Roman Regular"/>
                <w:color w:val="181717" w:themeColor="background2" w:themeShade="1A"/>
                <w:sz w:val="24"/>
                <w:szCs w:val="24"/>
                <w:lang w:val="en-US" w:eastAsia="zh-CN"/>
              </w:rPr>
            </w:pPr>
            <w:r>
              <w:rPr>
                <w:rFonts w:hint="eastAsia" w:ascii="Times New Roman Regular" w:hAnsi="Times New Roman Regular" w:cs="Times New Roman Regular"/>
                <w:color w:val="181717" w:themeColor="background2" w:themeShade="1A"/>
                <w:kern w:val="0"/>
                <w:sz w:val="24"/>
                <w:szCs w:val="24"/>
                <w:lang w:val="en-US" w:eastAsia="zh-CN" w:bidi="ar"/>
              </w:rPr>
              <w:t>无</w:t>
            </w:r>
            <w:r>
              <w:rPr>
                <w:rFonts w:hint="eastAsia" w:ascii="Times New Roman Regular" w:hAnsi="Times New Roman Regular" w:cs="Times New Roman Regular"/>
                <w:color w:val="181717" w:themeColor="background2" w:themeShade="1A"/>
                <w:kern w:val="0"/>
                <w:sz w:val="24"/>
                <w:szCs w:val="24"/>
                <w:lang w:eastAsia="zh-Hans" w:bidi="ar"/>
              </w:rPr>
              <w:t>影响安全稳定的重大案件</w:t>
            </w:r>
            <w:r>
              <w:rPr>
                <w:rFonts w:hint="eastAsia" w:ascii="Times New Roman Regular" w:hAnsi="Times New Roman Regular" w:cs="Times New Roman Regular"/>
                <w:color w:val="181717" w:themeColor="background2" w:themeShade="1A"/>
                <w:kern w:val="0"/>
                <w:sz w:val="24"/>
                <w:szCs w:val="24"/>
                <w:lang w:val="en-US" w:eastAsia="zh-CN" w:bidi="ar"/>
              </w:rPr>
              <w:t>发生得满分，若出现</w:t>
            </w:r>
            <w:r>
              <w:rPr>
                <w:rFonts w:hint="eastAsia" w:ascii="Times New Roman Regular" w:hAnsi="Times New Roman Regular" w:cs="Times New Roman Regular"/>
                <w:color w:val="181717" w:themeColor="background2" w:themeShade="1A"/>
                <w:kern w:val="0"/>
                <w:sz w:val="24"/>
                <w:szCs w:val="24"/>
                <w:lang w:eastAsia="zh-Hans" w:bidi="ar"/>
              </w:rPr>
              <w:t>影响安全稳定的重大案件</w:t>
            </w:r>
            <w:r>
              <w:rPr>
                <w:rFonts w:hint="eastAsia" w:ascii="Times New Roman Regular" w:hAnsi="Times New Roman Regular" w:cs="Times New Roman Regular"/>
                <w:color w:val="181717" w:themeColor="background2" w:themeShade="1A"/>
                <w:kern w:val="0"/>
                <w:sz w:val="24"/>
                <w:szCs w:val="24"/>
                <w:lang w:val="en-US" w:eastAsia="zh-CN" w:bidi="ar"/>
              </w:rPr>
              <w:t>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bookmarkStart w:id="62" w:name="_Toc303304190_WPSOffice_Level1"/>
            <w:r>
              <w:rPr>
                <w:rFonts w:ascii="Times New Roman Regular" w:hAnsi="Times New Roman Regular" w:cs="Times New Roman Regular"/>
                <w:color w:val="181717" w:themeColor="background2" w:themeShade="1A"/>
                <w:kern w:val="0"/>
                <w:sz w:val="24"/>
                <w:szCs w:val="24"/>
                <w:lang w:bidi="ar"/>
              </w:rPr>
              <w:t>2</w:t>
            </w:r>
          </w:p>
          <w:bookmarkEnd w:id="62"/>
        </w:tc>
        <w:bookmarkStart w:id="63" w:name="_Toc1814826968_WPSOffice_Level1"/>
      </w:tr>
      <w:bookmarkEnd w:id="63"/>
      <w:tr>
        <w:tblPrEx>
          <w:tblCellMar>
            <w:top w:w="15" w:type="dxa"/>
            <w:left w:w="15" w:type="dxa"/>
            <w:bottom w:w="15" w:type="dxa"/>
            <w:right w:w="15" w:type="dxa"/>
          </w:tblCellMar>
        </w:tblPrEx>
        <w:trPr>
          <w:trHeight w:val="1020" w:hRule="atLeast"/>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产出时效</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bookmarkStart w:id="64" w:name="_Toc862935555_WPSOffice_Level1"/>
            <w:r>
              <w:rPr>
                <w:rFonts w:hint="eastAsia" w:ascii="Times New Roman Regular" w:hAnsi="Times New Roman Regular" w:cs="Times New Roman Regular"/>
                <w:color w:val="181717" w:themeColor="background2" w:themeShade="1A"/>
                <w:kern w:val="0"/>
                <w:sz w:val="24"/>
                <w:szCs w:val="24"/>
                <w:lang w:val="en-US" w:eastAsia="zh-CN" w:bidi="ar"/>
              </w:rPr>
              <w:t>深圳市社区矫正信息化核查系统升级改造</w:t>
            </w:r>
            <w:r>
              <w:rPr>
                <w:rFonts w:ascii="Times New Roman Regular" w:hAnsi="Times New Roman Regular" w:cs="Times New Roman Regular"/>
                <w:color w:val="181717" w:themeColor="background2" w:themeShade="1A"/>
                <w:kern w:val="0"/>
                <w:sz w:val="24"/>
                <w:szCs w:val="24"/>
                <w:lang w:eastAsia="zh-Hans" w:bidi="ar"/>
              </w:rPr>
              <w:t>完成及时性</w:t>
            </w:r>
          </w:p>
        </w:tc>
        <w:tc>
          <w:tcPr>
            <w:tcW w:w="30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bookmarkEnd w:id="64"/>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深圳市社区矫正信息化核查系统是否及时完成升级改造</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hint="default" w:ascii="Times New Roman Regular" w:hAnsi="Times New Roman Regular" w:cs="Times New Roman Regular"/>
                <w:color w:val="181717" w:themeColor="background2" w:themeShade="1A"/>
                <w:kern w:val="0"/>
                <w:sz w:val="24"/>
                <w:szCs w:val="24"/>
                <w:lang w:val="en-US" w:eastAsia="zh-CN" w:bidi="ar"/>
              </w:rPr>
            </w:pPr>
            <w:bookmarkStart w:id="65" w:name="_Toc625848628_WPSOffice_Level1"/>
            <w:r>
              <w:rPr>
                <w:rFonts w:hint="eastAsia" w:ascii="Times New Roman Regular" w:hAnsi="Times New Roman Regular" w:cs="Times New Roman Regular"/>
                <w:color w:val="181717" w:themeColor="background2" w:themeShade="1A"/>
                <w:kern w:val="0"/>
                <w:sz w:val="24"/>
                <w:szCs w:val="24"/>
                <w:lang w:val="en-US" w:eastAsia="zh-CN" w:bidi="ar"/>
              </w:rPr>
              <w:t>在计划时间内完成深圳市社区矫正信息化核查系统升级改造工作得满分，超时完成不得分。</w:t>
            </w:r>
          </w:p>
          <w:bookmarkEnd w:id="65"/>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社工聘用完成</w:t>
            </w:r>
            <w:r>
              <w:rPr>
                <w:rFonts w:ascii="Times New Roman Regular" w:hAnsi="Times New Roman Regular" w:cs="Times New Roman Regular"/>
                <w:color w:val="181717" w:themeColor="background2" w:themeShade="1A"/>
                <w:kern w:val="0"/>
                <w:sz w:val="24"/>
                <w:szCs w:val="24"/>
                <w:lang w:eastAsia="zh-Hans" w:bidi="ar"/>
              </w:rPr>
              <w:t>及时性</w:t>
            </w:r>
          </w:p>
        </w:tc>
        <w:tc>
          <w:tcPr>
            <w:tcW w:w="30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是否及时完成社工聘用</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hint="eastAsia" w:ascii="Times New Roman Regular" w:hAnsi="Times New Roman Regular" w:cs="Times New Roman Regular"/>
                <w:color w:val="181717" w:themeColor="background2" w:themeShade="1A"/>
                <w:kern w:val="0"/>
                <w:sz w:val="24"/>
                <w:szCs w:val="24"/>
                <w:lang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在计划时间内完成社工聘用得满分，超时完成不得分。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textAlignment w:val="center"/>
              <w:rPr>
                <w:rFonts w:hint="default"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val="en-US" w:eastAsia="zh-CN" w:bidi="ar"/>
              </w:rPr>
              <w:t>社矫宣传视频制作完成</w:t>
            </w:r>
            <w:r>
              <w:rPr>
                <w:rFonts w:ascii="Times New Roman Regular" w:hAnsi="Times New Roman Regular" w:cs="Times New Roman Regular"/>
                <w:color w:val="181717" w:themeColor="background2" w:themeShade="1A"/>
                <w:kern w:val="0"/>
                <w:sz w:val="24"/>
                <w:szCs w:val="24"/>
                <w:lang w:eastAsia="zh-Hans" w:bidi="ar"/>
              </w:rPr>
              <w:t>及时性</w:t>
            </w:r>
          </w:p>
        </w:tc>
        <w:tc>
          <w:tcPr>
            <w:tcW w:w="30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社矫宣传视频的是否及时完成制作</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在计划时间内完成社矫宣传视频制作工作得满分，超时完成不得分。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auto" w:sz="4" w:space="0"/>
              <w:left w:val="single" w:color="auto"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社区矫正对象教育学习项目成果印制</w:t>
            </w:r>
            <w:r>
              <w:rPr>
                <w:rFonts w:hint="eastAsia" w:ascii="Times New Roman Regular" w:hAnsi="Times New Roman Regular" w:cs="Times New Roman Regular"/>
                <w:color w:val="181717" w:themeColor="background2" w:themeShade="1A"/>
                <w:kern w:val="0"/>
                <w:sz w:val="24"/>
                <w:szCs w:val="24"/>
                <w:lang w:val="en-US" w:eastAsia="zh-CN" w:bidi="ar"/>
              </w:rPr>
              <w:t>完成</w:t>
            </w:r>
            <w:r>
              <w:rPr>
                <w:rFonts w:ascii="Times New Roman Regular" w:hAnsi="Times New Roman Regular" w:cs="Times New Roman Regular"/>
                <w:color w:val="181717" w:themeColor="background2" w:themeShade="1A"/>
                <w:kern w:val="0"/>
                <w:sz w:val="24"/>
                <w:szCs w:val="24"/>
                <w:lang w:eastAsia="zh-Hans" w:bidi="ar"/>
              </w:rPr>
              <w:t>及时性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w:t>
            </w:r>
            <w:r>
              <w:rPr>
                <w:rFonts w:hint="eastAsia" w:ascii="Times New Roman Regular" w:hAnsi="Times New Roman Regular" w:cs="Times New Roman Regular"/>
                <w:color w:val="181717" w:themeColor="background2" w:themeShade="1A"/>
                <w:kern w:val="0"/>
                <w:sz w:val="24"/>
                <w:szCs w:val="24"/>
                <w:lang w:val="en-US" w:eastAsia="zh-CN" w:bidi="ar"/>
              </w:rPr>
              <w:t>是否及时完成印制</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在计划时间内完成</w:t>
            </w:r>
            <w:r>
              <w:rPr>
                <w:rFonts w:hint="eastAsia" w:ascii="Times New Roman Regular" w:hAnsi="Times New Roman Regular" w:cs="Times New Roman Regular"/>
                <w:color w:val="181717" w:themeColor="background2" w:themeShade="1A"/>
                <w:kern w:val="0"/>
                <w:sz w:val="24"/>
                <w:szCs w:val="24"/>
                <w:lang w:eastAsia="zh-Hans" w:bidi="ar"/>
              </w:rPr>
              <w:t>社区矫正对象教育学习项目成果印制</w:t>
            </w:r>
            <w:r>
              <w:rPr>
                <w:rFonts w:hint="eastAsia" w:ascii="Times New Roman Regular" w:hAnsi="Times New Roman Regular" w:cs="Times New Roman Regular"/>
                <w:color w:val="181717" w:themeColor="background2" w:themeShade="1A"/>
                <w:kern w:val="0"/>
                <w:sz w:val="24"/>
                <w:szCs w:val="24"/>
                <w:lang w:val="en-US" w:eastAsia="zh-CN" w:bidi="ar"/>
              </w:rPr>
              <w:t>工作得满分，超时完成不得分。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0</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left w:val="single" w:color="auto"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完成</w:t>
            </w:r>
            <w:r>
              <w:rPr>
                <w:rFonts w:ascii="Times New Roman Regular" w:hAnsi="Times New Roman Regular" w:cs="Times New Roman Regular"/>
                <w:color w:val="181717" w:themeColor="background2" w:themeShade="1A"/>
                <w:kern w:val="0"/>
                <w:sz w:val="24"/>
                <w:szCs w:val="24"/>
                <w:lang w:eastAsia="zh-Hans" w:bidi="ar"/>
              </w:rPr>
              <w:t>及时性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是否及时完成</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在计划时间内完成</w:t>
            </w:r>
            <w:r>
              <w:rPr>
                <w:rFonts w:hint="eastAsia" w:ascii="Times New Roman Regular" w:hAnsi="Times New Roman Regular" w:cs="Times New Roman Regular"/>
                <w:color w:val="181717" w:themeColor="background2" w:themeShade="1A"/>
                <w:kern w:val="0"/>
                <w:sz w:val="24"/>
                <w:szCs w:val="24"/>
                <w:lang w:eastAsia="zh-Hans" w:bidi="ar"/>
              </w:rPr>
              <w:t>社区矫正对象专项检查</w:t>
            </w:r>
            <w:r>
              <w:rPr>
                <w:rFonts w:hint="eastAsia" w:ascii="Times New Roman Regular" w:hAnsi="Times New Roman Regular" w:cs="Times New Roman Regular"/>
                <w:color w:val="181717" w:themeColor="background2" w:themeShade="1A"/>
                <w:kern w:val="0"/>
                <w:sz w:val="24"/>
                <w:szCs w:val="24"/>
                <w:lang w:val="en-US" w:eastAsia="zh-CN" w:bidi="ar"/>
              </w:rPr>
              <w:t>工作得满分，超时完成不得分。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left w:val="single" w:color="auto"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eastAsia="仿宋_GB2312" w:cs="Times New Roman Regular"/>
                <w:color w:val="181717" w:themeColor="background2" w:themeShade="1A"/>
                <w:kern w:val="0"/>
                <w:sz w:val="24"/>
                <w:szCs w:val="24"/>
                <w:lang w:val="en-US" w:eastAsia="zh-Hans" w:bidi="ar"/>
              </w:rPr>
            </w:pP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w:t>
            </w:r>
            <w:r>
              <w:rPr>
                <w:rFonts w:ascii="Times New Roman Regular" w:hAnsi="Times New Roman Regular" w:cs="Times New Roman Regular"/>
                <w:color w:val="181717" w:themeColor="background2" w:themeShade="1A"/>
                <w:kern w:val="0"/>
                <w:sz w:val="24"/>
                <w:szCs w:val="24"/>
                <w:lang w:eastAsia="zh-Hans" w:bidi="ar"/>
              </w:rPr>
              <w:t>及时性</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2</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考察</w:t>
            </w: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是否及时签订</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kern w:val="0"/>
                <w:sz w:val="24"/>
                <w:szCs w:val="24"/>
                <w:lang w:bidi="ar"/>
              </w:rPr>
            </w:pPr>
            <w:r>
              <w:rPr>
                <w:rFonts w:hint="eastAsia" w:ascii="Times New Roman Regular" w:hAnsi="Times New Roman Regular" w:cs="Times New Roman Regular"/>
                <w:color w:val="181717" w:themeColor="background2" w:themeShade="1A"/>
                <w:kern w:val="0"/>
                <w:sz w:val="24"/>
                <w:szCs w:val="24"/>
                <w:lang w:val="en-US" w:eastAsia="zh-CN" w:bidi="ar"/>
              </w:rPr>
              <w:t>在计划时间内完成</w:t>
            </w:r>
            <w:r>
              <w:rPr>
                <w:rFonts w:hint="default" w:ascii="Times New Roman Regular" w:hAnsi="Times New Roman Regular" w:cs="Times New Roman Regular"/>
                <w:color w:val="181717" w:themeColor="background2" w:themeShade="1A"/>
                <w:kern w:val="0"/>
                <w:sz w:val="24"/>
                <w:szCs w:val="24"/>
                <w:lang w:val="en-US" w:eastAsia="zh-Hans" w:bidi="ar"/>
              </w:rPr>
              <w:t>信息化核查协议</w:t>
            </w:r>
            <w:r>
              <w:rPr>
                <w:rFonts w:hint="eastAsia" w:ascii="Times New Roman Regular" w:hAnsi="Times New Roman Regular" w:cs="Times New Roman Regular"/>
                <w:color w:val="181717" w:themeColor="background2" w:themeShade="1A"/>
                <w:kern w:val="0"/>
                <w:sz w:val="24"/>
                <w:szCs w:val="24"/>
                <w:lang w:val="en-US" w:eastAsia="zh-CN" w:bidi="ar"/>
              </w:rPr>
              <w:t>签订工作得满分，超时完成不得分。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kern w:val="0"/>
                <w:sz w:val="24"/>
                <w:szCs w:val="24"/>
                <w:lang w:bidi="ar"/>
              </w:rPr>
            </w:pPr>
            <w:r>
              <w:rPr>
                <w:rFonts w:ascii="Times New Roman Regular" w:hAnsi="Times New Roman Regular" w:cs="Times New Roman Regular"/>
                <w:color w:val="181717" w:themeColor="background2" w:themeShade="1A"/>
                <w:kern w:val="0"/>
                <w:sz w:val="24"/>
                <w:szCs w:val="24"/>
                <w:lang w:bidi="ar"/>
              </w:rPr>
              <w:t>2</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产出成本</w:t>
            </w:r>
          </w:p>
        </w:tc>
        <w:tc>
          <w:tcPr>
            <w:tcW w:w="45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ascii="Times New Roman Regular" w:hAnsi="Times New Roman Regular" w:cs="Times New Roman Regular"/>
                <w:color w:val="181717" w:themeColor="background2" w:themeShade="1A"/>
                <w:sz w:val="24"/>
                <w:szCs w:val="24"/>
              </w:rPr>
            </w:pPr>
            <w:r>
              <w:rPr>
                <w:rFonts w:hint="eastAsia" w:ascii="宋体" w:hAnsi="宋体"/>
                <w:color w:val="000000"/>
                <w:kern w:val="0"/>
                <w:sz w:val="22"/>
                <w:szCs w:val="22"/>
              </w:rPr>
              <w:t>成本节约率</w:t>
            </w:r>
          </w:p>
        </w:tc>
        <w:tc>
          <w:tcPr>
            <w:tcW w:w="30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ascii="Times New Roman Regular" w:hAnsi="Times New Roman Regular" w:cs="Times New Roman Regular"/>
                <w:color w:val="181717" w:themeColor="background2" w:themeShade="1A"/>
                <w:sz w:val="24"/>
                <w:szCs w:val="24"/>
              </w:rPr>
            </w:pPr>
            <w:r>
              <w:rPr>
                <w:rFonts w:hint="eastAsia" w:ascii="宋体" w:hAnsi="宋体"/>
                <w:color w:val="000000"/>
                <w:kern w:val="0"/>
                <w:sz w:val="22"/>
                <w:szCs w:val="22"/>
              </w:rPr>
              <w:t>完成项目计划工作目标的实际节约成本与计划成本的比率，用以反映和考核项目的成本节约程度。</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ascii="Times New Roman Regular" w:hAnsi="Times New Roman Regular" w:cs="Times New Roman Regular"/>
                <w:color w:val="181717" w:themeColor="background2" w:themeShade="1A"/>
                <w:sz w:val="24"/>
                <w:szCs w:val="24"/>
              </w:rPr>
            </w:pPr>
            <w:r>
              <w:rPr>
                <w:rFonts w:hint="eastAsia" w:ascii="宋体" w:hAnsi="宋体"/>
                <w:color w:val="000000"/>
                <w:kern w:val="0"/>
                <w:sz w:val="22"/>
                <w:szCs w:val="22"/>
              </w:rPr>
              <w:br w:type="textWrapping"/>
            </w:r>
            <w:r>
              <w:rPr>
                <w:rFonts w:hint="eastAsia" w:ascii="宋体" w:hAnsi="宋体"/>
                <w:color w:val="000000"/>
                <w:kern w:val="0"/>
                <w:sz w:val="22"/>
                <w:szCs w:val="22"/>
              </w:rPr>
              <w:t>成本节约率=[（计划成本-实际成本）/计划成本]×100%。</w:t>
            </w:r>
            <w:r>
              <w:rPr>
                <w:rFonts w:hint="eastAsia" w:ascii="宋体" w:hAnsi="宋体"/>
                <w:color w:val="000000"/>
                <w:kern w:val="0"/>
                <w:sz w:val="22"/>
                <w:szCs w:val="22"/>
              </w:rPr>
              <w:br w:type="textWrapping"/>
            </w:r>
            <w:r>
              <w:rPr>
                <w:rFonts w:hint="eastAsia" w:ascii="宋体" w:hAnsi="宋体"/>
                <w:color w:val="000000"/>
                <w:kern w:val="0"/>
                <w:sz w:val="22"/>
                <w:szCs w:val="22"/>
              </w:rPr>
              <w:t>实际成本：项目实施单位如期、保质、保量完成既定工作目标实际所耗费的支出。</w:t>
            </w:r>
            <w:r>
              <w:rPr>
                <w:rFonts w:hint="eastAsia" w:ascii="宋体" w:hAnsi="宋体"/>
                <w:color w:val="000000"/>
                <w:kern w:val="0"/>
                <w:sz w:val="22"/>
                <w:szCs w:val="22"/>
              </w:rPr>
              <w:br w:type="textWrapping"/>
            </w:r>
            <w:r>
              <w:rPr>
                <w:rFonts w:hint="eastAsia" w:ascii="宋体" w:hAnsi="宋体"/>
                <w:color w:val="000000"/>
                <w:kern w:val="0"/>
                <w:sz w:val="22"/>
                <w:szCs w:val="22"/>
              </w:rPr>
              <w:t>计划成本：项目实施单位为完成工作目标计划安排的支出，一般以项目预算为参考。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5</w:t>
            </w:r>
          </w:p>
        </w:tc>
      </w:tr>
      <w:tr>
        <w:tblPrEx>
          <w:tblCellMar>
            <w:top w:w="15" w:type="dxa"/>
            <w:left w:w="15" w:type="dxa"/>
            <w:bottom w:w="15" w:type="dxa"/>
            <w:right w:w="15" w:type="dxa"/>
          </w:tblCellMar>
        </w:tblPrEx>
        <w:trPr>
          <w:trHeight w:val="615" w:hRule="atLeast"/>
        </w:trPr>
        <w:tc>
          <w:tcPr>
            <w:tcW w:w="4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效益指标（23分）</w:t>
            </w:r>
          </w:p>
        </w:tc>
        <w:tc>
          <w:tcPr>
            <w:tcW w:w="4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社会效益指标</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eastAsia="zh-Hans" w:bidi="ar"/>
              </w:rPr>
              <w:t>维护我市社会和谐稳定</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5</w:t>
            </w:r>
          </w:p>
        </w:tc>
        <w:tc>
          <w:tcPr>
            <w:tcW w:w="106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项目的实施，能否有效</w:t>
            </w:r>
            <w:r>
              <w:rPr>
                <w:rFonts w:hint="eastAsia" w:ascii="Times New Roman Regular" w:hAnsi="Times New Roman Regular" w:cs="Times New Roman Regular"/>
                <w:color w:val="181717" w:themeColor="background2" w:themeShade="1A"/>
                <w:kern w:val="0"/>
                <w:sz w:val="24"/>
                <w:szCs w:val="24"/>
                <w:lang w:eastAsia="zh-Hans" w:bidi="ar"/>
              </w:rPr>
              <w:t>维护我市社会和谐稳定</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项目的实施</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对</w:t>
            </w:r>
            <w:r>
              <w:rPr>
                <w:rFonts w:hint="eastAsia" w:ascii="Times New Roman Regular" w:hAnsi="Times New Roman Regular" w:cs="Times New Roman Regular"/>
                <w:color w:val="181717" w:themeColor="background2" w:themeShade="1A"/>
                <w:kern w:val="0"/>
                <w:sz w:val="24"/>
                <w:szCs w:val="24"/>
                <w:lang w:eastAsia="zh-Hans" w:bidi="ar"/>
              </w:rPr>
              <w:t>维护我市社会和谐稳定</w:t>
            </w:r>
            <w:r>
              <w:rPr>
                <w:rFonts w:hint="eastAsia" w:ascii="Times New Roman Regular" w:hAnsi="Times New Roman Regular" w:cs="Times New Roman Regular"/>
                <w:color w:val="181717" w:themeColor="background2" w:themeShade="1A"/>
                <w:kern w:val="0"/>
                <w:sz w:val="24"/>
                <w:szCs w:val="24"/>
                <w:lang w:val="en-US" w:eastAsia="zh-CN" w:bidi="ar"/>
              </w:rPr>
              <w:t>起到积极作用</w:t>
            </w:r>
            <w:r>
              <w:rPr>
                <w:rFonts w:hint="eastAsia" w:ascii="Times New Roman Regular" w:hAnsi="Times New Roman Regular" w:cs="Times New Roman Regular"/>
                <w:color w:val="181717" w:themeColor="background2" w:themeShade="1A"/>
                <w:kern w:val="0"/>
                <w:sz w:val="24"/>
                <w:szCs w:val="24"/>
                <w:lang w:eastAsia="zh-CN" w:bidi="ar"/>
              </w:rPr>
              <w:t>，</w:t>
            </w:r>
            <w:r>
              <w:rPr>
                <w:rFonts w:hint="eastAsia" w:ascii="Times New Roman Regular" w:hAnsi="Times New Roman Regular" w:cs="Times New Roman Regular"/>
                <w:color w:val="181717" w:themeColor="background2" w:themeShade="1A"/>
                <w:kern w:val="0"/>
                <w:sz w:val="24"/>
                <w:szCs w:val="24"/>
                <w:lang w:val="en-US" w:eastAsia="zh-CN" w:bidi="ar"/>
              </w:rPr>
              <w:t>效果明显</w:t>
            </w:r>
            <w:r>
              <w:rPr>
                <w:rFonts w:ascii="Times New Roman Regular" w:hAnsi="Times New Roman Regular" w:cs="Times New Roman Regular"/>
                <w:color w:val="181717" w:themeColor="background2" w:themeShade="1A"/>
                <w:kern w:val="0"/>
                <w:sz w:val="24"/>
                <w:szCs w:val="24"/>
                <w:lang w:bidi="ar"/>
              </w:rPr>
              <w:t>该指标得满分，</w:t>
            </w:r>
            <w:r>
              <w:rPr>
                <w:rFonts w:hint="eastAsia" w:ascii="Times New Roman Regular" w:hAnsi="Times New Roman Regular" w:cs="Times New Roman Regular"/>
                <w:color w:val="181717" w:themeColor="background2" w:themeShade="1A"/>
                <w:kern w:val="0"/>
                <w:sz w:val="24"/>
                <w:szCs w:val="24"/>
                <w:lang w:val="en-US" w:eastAsia="zh-CN" w:bidi="ar"/>
              </w:rPr>
              <w:t>效果一般酌情扣分，没有效果</w:t>
            </w:r>
            <w:r>
              <w:rPr>
                <w:rFonts w:ascii="Times New Roman Regular" w:hAnsi="Times New Roman Regular" w:cs="Times New Roman Regular"/>
                <w:color w:val="181717" w:themeColor="background2" w:themeShade="1A"/>
                <w:kern w:val="0"/>
                <w:sz w:val="24"/>
                <w:szCs w:val="24"/>
                <w:lang w:bidi="ar"/>
              </w:rPr>
              <w:t>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5</w:t>
            </w:r>
          </w:p>
        </w:tc>
      </w:tr>
      <w:tr>
        <w:tblPrEx>
          <w:tblCellMar>
            <w:top w:w="15" w:type="dxa"/>
            <w:left w:w="15" w:type="dxa"/>
            <w:bottom w:w="15" w:type="dxa"/>
            <w:right w:w="15" w:type="dxa"/>
          </w:tblCellMar>
        </w:tblPrEx>
        <w:trPr>
          <w:trHeight w:val="615" w:hRule="atLeast"/>
        </w:trPr>
        <w:tc>
          <w:tcPr>
            <w:tcW w:w="449"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top w:val="single" w:color="auto" w:sz="4" w:space="0"/>
              <w:left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推动</w:t>
            </w:r>
            <w:r>
              <w:rPr>
                <w:rFonts w:hint="eastAsia" w:ascii="Times New Roman Regular" w:hAnsi="Times New Roman Regular" w:cs="Times New Roman Regular"/>
                <w:color w:val="181717" w:themeColor="background2" w:themeShade="1A"/>
                <w:kern w:val="0"/>
                <w:sz w:val="24"/>
                <w:szCs w:val="24"/>
                <w:lang w:eastAsia="zh-Hans" w:bidi="ar"/>
              </w:rPr>
              <w:t>社矫法宣传贯彻</w:t>
            </w:r>
          </w:p>
        </w:tc>
        <w:tc>
          <w:tcPr>
            <w:tcW w:w="30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项目的实施，能否有效推动</w:t>
            </w:r>
            <w:r>
              <w:rPr>
                <w:rFonts w:hint="eastAsia" w:ascii="Times New Roman Regular" w:hAnsi="Times New Roman Regular" w:cs="Times New Roman Regular"/>
                <w:color w:val="181717" w:themeColor="background2" w:themeShade="1A"/>
                <w:kern w:val="0"/>
                <w:sz w:val="24"/>
                <w:szCs w:val="24"/>
                <w:lang w:eastAsia="zh-Hans" w:bidi="ar"/>
              </w:rPr>
              <w:t>社矫法宣传贯彻</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项目的实施</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对推动</w:t>
            </w:r>
            <w:r>
              <w:rPr>
                <w:rFonts w:hint="eastAsia" w:ascii="Times New Roman Regular" w:hAnsi="Times New Roman Regular" w:cs="Times New Roman Regular"/>
                <w:color w:val="181717" w:themeColor="background2" w:themeShade="1A"/>
                <w:kern w:val="0"/>
                <w:sz w:val="24"/>
                <w:szCs w:val="24"/>
                <w:lang w:eastAsia="zh-Hans" w:bidi="ar"/>
              </w:rPr>
              <w:t>社矫法宣传贯彻</w:t>
            </w:r>
            <w:r>
              <w:rPr>
                <w:rFonts w:hint="eastAsia" w:ascii="Times New Roman Regular" w:hAnsi="Times New Roman Regular" w:cs="Times New Roman Regular"/>
                <w:color w:val="181717" w:themeColor="background2" w:themeShade="1A"/>
                <w:kern w:val="0"/>
                <w:sz w:val="24"/>
                <w:szCs w:val="24"/>
                <w:lang w:val="en-US" w:eastAsia="zh-CN" w:bidi="ar"/>
              </w:rPr>
              <w:t>起到积极作用</w:t>
            </w:r>
            <w:r>
              <w:rPr>
                <w:rFonts w:hint="eastAsia" w:ascii="Times New Roman Regular" w:hAnsi="Times New Roman Regular" w:cs="Times New Roman Regular"/>
                <w:color w:val="181717" w:themeColor="background2" w:themeShade="1A"/>
                <w:kern w:val="0"/>
                <w:sz w:val="24"/>
                <w:szCs w:val="24"/>
                <w:lang w:eastAsia="zh-CN" w:bidi="ar"/>
              </w:rPr>
              <w:t>，</w:t>
            </w:r>
            <w:r>
              <w:rPr>
                <w:rFonts w:hint="eastAsia" w:ascii="Times New Roman Regular" w:hAnsi="Times New Roman Regular" w:cs="Times New Roman Regular"/>
                <w:color w:val="181717" w:themeColor="background2" w:themeShade="1A"/>
                <w:kern w:val="0"/>
                <w:sz w:val="24"/>
                <w:szCs w:val="24"/>
                <w:lang w:val="en-US" w:eastAsia="zh-CN" w:bidi="ar"/>
              </w:rPr>
              <w:t>效果明显</w:t>
            </w:r>
            <w:r>
              <w:rPr>
                <w:rFonts w:ascii="Times New Roman Regular" w:hAnsi="Times New Roman Regular" w:cs="Times New Roman Regular"/>
                <w:color w:val="181717" w:themeColor="background2" w:themeShade="1A"/>
                <w:kern w:val="0"/>
                <w:sz w:val="24"/>
                <w:szCs w:val="24"/>
                <w:lang w:bidi="ar"/>
              </w:rPr>
              <w:t>该指标得满分，</w:t>
            </w:r>
            <w:r>
              <w:rPr>
                <w:rFonts w:hint="eastAsia" w:ascii="Times New Roman Regular" w:hAnsi="Times New Roman Regular" w:cs="Times New Roman Regular"/>
                <w:color w:val="181717" w:themeColor="background2" w:themeShade="1A"/>
                <w:kern w:val="0"/>
                <w:sz w:val="24"/>
                <w:szCs w:val="24"/>
                <w:lang w:val="en-US" w:eastAsia="zh-CN" w:bidi="ar"/>
              </w:rPr>
              <w:t>效果一般酌情扣分，没有效果</w:t>
            </w:r>
            <w:r>
              <w:rPr>
                <w:rFonts w:ascii="Times New Roman Regular" w:hAnsi="Times New Roman Regular" w:cs="Times New Roman Regular"/>
                <w:color w:val="181717" w:themeColor="background2" w:themeShade="1A"/>
                <w:kern w:val="0"/>
                <w:sz w:val="24"/>
                <w:szCs w:val="24"/>
                <w:lang w:bidi="ar"/>
              </w:rPr>
              <w:t>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5</w:t>
            </w:r>
          </w:p>
        </w:tc>
      </w:tr>
      <w:tr>
        <w:tblPrEx>
          <w:tblCellMar>
            <w:top w:w="15" w:type="dxa"/>
            <w:left w:w="15" w:type="dxa"/>
            <w:bottom w:w="15" w:type="dxa"/>
            <w:right w:w="15" w:type="dxa"/>
          </w:tblCellMar>
        </w:tblPrEx>
        <w:trPr>
          <w:trHeight w:val="615" w:hRule="atLeast"/>
        </w:trPr>
        <w:tc>
          <w:tcPr>
            <w:tcW w:w="449"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vMerge w:val="continue"/>
            <w:tcBorders>
              <w:left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eastAsia="zh-Hans" w:bidi="ar"/>
              </w:rPr>
              <w:t>完善</w:t>
            </w:r>
            <w:r>
              <w:rPr>
                <w:rFonts w:hint="eastAsia" w:ascii="Times New Roman Regular" w:hAnsi="Times New Roman Regular" w:cs="Times New Roman Regular"/>
                <w:color w:val="181717" w:themeColor="background2" w:themeShade="1A"/>
                <w:kern w:val="0"/>
                <w:sz w:val="24"/>
                <w:szCs w:val="24"/>
                <w:lang w:val="en-US" w:eastAsia="zh-CN" w:bidi="ar"/>
              </w:rPr>
              <w:t>社矫</w:t>
            </w:r>
            <w:r>
              <w:rPr>
                <w:rFonts w:hint="eastAsia" w:ascii="Times New Roman Regular" w:hAnsi="Times New Roman Regular" w:cs="Times New Roman Regular"/>
                <w:color w:val="181717" w:themeColor="background2" w:themeShade="1A"/>
                <w:kern w:val="0"/>
                <w:sz w:val="24"/>
                <w:szCs w:val="24"/>
                <w:lang w:eastAsia="zh-Hans" w:bidi="ar"/>
              </w:rPr>
              <w:t>工作机制</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5</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项目的实施，能否有效</w:t>
            </w:r>
            <w:r>
              <w:rPr>
                <w:rFonts w:hint="eastAsia" w:ascii="Times New Roman Regular" w:hAnsi="Times New Roman Regular" w:cs="Times New Roman Regular"/>
                <w:color w:val="181717" w:themeColor="background2" w:themeShade="1A"/>
                <w:kern w:val="0"/>
                <w:sz w:val="24"/>
                <w:szCs w:val="24"/>
                <w:lang w:eastAsia="zh-Hans" w:bidi="ar"/>
              </w:rPr>
              <w:t>完善</w:t>
            </w:r>
            <w:r>
              <w:rPr>
                <w:rFonts w:hint="eastAsia" w:ascii="Times New Roman Regular" w:hAnsi="Times New Roman Regular" w:cs="Times New Roman Regular"/>
                <w:color w:val="181717" w:themeColor="background2" w:themeShade="1A"/>
                <w:kern w:val="0"/>
                <w:sz w:val="24"/>
                <w:szCs w:val="24"/>
                <w:lang w:val="en-US" w:eastAsia="zh-CN" w:bidi="ar"/>
              </w:rPr>
              <w:t>社矫</w:t>
            </w:r>
            <w:r>
              <w:rPr>
                <w:rFonts w:hint="eastAsia" w:ascii="Times New Roman Regular" w:hAnsi="Times New Roman Regular" w:cs="Times New Roman Regular"/>
                <w:color w:val="181717" w:themeColor="background2" w:themeShade="1A"/>
                <w:kern w:val="0"/>
                <w:sz w:val="24"/>
                <w:szCs w:val="24"/>
                <w:lang w:eastAsia="zh-Hans" w:bidi="ar"/>
              </w:rPr>
              <w:t>工作机制</w:t>
            </w:r>
            <w:r>
              <w:rPr>
                <w:rFonts w:ascii="Times New Roman Regular" w:hAnsi="Times New Roman Regular" w:cs="Times New Roman Regular"/>
                <w:color w:val="181717" w:themeColor="background2" w:themeShade="1A"/>
                <w:kern w:val="0"/>
                <w:sz w:val="24"/>
                <w:szCs w:val="24"/>
                <w:lang w:bidi="ar"/>
              </w:rPr>
              <w:t>。</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项目的实施</w:t>
            </w:r>
            <w:r>
              <w:rPr>
                <w:rFonts w:ascii="Times New Roman Regular" w:hAnsi="Times New Roman Regular" w:cs="Times New Roman Regular"/>
                <w:color w:val="181717" w:themeColor="background2" w:themeShade="1A"/>
                <w:kern w:val="0"/>
                <w:sz w:val="24"/>
                <w:szCs w:val="24"/>
                <w:lang w:bidi="ar"/>
              </w:rPr>
              <w:t>，</w:t>
            </w:r>
            <w:r>
              <w:rPr>
                <w:rFonts w:hint="eastAsia" w:ascii="Times New Roman Regular" w:hAnsi="Times New Roman Regular" w:cs="Times New Roman Regular"/>
                <w:color w:val="181717" w:themeColor="background2" w:themeShade="1A"/>
                <w:kern w:val="0"/>
                <w:sz w:val="24"/>
                <w:szCs w:val="24"/>
                <w:lang w:val="en-US" w:eastAsia="zh-CN" w:bidi="ar"/>
              </w:rPr>
              <w:t>对</w:t>
            </w:r>
            <w:r>
              <w:rPr>
                <w:rFonts w:hint="eastAsia" w:ascii="Times New Roman Regular" w:hAnsi="Times New Roman Regular" w:cs="Times New Roman Regular"/>
                <w:color w:val="181717" w:themeColor="background2" w:themeShade="1A"/>
                <w:kern w:val="0"/>
                <w:sz w:val="24"/>
                <w:szCs w:val="24"/>
                <w:lang w:eastAsia="zh-Hans" w:bidi="ar"/>
              </w:rPr>
              <w:t>完善</w:t>
            </w:r>
            <w:r>
              <w:rPr>
                <w:rFonts w:hint="eastAsia" w:ascii="Times New Roman Regular" w:hAnsi="Times New Roman Regular" w:cs="Times New Roman Regular"/>
                <w:color w:val="181717" w:themeColor="background2" w:themeShade="1A"/>
                <w:kern w:val="0"/>
                <w:sz w:val="24"/>
                <w:szCs w:val="24"/>
                <w:lang w:val="en-US" w:eastAsia="zh-CN" w:bidi="ar"/>
              </w:rPr>
              <w:t>社矫</w:t>
            </w:r>
            <w:r>
              <w:rPr>
                <w:rFonts w:hint="eastAsia" w:ascii="Times New Roman Regular" w:hAnsi="Times New Roman Regular" w:cs="Times New Roman Regular"/>
                <w:color w:val="181717" w:themeColor="background2" w:themeShade="1A"/>
                <w:kern w:val="0"/>
                <w:sz w:val="24"/>
                <w:szCs w:val="24"/>
                <w:lang w:eastAsia="zh-Hans" w:bidi="ar"/>
              </w:rPr>
              <w:t>工作机制</w:t>
            </w:r>
            <w:r>
              <w:rPr>
                <w:rFonts w:hint="eastAsia" w:ascii="Times New Roman Regular" w:hAnsi="Times New Roman Regular" w:cs="Times New Roman Regular"/>
                <w:color w:val="181717" w:themeColor="background2" w:themeShade="1A"/>
                <w:kern w:val="0"/>
                <w:sz w:val="24"/>
                <w:szCs w:val="24"/>
                <w:lang w:val="en-US" w:eastAsia="zh-CN" w:bidi="ar"/>
              </w:rPr>
              <w:t>起到积极作用</w:t>
            </w:r>
            <w:r>
              <w:rPr>
                <w:rFonts w:hint="eastAsia" w:ascii="Times New Roman Regular" w:hAnsi="Times New Roman Regular" w:cs="Times New Roman Regular"/>
                <w:color w:val="181717" w:themeColor="background2" w:themeShade="1A"/>
                <w:kern w:val="0"/>
                <w:sz w:val="24"/>
                <w:szCs w:val="24"/>
                <w:lang w:eastAsia="zh-CN" w:bidi="ar"/>
              </w:rPr>
              <w:t>，</w:t>
            </w:r>
            <w:r>
              <w:rPr>
                <w:rFonts w:hint="eastAsia" w:ascii="Times New Roman Regular" w:hAnsi="Times New Roman Regular" w:cs="Times New Roman Regular"/>
                <w:color w:val="181717" w:themeColor="background2" w:themeShade="1A"/>
                <w:kern w:val="0"/>
                <w:sz w:val="24"/>
                <w:szCs w:val="24"/>
                <w:lang w:val="en-US" w:eastAsia="zh-CN" w:bidi="ar"/>
              </w:rPr>
              <w:t>效果明显</w:t>
            </w:r>
            <w:r>
              <w:rPr>
                <w:rFonts w:ascii="Times New Roman Regular" w:hAnsi="Times New Roman Regular" w:cs="Times New Roman Regular"/>
                <w:color w:val="181717" w:themeColor="background2" w:themeShade="1A"/>
                <w:kern w:val="0"/>
                <w:sz w:val="24"/>
                <w:szCs w:val="24"/>
                <w:lang w:bidi="ar"/>
              </w:rPr>
              <w:t>该指标得满分，</w:t>
            </w:r>
            <w:r>
              <w:rPr>
                <w:rFonts w:hint="eastAsia" w:ascii="Times New Roman Regular" w:hAnsi="Times New Roman Regular" w:cs="Times New Roman Regular"/>
                <w:color w:val="181717" w:themeColor="background2" w:themeShade="1A"/>
                <w:kern w:val="0"/>
                <w:sz w:val="24"/>
                <w:szCs w:val="24"/>
                <w:lang w:val="en-US" w:eastAsia="zh-CN" w:bidi="ar"/>
              </w:rPr>
              <w:t>效果一般酌情扣分，没有效果</w:t>
            </w:r>
            <w:r>
              <w:rPr>
                <w:rFonts w:ascii="Times New Roman Regular" w:hAnsi="Times New Roman Regular" w:cs="Times New Roman Regular"/>
                <w:color w:val="181717" w:themeColor="background2" w:themeShade="1A"/>
                <w:kern w:val="0"/>
                <w:sz w:val="24"/>
                <w:szCs w:val="24"/>
                <w:lang w:bidi="ar"/>
              </w:rPr>
              <w:t>不得分。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3</w:t>
            </w:r>
          </w:p>
        </w:tc>
      </w:tr>
      <w:tr>
        <w:tblPrEx>
          <w:tblCellMar>
            <w:top w:w="15" w:type="dxa"/>
            <w:left w:w="15" w:type="dxa"/>
            <w:bottom w:w="15" w:type="dxa"/>
            <w:right w:w="15" w:type="dxa"/>
          </w:tblCellMar>
        </w:tblPrEx>
        <w:trPr>
          <w:trHeight w:val="420" w:hRule="atLeast"/>
        </w:trPr>
        <w:tc>
          <w:tcPr>
            <w:tcW w:w="449"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rPr>
                <w:rFonts w:ascii="Times New Roman Regular" w:hAnsi="Times New Roman Regular" w:cs="Times New Roman Regular"/>
                <w:color w:val="181717" w:themeColor="background2" w:themeShade="1A"/>
                <w:sz w:val="24"/>
                <w:szCs w:val="24"/>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满意度指标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项目管理</w:t>
            </w:r>
            <w:r>
              <w:rPr>
                <w:rFonts w:ascii="Times New Roman Regular" w:hAnsi="Times New Roman Regular" w:cs="Times New Roman Regular"/>
                <w:color w:val="181717" w:themeColor="background2" w:themeShade="1A"/>
                <w:kern w:val="0"/>
                <w:sz w:val="24"/>
                <w:szCs w:val="24"/>
                <w:lang w:bidi="ar"/>
              </w:rPr>
              <w:t>人员满意度</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6</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ascii="Times New Roman Regular" w:hAnsi="Times New Roman Regular" w:cs="Times New Roman Regular"/>
                <w:color w:val="181717" w:themeColor="background2" w:themeShade="1A"/>
                <w:kern w:val="0"/>
                <w:sz w:val="24"/>
                <w:szCs w:val="24"/>
                <w:lang w:bidi="ar"/>
              </w:rPr>
              <w:t>考察</w:t>
            </w:r>
            <w:r>
              <w:rPr>
                <w:rFonts w:hint="eastAsia" w:ascii="Times New Roman Regular" w:hAnsi="Times New Roman Regular" w:cs="Times New Roman Regular"/>
                <w:color w:val="181717" w:themeColor="background2" w:themeShade="1A"/>
                <w:kern w:val="0"/>
                <w:sz w:val="24"/>
                <w:szCs w:val="24"/>
                <w:lang w:val="en-US" w:eastAsia="zh-CN" w:bidi="ar"/>
              </w:rPr>
              <w:t>项目管理人员</w:t>
            </w:r>
            <w:r>
              <w:rPr>
                <w:rFonts w:ascii="Times New Roman Regular" w:hAnsi="Times New Roman Regular" w:cs="Times New Roman Regular"/>
                <w:color w:val="181717" w:themeColor="background2" w:themeShade="1A"/>
                <w:kern w:val="0"/>
                <w:sz w:val="24"/>
                <w:szCs w:val="24"/>
                <w:lang w:bidi="ar"/>
              </w:rPr>
              <w:t>对项目实施的满意情况，</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项目管理</w:t>
            </w:r>
            <w:r>
              <w:rPr>
                <w:rFonts w:ascii="Times New Roman Regular" w:hAnsi="Times New Roman Regular" w:cs="Times New Roman Regular"/>
                <w:color w:val="181717" w:themeColor="background2" w:themeShade="1A"/>
                <w:kern w:val="0"/>
                <w:sz w:val="24"/>
                <w:szCs w:val="24"/>
                <w:lang w:bidi="ar"/>
              </w:rPr>
              <w:t>人员满意度≥95%，得满分；每降低1%扣0.1分，扣完为止。</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Regular" w:hAnsi="Times New Roman Regular" w:cs="Times New Roman Regular"/>
                <w:color w:val="181717" w:themeColor="background2" w:themeShade="1A"/>
                <w:sz w:val="24"/>
                <w:szCs w:val="24"/>
              </w:rPr>
            </w:pPr>
            <w:r>
              <w:rPr>
                <w:rFonts w:hint="eastAsia" w:ascii="Times New Roman Regular" w:hAnsi="Times New Roman Regular" w:cs="Times New Roman Regular"/>
                <w:color w:val="181717" w:themeColor="background2" w:themeShade="1A"/>
                <w:kern w:val="0"/>
                <w:sz w:val="24"/>
                <w:szCs w:val="24"/>
                <w:lang w:val="en-US" w:eastAsia="zh-CN" w:bidi="ar"/>
              </w:rPr>
              <w:t>6</w:t>
            </w:r>
          </w:p>
        </w:tc>
      </w:tr>
      <w:tr>
        <w:tblPrEx>
          <w:tblCellMar>
            <w:top w:w="15" w:type="dxa"/>
            <w:left w:w="15" w:type="dxa"/>
            <w:bottom w:w="15" w:type="dxa"/>
            <w:right w:w="15" w:type="dxa"/>
          </w:tblCellMar>
        </w:tblPrEx>
        <w:trPr>
          <w:trHeight w:val="420" w:hRule="atLeast"/>
        </w:trPr>
        <w:tc>
          <w:tcPr>
            <w:tcW w:w="1356"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360" w:lineRule="exact"/>
              <w:ind w:firstLine="0" w:firstLineChars="0"/>
              <w:jc w:val="center"/>
              <w:textAlignment w:val="center"/>
              <w:rPr>
                <w:rFonts w:hint="default" w:ascii="Times New Roman Regular" w:hAnsi="Times New Roman Regular"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总计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default" w:ascii="Times New Roman Regular" w:hAnsi="Times New Roman Regular"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100</w:t>
            </w:r>
          </w:p>
        </w:tc>
        <w:tc>
          <w:tcPr>
            <w:tcW w:w="10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ascii="Times New Roman Regular" w:hAnsi="Times New Roman Regular" w:cs="Times New Roman Regular"/>
                <w:color w:val="181717" w:themeColor="background2" w:themeShade="1A"/>
                <w:kern w:val="0"/>
                <w:sz w:val="24"/>
                <w:szCs w:val="24"/>
                <w:lang w:bidi="ar"/>
              </w:rPr>
            </w:pP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ind w:firstLine="0" w:firstLineChars="0"/>
              <w:jc w:val="left"/>
              <w:textAlignment w:val="center"/>
              <w:rPr>
                <w:rFonts w:hint="eastAsia" w:ascii="Times New Roman Regular" w:hAnsi="Times New Roman Regular" w:cs="Times New Roman Regular"/>
                <w:color w:val="181717" w:themeColor="background2" w:themeShade="1A"/>
                <w:kern w:val="0"/>
                <w:sz w:val="24"/>
                <w:szCs w:val="24"/>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default" w:ascii="Times New Roman Regular" w:hAnsi="Times New Roman Regular" w:cs="Times New Roman Regular"/>
                <w:color w:val="181717" w:themeColor="background2" w:themeShade="1A"/>
                <w:kern w:val="0"/>
                <w:sz w:val="24"/>
                <w:szCs w:val="24"/>
                <w:lang w:val="en-US" w:eastAsia="zh-CN" w:bidi="ar"/>
              </w:rPr>
            </w:pPr>
            <w:r>
              <w:rPr>
                <w:rFonts w:hint="eastAsia" w:ascii="Times New Roman Regular" w:hAnsi="Times New Roman Regular" w:cs="Times New Roman Regular"/>
                <w:color w:val="181717" w:themeColor="background2" w:themeShade="1A"/>
                <w:kern w:val="0"/>
                <w:sz w:val="24"/>
                <w:szCs w:val="24"/>
                <w:lang w:val="en-US" w:eastAsia="zh-CN" w:bidi="ar"/>
              </w:rPr>
              <w:t>91</w:t>
            </w:r>
          </w:p>
        </w:tc>
      </w:tr>
    </w:tbl>
    <w:p>
      <w:pPr>
        <w:spacing w:line="360" w:lineRule="exact"/>
        <w:ind w:left="0" w:leftChars="0" w:firstLine="0" w:firstLineChars="0"/>
        <w:rPr>
          <w:rFonts w:ascii="Times New Roman Regular" w:hAnsi="Times New Roman Regular" w:cs="Times New Roman Regular"/>
          <w:color w:val="181717" w:themeColor="background2" w:themeShade="1A"/>
          <w:szCs w:val="32"/>
        </w:rPr>
      </w:pPr>
    </w:p>
    <w:sectPr>
      <w:footerReference r:id="rId9" w:type="default"/>
      <w:pgSz w:w="16840" w:h="11900" w:orient="landscape"/>
      <w:pgMar w:top="1800" w:right="1440" w:bottom="1800" w:left="144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pingfang sc">
    <w:altName w:val="微软雅黑"/>
    <w:panose1 w:val="000000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Helvetica Neue">
    <w:altName w:val="Sylfaen"/>
    <w:panose1 w:val="00000000000000000000"/>
    <w:charset w:val="00"/>
    <w:family w:val="auto"/>
    <w:pitch w:val="default"/>
    <w:sig w:usb0="00000000" w:usb1="00000000" w:usb2="00000010" w:usb3="00000000" w:csb0="00000000" w:csb1="00000000"/>
  </w:font>
  <w:font w:name="Sylfaen">
    <w:panose1 w:val="010A0502050306030303"/>
    <w:charset w:val="00"/>
    <w:family w:val="auto"/>
    <w:pitch w:val="default"/>
    <w:sig w:usb0="040006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Times New Roman Regular">
    <w:altName w:val="Times New Roman"/>
    <w:panose1 w:val="00000000000000000000"/>
    <w:charset w:val="00"/>
    <w:family w:val="auto"/>
    <w:pitch w:val="default"/>
    <w:sig w:usb0="00000000" w:usb1="00000000" w:usb2="00000009" w:usb3="00000000" w:csb0="400001FF" w:csb1="FFFF0000"/>
  </w:font>
  <w:font w:name="宋体-简">
    <w:altName w:val="宋体"/>
    <w:panose1 w:val="00000000000000000000"/>
    <w:charset w:val="86"/>
    <w:family w:val="auto"/>
    <w:pitch w:val="default"/>
    <w:sig w:usb0="00000000" w:usb1="00000000" w:usb2="00000000" w:usb3="00000000" w:csb0="00040000" w:csb1="00000000"/>
  </w:font>
  <w:font w:name="黑体-简">
    <w:altName w:val="黑体"/>
    <w:panose1 w:val="00000000000000000000"/>
    <w:charset w:val="80"/>
    <w:family w:val="auto"/>
    <w:pitch w:val="default"/>
    <w:sig w:usb0="00000000" w:usb1="00000000" w:usb2="00000000" w:usb3="00000000" w:csb0="203E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25"/>
        <w:tab w:val="clear" w:pos="4153"/>
        <w:tab w:val="clear" w:pos="8306"/>
      </w:tabs>
      <w:ind w:firstLine="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25"/>
        <w:tab w:val="clear" w:pos="4153"/>
        <w:tab w:val="clear" w:pos="8306"/>
      </w:tabs>
      <w:ind w:firstLine="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25"/>
        <w:tab w:val="clear" w:pos="4153"/>
        <w:tab w:val="clear" w:pos="8306"/>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360"/>
                            <w:rPr>
                              <w:rFonts w:ascii="仿宋_GB2312" w:hAnsi="仿宋_GB2312" w:cs="仿宋_GB2312"/>
                              <w:sz w:val="18"/>
                            </w:rPr>
                          </w:pPr>
                          <w:r>
                            <w:rPr>
                              <w:rFonts w:hint="eastAsia" w:ascii="仿宋_GB2312" w:hAnsi="仿宋_GB2312" w:cs="仿宋_GB2312"/>
                              <w:sz w:val="18"/>
                            </w:rPr>
                            <w:fldChar w:fldCharType="begin"/>
                          </w:r>
                          <w:r>
                            <w:rPr>
                              <w:rFonts w:hint="eastAsia" w:ascii="仿宋_GB2312" w:hAnsi="仿宋_GB2312" w:cs="仿宋_GB2312"/>
                              <w:sz w:val="18"/>
                            </w:rPr>
                            <w:instrText xml:space="preserve"> PAGE  \* MERGEFORMAT </w:instrText>
                          </w:r>
                          <w:r>
                            <w:rPr>
                              <w:rFonts w:hint="eastAsia" w:ascii="仿宋_GB2312" w:hAnsi="仿宋_GB2312" w:cs="仿宋_GB2312"/>
                              <w:sz w:val="18"/>
                            </w:rPr>
                            <w:fldChar w:fldCharType="separate"/>
                          </w:r>
                          <w:r>
                            <w:rPr>
                              <w:rFonts w:hint="eastAsia" w:ascii="仿宋_GB2312" w:hAnsi="仿宋_GB2312" w:cs="仿宋_GB2312"/>
                              <w:sz w:val="18"/>
                            </w:rPr>
                            <w:t>1</w:t>
                          </w:r>
                          <w:r>
                            <w:rPr>
                              <w:rFonts w:hint="eastAsia" w:ascii="仿宋_GB2312" w:hAnsi="仿宋_GB2312" w:cs="仿宋_GB2312"/>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ind w:firstLine="360"/>
                      <w:rPr>
                        <w:rFonts w:ascii="仿宋_GB2312" w:hAnsi="仿宋_GB2312" w:cs="仿宋_GB2312"/>
                        <w:sz w:val="18"/>
                      </w:rPr>
                    </w:pPr>
                    <w:r>
                      <w:rPr>
                        <w:rFonts w:hint="eastAsia" w:ascii="仿宋_GB2312" w:hAnsi="仿宋_GB2312" w:cs="仿宋_GB2312"/>
                        <w:sz w:val="18"/>
                      </w:rPr>
                      <w:fldChar w:fldCharType="begin"/>
                    </w:r>
                    <w:r>
                      <w:rPr>
                        <w:rFonts w:hint="eastAsia" w:ascii="仿宋_GB2312" w:hAnsi="仿宋_GB2312" w:cs="仿宋_GB2312"/>
                        <w:sz w:val="18"/>
                      </w:rPr>
                      <w:instrText xml:space="preserve"> PAGE  \* MERGEFORMAT </w:instrText>
                    </w:r>
                    <w:r>
                      <w:rPr>
                        <w:rFonts w:hint="eastAsia" w:ascii="仿宋_GB2312" w:hAnsi="仿宋_GB2312" w:cs="仿宋_GB2312"/>
                        <w:sz w:val="18"/>
                      </w:rPr>
                      <w:fldChar w:fldCharType="separate"/>
                    </w:r>
                    <w:r>
                      <w:rPr>
                        <w:rFonts w:hint="eastAsia" w:ascii="仿宋_GB2312" w:hAnsi="仿宋_GB2312" w:cs="仿宋_GB2312"/>
                        <w:sz w:val="18"/>
                      </w:rPr>
                      <w:t>1</w:t>
                    </w:r>
                    <w:r>
                      <w:rPr>
                        <w:rFonts w:hint="eastAsia" w:ascii="仿宋_GB2312" w:hAnsi="仿宋_GB2312" w:cs="仿宋_GB2312"/>
                        <w:sz w:val="18"/>
                      </w:rP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25"/>
        <w:tab w:val="clear" w:pos="4153"/>
        <w:tab w:val="clear" w:pos="8306"/>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360"/>
                            <w:rPr>
                              <w:rFonts w:ascii="仿宋_GB2312" w:hAnsi="Times New Roman" w:cs="Times New Roman"/>
                              <w:sz w:val="18"/>
                            </w:rPr>
                          </w:pPr>
                          <w:r>
                            <w:rPr>
                              <w:rFonts w:hint="eastAsia" w:ascii="仿宋_GB2312" w:hAnsi="Times New Roman" w:cs="Times New Roman"/>
                              <w:sz w:val="18"/>
                            </w:rPr>
                            <w:fldChar w:fldCharType="begin"/>
                          </w:r>
                          <w:r>
                            <w:rPr>
                              <w:rFonts w:hint="eastAsia" w:ascii="仿宋_GB2312" w:hAnsi="Times New Roman" w:cs="Times New Roman"/>
                              <w:sz w:val="18"/>
                            </w:rPr>
                            <w:instrText xml:space="preserve"> PAGE  \* MERGEFORMAT </w:instrText>
                          </w:r>
                          <w:r>
                            <w:rPr>
                              <w:rFonts w:hint="eastAsia" w:ascii="仿宋_GB2312" w:hAnsi="Times New Roman" w:cs="Times New Roman"/>
                              <w:sz w:val="18"/>
                            </w:rPr>
                            <w:fldChar w:fldCharType="separate"/>
                          </w:r>
                          <w:r>
                            <w:rPr>
                              <w:rFonts w:hint="eastAsia" w:ascii="仿宋_GB2312" w:hAnsi="Times New Roman" w:cs="Times New Roman"/>
                              <w:sz w:val="18"/>
                            </w:rPr>
                            <w:t>17</w:t>
                          </w:r>
                          <w:r>
                            <w:rPr>
                              <w:rFonts w:hint="eastAsia" w:ascii="仿宋_GB2312" w:hAnsi="Times New Roman" w:cs="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ind w:firstLine="360"/>
                      <w:rPr>
                        <w:rFonts w:ascii="仿宋_GB2312" w:hAnsi="Times New Roman" w:cs="Times New Roman"/>
                        <w:sz w:val="18"/>
                      </w:rPr>
                    </w:pPr>
                    <w:r>
                      <w:rPr>
                        <w:rFonts w:hint="eastAsia" w:ascii="仿宋_GB2312" w:hAnsi="Times New Roman" w:cs="Times New Roman"/>
                        <w:sz w:val="18"/>
                      </w:rPr>
                      <w:fldChar w:fldCharType="begin"/>
                    </w:r>
                    <w:r>
                      <w:rPr>
                        <w:rFonts w:hint="eastAsia" w:ascii="仿宋_GB2312" w:hAnsi="Times New Roman" w:cs="Times New Roman"/>
                        <w:sz w:val="18"/>
                      </w:rPr>
                      <w:instrText xml:space="preserve"> PAGE  \* MERGEFORMAT </w:instrText>
                    </w:r>
                    <w:r>
                      <w:rPr>
                        <w:rFonts w:hint="eastAsia" w:ascii="仿宋_GB2312" w:hAnsi="Times New Roman" w:cs="Times New Roman"/>
                        <w:sz w:val="18"/>
                      </w:rPr>
                      <w:fldChar w:fldCharType="separate"/>
                    </w:r>
                    <w:r>
                      <w:rPr>
                        <w:rFonts w:hint="eastAsia" w:ascii="仿宋_GB2312" w:hAnsi="Times New Roman" w:cs="Times New Roman"/>
                        <w:sz w:val="18"/>
                      </w:rPr>
                      <w:t>17</w:t>
                    </w:r>
                    <w:r>
                      <w:rPr>
                        <w:rFonts w:hint="eastAsia" w:ascii="仿宋_GB2312" w:hAnsi="Times New Roman" w:cs="Times New Roman"/>
                        <w:sz w:val="18"/>
                      </w:rPr>
                      <w:fldChar w:fldCharType="end"/>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2CC"/>
    <w:rsid w:val="0000607B"/>
    <w:rsid w:val="00022651"/>
    <w:rsid w:val="00043197"/>
    <w:rsid w:val="00043D37"/>
    <w:rsid w:val="00062415"/>
    <w:rsid w:val="00063FF9"/>
    <w:rsid w:val="00080AC1"/>
    <w:rsid w:val="000814BD"/>
    <w:rsid w:val="00085C55"/>
    <w:rsid w:val="0009380E"/>
    <w:rsid w:val="000B7ABC"/>
    <w:rsid w:val="000C210C"/>
    <w:rsid w:val="000C4E63"/>
    <w:rsid w:val="000C6D3F"/>
    <w:rsid w:val="000F3ED1"/>
    <w:rsid w:val="00110261"/>
    <w:rsid w:val="00111821"/>
    <w:rsid w:val="0011394D"/>
    <w:rsid w:val="00115B9E"/>
    <w:rsid w:val="00133BE2"/>
    <w:rsid w:val="001407F9"/>
    <w:rsid w:val="0015583B"/>
    <w:rsid w:val="00157720"/>
    <w:rsid w:val="00194B91"/>
    <w:rsid w:val="00195D04"/>
    <w:rsid w:val="001A6FA7"/>
    <w:rsid w:val="001B2D4F"/>
    <w:rsid w:val="001C0E72"/>
    <w:rsid w:val="001E23FF"/>
    <w:rsid w:val="00226F66"/>
    <w:rsid w:val="00232D5D"/>
    <w:rsid w:val="002616FF"/>
    <w:rsid w:val="00264AEE"/>
    <w:rsid w:val="00267D5D"/>
    <w:rsid w:val="00270B6E"/>
    <w:rsid w:val="00274594"/>
    <w:rsid w:val="00277B7D"/>
    <w:rsid w:val="002860EA"/>
    <w:rsid w:val="002940C0"/>
    <w:rsid w:val="002A0B7E"/>
    <w:rsid w:val="002D21A8"/>
    <w:rsid w:val="00304D45"/>
    <w:rsid w:val="00331317"/>
    <w:rsid w:val="00335254"/>
    <w:rsid w:val="00345E17"/>
    <w:rsid w:val="00361F52"/>
    <w:rsid w:val="00390A64"/>
    <w:rsid w:val="003A21EA"/>
    <w:rsid w:val="003B3977"/>
    <w:rsid w:val="003C4C21"/>
    <w:rsid w:val="003D1972"/>
    <w:rsid w:val="003E42F2"/>
    <w:rsid w:val="003F6B8F"/>
    <w:rsid w:val="003F6F37"/>
    <w:rsid w:val="003F6F77"/>
    <w:rsid w:val="0040374C"/>
    <w:rsid w:val="00422040"/>
    <w:rsid w:val="004358E1"/>
    <w:rsid w:val="004438F9"/>
    <w:rsid w:val="004501AA"/>
    <w:rsid w:val="004529B6"/>
    <w:rsid w:val="00453EC6"/>
    <w:rsid w:val="00485E44"/>
    <w:rsid w:val="004949FF"/>
    <w:rsid w:val="00495AA9"/>
    <w:rsid w:val="00496AC8"/>
    <w:rsid w:val="004B7015"/>
    <w:rsid w:val="004C1941"/>
    <w:rsid w:val="004D3A3A"/>
    <w:rsid w:val="004D7D9F"/>
    <w:rsid w:val="004E10FD"/>
    <w:rsid w:val="004E401C"/>
    <w:rsid w:val="004F166B"/>
    <w:rsid w:val="005018AE"/>
    <w:rsid w:val="005024C8"/>
    <w:rsid w:val="00540CC5"/>
    <w:rsid w:val="00543655"/>
    <w:rsid w:val="005565E3"/>
    <w:rsid w:val="005619AB"/>
    <w:rsid w:val="00566FD3"/>
    <w:rsid w:val="005804DA"/>
    <w:rsid w:val="0059191C"/>
    <w:rsid w:val="005B08BD"/>
    <w:rsid w:val="005B3086"/>
    <w:rsid w:val="005B52FD"/>
    <w:rsid w:val="005D2392"/>
    <w:rsid w:val="00600B9B"/>
    <w:rsid w:val="00613D50"/>
    <w:rsid w:val="006250A1"/>
    <w:rsid w:val="0064094C"/>
    <w:rsid w:val="00642AC3"/>
    <w:rsid w:val="00643701"/>
    <w:rsid w:val="0066030F"/>
    <w:rsid w:val="00675FA4"/>
    <w:rsid w:val="0067711F"/>
    <w:rsid w:val="00680BA0"/>
    <w:rsid w:val="00683F53"/>
    <w:rsid w:val="00692787"/>
    <w:rsid w:val="006974C0"/>
    <w:rsid w:val="006C2C1A"/>
    <w:rsid w:val="006C2E6A"/>
    <w:rsid w:val="006C54C1"/>
    <w:rsid w:val="006E2271"/>
    <w:rsid w:val="006E275D"/>
    <w:rsid w:val="006E3597"/>
    <w:rsid w:val="006E551F"/>
    <w:rsid w:val="006F04B9"/>
    <w:rsid w:val="00707443"/>
    <w:rsid w:val="00713FD6"/>
    <w:rsid w:val="007159A7"/>
    <w:rsid w:val="007212AC"/>
    <w:rsid w:val="00722F90"/>
    <w:rsid w:val="007258E2"/>
    <w:rsid w:val="00731AEF"/>
    <w:rsid w:val="0073712B"/>
    <w:rsid w:val="00760F11"/>
    <w:rsid w:val="007616A7"/>
    <w:rsid w:val="00762619"/>
    <w:rsid w:val="00763E8F"/>
    <w:rsid w:val="00766ABC"/>
    <w:rsid w:val="00773887"/>
    <w:rsid w:val="007922D1"/>
    <w:rsid w:val="007A06AE"/>
    <w:rsid w:val="007C2303"/>
    <w:rsid w:val="007C2542"/>
    <w:rsid w:val="007C2B91"/>
    <w:rsid w:val="007D709F"/>
    <w:rsid w:val="00806F70"/>
    <w:rsid w:val="00814214"/>
    <w:rsid w:val="00815A68"/>
    <w:rsid w:val="00817253"/>
    <w:rsid w:val="008208CB"/>
    <w:rsid w:val="008227F7"/>
    <w:rsid w:val="00822A62"/>
    <w:rsid w:val="00822B3E"/>
    <w:rsid w:val="00831ABF"/>
    <w:rsid w:val="00845821"/>
    <w:rsid w:val="00872F30"/>
    <w:rsid w:val="00874474"/>
    <w:rsid w:val="00874E0C"/>
    <w:rsid w:val="0088482D"/>
    <w:rsid w:val="00884C3D"/>
    <w:rsid w:val="008921C1"/>
    <w:rsid w:val="008B1283"/>
    <w:rsid w:val="008B2A81"/>
    <w:rsid w:val="008B44C2"/>
    <w:rsid w:val="008C2A9B"/>
    <w:rsid w:val="008C2C6C"/>
    <w:rsid w:val="008C79C6"/>
    <w:rsid w:val="008E2FA5"/>
    <w:rsid w:val="008E682A"/>
    <w:rsid w:val="008E77FC"/>
    <w:rsid w:val="008F5E73"/>
    <w:rsid w:val="008F7D77"/>
    <w:rsid w:val="00911AC0"/>
    <w:rsid w:val="00915F55"/>
    <w:rsid w:val="009217B3"/>
    <w:rsid w:val="009224A2"/>
    <w:rsid w:val="00932E7B"/>
    <w:rsid w:val="009330BD"/>
    <w:rsid w:val="00952E7D"/>
    <w:rsid w:val="009573AD"/>
    <w:rsid w:val="00961C05"/>
    <w:rsid w:val="009629CE"/>
    <w:rsid w:val="0097579A"/>
    <w:rsid w:val="00977694"/>
    <w:rsid w:val="009805AF"/>
    <w:rsid w:val="00991ED1"/>
    <w:rsid w:val="009968A7"/>
    <w:rsid w:val="009A4DB5"/>
    <w:rsid w:val="009B7793"/>
    <w:rsid w:val="009D5FF2"/>
    <w:rsid w:val="009F67CA"/>
    <w:rsid w:val="00A007EC"/>
    <w:rsid w:val="00A0172C"/>
    <w:rsid w:val="00A0642B"/>
    <w:rsid w:val="00A535B5"/>
    <w:rsid w:val="00A748E0"/>
    <w:rsid w:val="00A75EC9"/>
    <w:rsid w:val="00AA090C"/>
    <w:rsid w:val="00AA09E6"/>
    <w:rsid w:val="00AA0B4B"/>
    <w:rsid w:val="00AB44B6"/>
    <w:rsid w:val="00AB6DAB"/>
    <w:rsid w:val="00AC6D56"/>
    <w:rsid w:val="00AD3EE4"/>
    <w:rsid w:val="00AE2E84"/>
    <w:rsid w:val="00AE4099"/>
    <w:rsid w:val="00B067B3"/>
    <w:rsid w:val="00B10495"/>
    <w:rsid w:val="00B1167B"/>
    <w:rsid w:val="00B13D11"/>
    <w:rsid w:val="00B53FDC"/>
    <w:rsid w:val="00B57C73"/>
    <w:rsid w:val="00B760F2"/>
    <w:rsid w:val="00B81B94"/>
    <w:rsid w:val="00B86E45"/>
    <w:rsid w:val="00B93564"/>
    <w:rsid w:val="00BB4121"/>
    <w:rsid w:val="00BB5432"/>
    <w:rsid w:val="00BC5958"/>
    <w:rsid w:val="00BE4097"/>
    <w:rsid w:val="00BE53E2"/>
    <w:rsid w:val="00BE61AC"/>
    <w:rsid w:val="00C10AEA"/>
    <w:rsid w:val="00C10CDD"/>
    <w:rsid w:val="00C24A8F"/>
    <w:rsid w:val="00C411C5"/>
    <w:rsid w:val="00C420F2"/>
    <w:rsid w:val="00C47833"/>
    <w:rsid w:val="00C57E20"/>
    <w:rsid w:val="00C61B98"/>
    <w:rsid w:val="00C646F7"/>
    <w:rsid w:val="00C72A67"/>
    <w:rsid w:val="00C77701"/>
    <w:rsid w:val="00C80A23"/>
    <w:rsid w:val="00CA74A7"/>
    <w:rsid w:val="00CB0C33"/>
    <w:rsid w:val="00CB1622"/>
    <w:rsid w:val="00CB32CC"/>
    <w:rsid w:val="00CC22AE"/>
    <w:rsid w:val="00CC5962"/>
    <w:rsid w:val="00CC7DD9"/>
    <w:rsid w:val="00CD1914"/>
    <w:rsid w:val="00CF29EA"/>
    <w:rsid w:val="00CF7DAE"/>
    <w:rsid w:val="00D02E02"/>
    <w:rsid w:val="00D032A1"/>
    <w:rsid w:val="00D06FF2"/>
    <w:rsid w:val="00D37AB5"/>
    <w:rsid w:val="00D45D41"/>
    <w:rsid w:val="00D54625"/>
    <w:rsid w:val="00D769E4"/>
    <w:rsid w:val="00D8309D"/>
    <w:rsid w:val="00DA194F"/>
    <w:rsid w:val="00DB5903"/>
    <w:rsid w:val="00DC1ACB"/>
    <w:rsid w:val="00DD59E9"/>
    <w:rsid w:val="00E03189"/>
    <w:rsid w:val="00E05E0A"/>
    <w:rsid w:val="00E56C30"/>
    <w:rsid w:val="00E619AD"/>
    <w:rsid w:val="00E73422"/>
    <w:rsid w:val="00E75484"/>
    <w:rsid w:val="00E902CE"/>
    <w:rsid w:val="00E946C2"/>
    <w:rsid w:val="00EE4FEE"/>
    <w:rsid w:val="00EF31C6"/>
    <w:rsid w:val="00EF5103"/>
    <w:rsid w:val="00F119AB"/>
    <w:rsid w:val="00F11B55"/>
    <w:rsid w:val="00F12976"/>
    <w:rsid w:val="00F143ED"/>
    <w:rsid w:val="00F23B4F"/>
    <w:rsid w:val="00F259C1"/>
    <w:rsid w:val="00F31995"/>
    <w:rsid w:val="00F34E47"/>
    <w:rsid w:val="00F365A3"/>
    <w:rsid w:val="00F429E1"/>
    <w:rsid w:val="00F43902"/>
    <w:rsid w:val="00F448A2"/>
    <w:rsid w:val="00F4715C"/>
    <w:rsid w:val="00F73B07"/>
    <w:rsid w:val="00F8089A"/>
    <w:rsid w:val="00F91FD9"/>
    <w:rsid w:val="00FA2D97"/>
    <w:rsid w:val="00FB3B97"/>
    <w:rsid w:val="00FB44D5"/>
    <w:rsid w:val="00FD647A"/>
    <w:rsid w:val="00FE3896"/>
    <w:rsid w:val="018C188A"/>
    <w:rsid w:val="02195E27"/>
    <w:rsid w:val="039B36D0"/>
    <w:rsid w:val="04CB7309"/>
    <w:rsid w:val="04E431E5"/>
    <w:rsid w:val="057B2983"/>
    <w:rsid w:val="057F350C"/>
    <w:rsid w:val="05AA1B25"/>
    <w:rsid w:val="05F85CCF"/>
    <w:rsid w:val="07127C68"/>
    <w:rsid w:val="07C47AC3"/>
    <w:rsid w:val="07EF26BD"/>
    <w:rsid w:val="08245CFF"/>
    <w:rsid w:val="093D1DA1"/>
    <w:rsid w:val="097431E6"/>
    <w:rsid w:val="09967601"/>
    <w:rsid w:val="09E66AE2"/>
    <w:rsid w:val="09EE5D12"/>
    <w:rsid w:val="0A704DF5"/>
    <w:rsid w:val="0C4C2AD6"/>
    <w:rsid w:val="0C9E5220"/>
    <w:rsid w:val="0CB76B12"/>
    <w:rsid w:val="0D8671F1"/>
    <w:rsid w:val="0DBAD52F"/>
    <w:rsid w:val="0E1466DC"/>
    <w:rsid w:val="0E272CAE"/>
    <w:rsid w:val="0F275B91"/>
    <w:rsid w:val="0F2FE394"/>
    <w:rsid w:val="0F481CC6"/>
    <w:rsid w:val="0FE57571"/>
    <w:rsid w:val="0FFE826E"/>
    <w:rsid w:val="1034644D"/>
    <w:rsid w:val="107945E2"/>
    <w:rsid w:val="116F424A"/>
    <w:rsid w:val="11C27A45"/>
    <w:rsid w:val="11EC5E42"/>
    <w:rsid w:val="125826D1"/>
    <w:rsid w:val="12C02063"/>
    <w:rsid w:val="12C938B2"/>
    <w:rsid w:val="148B26D9"/>
    <w:rsid w:val="14B34220"/>
    <w:rsid w:val="16311701"/>
    <w:rsid w:val="16DB4748"/>
    <w:rsid w:val="16FFD63C"/>
    <w:rsid w:val="176C4C3F"/>
    <w:rsid w:val="19220722"/>
    <w:rsid w:val="1AB265BF"/>
    <w:rsid w:val="1B683F91"/>
    <w:rsid w:val="1BF71408"/>
    <w:rsid w:val="1CF336AB"/>
    <w:rsid w:val="1DC87BDD"/>
    <w:rsid w:val="1E6D2298"/>
    <w:rsid w:val="1ED26542"/>
    <w:rsid w:val="1EDA4CEC"/>
    <w:rsid w:val="1EDF9B1F"/>
    <w:rsid w:val="1EE455E0"/>
    <w:rsid w:val="1EEF4644"/>
    <w:rsid w:val="1EF1026C"/>
    <w:rsid w:val="1F7F7FE7"/>
    <w:rsid w:val="1FFE64F1"/>
    <w:rsid w:val="20485303"/>
    <w:rsid w:val="20A80D1B"/>
    <w:rsid w:val="20C92842"/>
    <w:rsid w:val="20F120A7"/>
    <w:rsid w:val="212F5091"/>
    <w:rsid w:val="21E05952"/>
    <w:rsid w:val="22610798"/>
    <w:rsid w:val="229B25B7"/>
    <w:rsid w:val="22A33978"/>
    <w:rsid w:val="23DF347D"/>
    <w:rsid w:val="24151485"/>
    <w:rsid w:val="2495374E"/>
    <w:rsid w:val="24E863B2"/>
    <w:rsid w:val="25835E46"/>
    <w:rsid w:val="258B9C91"/>
    <w:rsid w:val="261A5F0D"/>
    <w:rsid w:val="26211481"/>
    <w:rsid w:val="26BA3989"/>
    <w:rsid w:val="27545F2C"/>
    <w:rsid w:val="287B4D47"/>
    <w:rsid w:val="2881750E"/>
    <w:rsid w:val="28A40DC0"/>
    <w:rsid w:val="28A51A85"/>
    <w:rsid w:val="28FDE994"/>
    <w:rsid w:val="29BE10D9"/>
    <w:rsid w:val="2AED07A0"/>
    <w:rsid w:val="2B2121D6"/>
    <w:rsid w:val="2BB32CE1"/>
    <w:rsid w:val="2BC8675B"/>
    <w:rsid w:val="2C8F3146"/>
    <w:rsid w:val="2CA628AD"/>
    <w:rsid w:val="2D7100A1"/>
    <w:rsid w:val="2D763C6C"/>
    <w:rsid w:val="2D805929"/>
    <w:rsid w:val="2EA31996"/>
    <w:rsid w:val="2F384B10"/>
    <w:rsid w:val="2F3E4E4B"/>
    <w:rsid w:val="2F6B50FA"/>
    <w:rsid w:val="2FAB743D"/>
    <w:rsid w:val="2FB85E60"/>
    <w:rsid w:val="2FE9F752"/>
    <w:rsid w:val="2FED9376"/>
    <w:rsid w:val="30362F65"/>
    <w:rsid w:val="309A63C2"/>
    <w:rsid w:val="30A43C06"/>
    <w:rsid w:val="30D10E49"/>
    <w:rsid w:val="30D62471"/>
    <w:rsid w:val="30F072AB"/>
    <w:rsid w:val="30F62CAD"/>
    <w:rsid w:val="31FD6DCF"/>
    <w:rsid w:val="325C4B84"/>
    <w:rsid w:val="32C81E40"/>
    <w:rsid w:val="3358287F"/>
    <w:rsid w:val="336414DA"/>
    <w:rsid w:val="3372495A"/>
    <w:rsid w:val="33A65BA6"/>
    <w:rsid w:val="33FF7D21"/>
    <w:rsid w:val="34725097"/>
    <w:rsid w:val="347C1B46"/>
    <w:rsid w:val="34C56ED4"/>
    <w:rsid w:val="35B51837"/>
    <w:rsid w:val="364970E8"/>
    <w:rsid w:val="364C3E0A"/>
    <w:rsid w:val="36D12CF7"/>
    <w:rsid w:val="371A6169"/>
    <w:rsid w:val="376F3369"/>
    <w:rsid w:val="3777CEBE"/>
    <w:rsid w:val="37BFFEB9"/>
    <w:rsid w:val="37DF5942"/>
    <w:rsid w:val="37FF60C9"/>
    <w:rsid w:val="381401DE"/>
    <w:rsid w:val="391F725D"/>
    <w:rsid w:val="39C91C80"/>
    <w:rsid w:val="39DA3A4E"/>
    <w:rsid w:val="3A3A0CD3"/>
    <w:rsid w:val="3ABFAE67"/>
    <w:rsid w:val="3B23501F"/>
    <w:rsid w:val="3B2F3DA9"/>
    <w:rsid w:val="3B733471"/>
    <w:rsid w:val="3BE6F07F"/>
    <w:rsid w:val="3C334647"/>
    <w:rsid w:val="3C4D08BF"/>
    <w:rsid w:val="3CC04227"/>
    <w:rsid w:val="3D6FF5C8"/>
    <w:rsid w:val="3D785476"/>
    <w:rsid w:val="3D7F0FB1"/>
    <w:rsid w:val="3DAFD291"/>
    <w:rsid w:val="3DD686BE"/>
    <w:rsid w:val="3DF95A92"/>
    <w:rsid w:val="3E187B8C"/>
    <w:rsid w:val="3E465100"/>
    <w:rsid w:val="3EEC2B60"/>
    <w:rsid w:val="3EF13CC9"/>
    <w:rsid w:val="3EFF88B1"/>
    <w:rsid w:val="3F2A25F1"/>
    <w:rsid w:val="3F34BE3F"/>
    <w:rsid w:val="3F3963DA"/>
    <w:rsid w:val="3F5B42D9"/>
    <w:rsid w:val="3F6FB246"/>
    <w:rsid w:val="3F77E914"/>
    <w:rsid w:val="3FAFD6EF"/>
    <w:rsid w:val="3FCC0105"/>
    <w:rsid w:val="3FD1169B"/>
    <w:rsid w:val="3FF1498A"/>
    <w:rsid w:val="3FF53016"/>
    <w:rsid w:val="3FF61581"/>
    <w:rsid w:val="3FF799B0"/>
    <w:rsid w:val="3FF7B615"/>
    <w:rsid w:val="3FFD20DB"/>
    <w:rsid w:val="3FFF0A1A"/>
    <w:rsid w:val="3FFF222B"/>
    <w:rsid w:val="3FFF3A5B"/>
    <w:rsid w:val="3FFF9E75"/>
    <w:rsid w:val="40333DA3"/>
    <w:rsid w:val="403C7762"/>
    <w:rsid w:val="404F71AE"/>
    <w:rsid w:val="40545F5B"/>
    <w:rsid w:val="40977E9A"/>
    <w:rsid w:val="41971B38"/>
    <w:rsid w:val="41A0375C"/>
    <w:rsid w:val="41A513D7"/>
    <w:rsid w:val="41B51637"/>
    <w:rsid w:val="427F2910"/>
    <w:rsid w:val="42B84C71"/>
    <w:rsid w:val="43237190"/>
    <w:rsid w:val="433E27A9"/>
    <w:rsid w:val="444F329B"/>
    <w:rsid w:val="44B1652A"/>
    <w:rsid w:val="44D61B67"/>
    <w:rsid w:val="452E7307"/>
    <w:rsid w:val="45BC5322"/>
    <w:rsid w:val="45FF76BF"/>
    <w:rsid w:val="46327AAA"/>
    <w:rsid w:val="46B8005B"/>
    <w:rsid w:val="46C7514B"/>
    <w:rsid w:val="46DF36B2"/>
    <w:rsid w:val="47651665"/>
    <w:rsid w:val="47BB7213"/>
    <w:rsid w:val="47CB5554"/>
    <w:rsid w:val="49067AB4"/>
    <w:rsid w:val="490F3B48"/>
    <w:rsid w:val="49264FB1"/>
    <w:rsid w:val="49375F71"/>
    <w:rsid w:val="49776C02"/>
    <w:rsid w:val="49BE5A7D"/>
    <w:rsid w:val="4A025073"/>
    <w:rsid w:val="4A972344"/>
    <w:rsid w:val="4B8556D7"/>
    <w:rsid w:val="4BB536C9"/>
    <w:rsid w:val="4C2075EC"/>
    <w:rsid w:val="4C948906"/>
    <w:rsid w:val="4D2D4777"/>
    <w:rsid w:val="4D756607"/>
    <w:rsid w:val="4DCE5D17"/>
    <w:rsid w:val="4DF7D609"/>
    <w:rsid w:val="4DFF08FD"/>
    <w:rsid w:val="4E1F0EE6"/>
    <w:rsid w:val="4EB2499A"/>
    <w:rsid w:val="4ED9667A"/>
    <w:rsid w:val="4EFEDC82"/>
    <w:rsid w:val="4F1D2E57"/>
    <w:rsid w:val="4F5B3C14"/>
    <w:rsid w:val="4F795C52"/>
    <w:rsid w:val="4F9221E4"/>
    <w:rsid w:val="4F97C400"/>
    <w:rsid w:val="4F9A25D5"/>
    <w:rsid w:val="4FAB532C"/>
    <w:rsid w:val="4FD018AC"/>
    <w:rsid w:val="4FD7D520"/>
    <w:rsid w:val="4FE47886"/>
    <w:rsid w:val="4FEFA36D"/>
    <w:rsid w:val="50277B82"/>
    <w:rsid w:val="503C088E"/>
    <w:rsid w:val="506F2511"/>
    <w:rsid w:val="512F3B9C"/>
    <w:rsid w:val="518D1705"/>
    <w:rsid w:val="51EEFA24"/>
    <w:rsid w:val="521E3C9B"/>
    <w:rsid w:val="529B4F2B"/>
    <w:rsid w:val="52BA2E6D"/>
    <w:rsid w:val="531E09AE"/>
    <w:rsid w:val="53BD29B5"/>
    <w:rsid w:val="53D574CE"/>
    <w:rsid w:val="53F1382E"/>
    <w:rsid w:val="53F33C52"/>
    <w:rsid w:val="543F58F3"/>
    <w:rsid w:val="545A5623"/>
    <w:rsid w:val="54876DB6"/>
    <w:rsid w:val="54EF57B8"/>
    <w:rsid w:val="5556381A"/>
    <w:rsid w:val="562E0BA7"/>
    <w:rsid w:val="563060B8"/>
    <w:rsid w:val="564D08E3"/>
    <w:rsid w:val="56D014B6"/>
    <w:rsid w:val="57465584"/>
    <w:rsid w:val="576E488A"/>
    <w:rsid w:val="57B56D8D"/>
    <w:rsid w:val="57D700F7"/>
    <w:rsid w:val="57EF14B8"/>
    <w:rsid w:val="57FFF563"/>
    <w:rsid w:val="58053735"/>
    <w:rsid w:val="58755926"/>
    <w:rsid w:val="58CA5C74"/>
    <w:rsid w:val="59466B24"/>
    <w:rsid w:val="599C2FA5"/>
    <w:rsid w:val="59E419BB"/>
    <w:rsid w:val="5A007766"/>
    <w:rsid w:val="5A245796"/>
    <w:rsid w:val="5A997567"/>
    <w:rsid w:val="5ADB6E2D"/>
    <w:rsid w:val="5AF6271E"/>
    <w:rsid w:val="5B042022"/>
    <w:rsid w:val="5B264E79"/>
    <w:rsid w:val="5B7F53E9"/>
    <w:rsid w:val="5BC62210"/>
    <w:rsid w:val="5BC7199C"/>
    <w:rsid w:val="5BFACA44"/>
    <w:rsid w:val="5C212002"/>
    <w:rsid w:val="5C6F31A9"/>
    <w:rsid w:val="5D5A1A5F"/>
    <w:rsid w:val="5DFD7730"/>
    <w:rsid w:val="5F7D72F5"/>
    <w:rsid w:val="5F9CADFA"/>
    <w:rsid w:val="5FB9F1D5"/>
    <w:rsid w:val="5FF41A7E"/>
    <w:rsid w:val="5FF72A32"/>
    <w:rsid w:val="5FF753CE"/>
    <w:rsid w:val="5FF8BEFB"/>
    <w:rsid w:val="5FFBEA28"/>
    <w:rsid w:val="5FFBF7F6"/>
    <w:rsid w:val="603B388A"/>
    <w:rsid w:val="60893E97"/>
    <w:rsid w:val="60CF54D7"/>
    <w:rsid w:val="613408F0"/>
    <w:rsid w:val="61772A21"/>
    <w:rsid w:val="617B1E16"/>
    <w:rsid w:val="61986CEB"/>
    <w:rsid w:val="61CE4F08"/>
    <w:rsid w:val="623E0C2B"/>
    <w:rsid w:val="624C454E"/>
    <w:rsid w:val="625A022B"/>
    <w:rsid w:val="626D4156"/>
    <w:rsid w:val="62711EE2"/>
    <w:rsid w:val="628F13E4"/>
    <w:rsid w:val="62A82AC6"/>
    <w:rsid w:val="62B007BF"/>
    <w:rsid w:val="62C94ABC"/>
    <w:rsid w:val="63A13434"/>
    <w:rsid w:val="63DC56CF"/>
    <w:rsid w:val="64025145"/>
    <w:rsid w:val="644A2955"/>
    <w:rsid w:val="647E23E8"/>
    <w:rsid w:val="649A2BA2"/>
    <w:rsid w:val="64D23FBC"/>
    <w:rsid w:val="64EB41C8"/>
    <w:rsid w:val="64FD23ED"/>
    <w:rsid w:val="655D67E4"/>
    <w:rsid w:val="65E4349C"/>
    <w:rsid w:val="65FFA369"/>
    <w:rsid w:val="66273683"/>
    <w:rsid w:val="66721486"/>
    <w:rsid w:val="669745C7"/>
    <w:rsid w:val="67CE92C7"/>
    <w:rsid w:val="67E172D2"/>
    <w:rsid w:val="67F72226"/>
    <w:rsid w:val="681A4237"/>
    <w:rsid w:val="687609DE"/>
    <w:rsid w:val="689A2814"/>
    <w:rsid w:val="697F531C"/>
    <w:rsid w:val="6A67018A"/>
    <w:rsid w:val="6A941BF6"/>
    <w:rsid w:val="6ADF7B35"/>
    <w:rsid w:val="6B5D3A91"/>
    <w:rsid w:val="6BBC77A1"/>
    <w:rsid w:val="6BFF4E33"/>
    <w:rsid w:val="6BFF56D2"/>
    <w:rsid w:val="6C1D630D"/>
    <w:rsid w:val="6CCD05E8"/>
    <w:rsid w:val="6CD0226F"/>
    <w:rsid w:val="6D7767C2"/>
    <w:rsid w:val="6DF731D0"/>
    <w:rsid w:val="6E166D98"/>
    <w:rsid w:val="6E3877FE"/>
    <w:rsid w:val="6E9E7172"/>
    <w:rsid w:val="6EB6F348"/>
    <w:rsid w:val="6EEFE933"/>
    <w:rsid w:val="6F1D3CA0"/>
    <w:rsid w:val="6F3E489A"/>
    <w:rsid w:val="6F663286"/>
    <w:rsid w:val="6FCFFD27"/>
    <w:rsid w:val="6FF60C41"/>
    <w:rsid w:val="6FF7874B"/>
    <w:rsid w:val="6FFB2E43"/>
    <w:rsid w:val="706E7CF1"/>
    <w:rsid w:val="70B841F5"/>
    <w:rsid w:val="70C41CE6"/>
    <w:rsid w:val="70F550AE"/>
    <w:rsid w:val="729B32C0"/>
    <w:rsid w:val="73594D7D"/>
    <w:rsid w:val="744E7CC9"/>
    <w:rsid w:val="74B21141"/>
    <w:rsid w:val="75B16A00"/>
    <w:rsid w:val="76633371"/>
    <w:rsid w:val="76CC5E23"/>
    <w:rsid w:val="76D763EC"/>
    <w:rsid w:val="76DF4B5F"/>
    <w:rsid w:val="76EE6F42"/>
    <w:rsid w:val="76F76F6D"/>
    <w:rsid w:val="76FB57A2"/>
    <w:rsid w:val="770B7B3B"/>
    <w:rsid w:val="771231BC"/>
    <w:rsid w:val="771E70FE"/>
    <w:rsid w:val="772301B4"/>
    <w:rsid w:val="77253D95"/>
    <w:rsid w:val="77462C8B"/>
    <w:rsid w:val="775FE513"/>
    <w:rsid w:val="779B10A3"/>
    <w:rsid w:val="779EA23C"/>
    <w:rsid w:val="77F0477A"/>
    <w:rsid w:val="77FE6CB3"/>
    <w:rsid w:val="780779A2"/>
    <w:rsid w:val="782A19A7"/>
    <w:rsid w:val="783A65E1"/>
    <w:rsid w:val="78BDBC0E"/>
    <w:rsid w:val="78D67859"/>
    <w:rsid w:val="79AD5BB8"/>
    <w:rsid w:val="79CF6809"/>
    <w:rsid w:val="7A1B3CCB"/>
    <w:rsid w:val="7A1D4785"/>
    <w:rsid w:val="7A734841"/>
    <w:rsid w:val="7AAA715F"/>
    <w:rsid w:val="7ABD07EA"/>
    <w:rsid w:val="7AFF3B41"/>
    <w:rsid w:val="7B6D121C"/>
    <w:rsid w:val="7B99B29F"/>
    <w:rsid w:val="7BEB1A2A"/>
    <w:rsid w:val="7C277D4C"/>
    <w:rsid w:val="7C9F2536"/>
    <w:rsid w:val="7CEE3573"/>
    <w:rsid w:val="7CFAF70C"/>
    <w:rsid w:val="7CFD2E34"/>
    <w:rsid w:val="7D726AB0"/>
    <w:rsid w:val="7D765C16"/>
    <w:rsid w:val="7D9DD707"/>
    <w:rsid w:val="7DAF4B6D"/>
    <w:rsid w:val="7DB725F6"/>
    <w:rsid w:val="7DBA6E62"/>
    <w:rsid w:val="7DDFC7B0"/>
    <w:rsid w:val="7DEBF142"/>
    <w:rsid w:val="7DEE4027"/>
    <w:rsid w:val="7DF055E8"/>
    <w:rsid w:val="7DFB26B2"/>
    <w:rsid w:val="7DFDE26C"/>
    <w:rsid w:val="7E202807"/>
    <w:rsid w:val="7EB8BD7D"/>
    <w:rsid w:val="7EE129C9"/>
    <w:rsid w:val="7EE59474"/>
    <w:rsid w:val="7EEB9057"/>
    <w:rsid w:val="7EF60079"/>
    <w:rsid w:val="7EFBD815"/>
    <w:rsid w:val="7EFE95E6"/>
    <w:rsid w:val="7EFEBDCF"/>
    <w:rsid w:val="7EFFBDBB"/>
    <w:rsid w:val="7EFFE83E"/>
    <w:rsid w:val="7F16FA4F"/>
    <w:rsid w:val="7F1FA727"/>
    <w:rsid w:val="7F571F50"/>
    <w:rsid w:val="7F7510DD"/>
    <w:rsid w:val="7F7EB4CA"/>
    <w:rsid w:val="7F7EE7A2"/>
    <w:rsid w:val="7F8FFFB2"/>
    <w:rsid w:val="7F972298"/>
    <w:rsid w:val="7FA36035"/>
    <w:rsid w:val="7FA754E4"/>
    <w:rsid w:val="7FAFA287"/>
    <w:rsid w:val="7FB76BFF"/>
    <w:rsid w:val="7FDFBC68"/>
    <w:rsid w:val="7FEFB78C"/>
    <w:rsid w:val="7FF923EB"/>
    <w:rsid w:val="7FFF66B2"/>
    <w:rsid w:val="97D9B684"/>
    <w:rsid w:val="9BED5902"/>
    <w:rsid w:val="9CB5F109"/>
    <w:rsid w:val="9F9B2378"/>
    <w:rsid w:val="9FD3AFEF"/>
    <w:rsid w:val="9FEEBA72"/>
    <w:rsid w:val="A7FD7F22"/>
    <w:rsid w:val="A97BCAF1"/>
    <w:rsid w:val="ABA6BCE2"/>
    <w:rsid w:val="ADEF4F27"/>
    <w:rsid w:val="AEFB1859"/>
    <w:rsid w:val="AFED72C0"/>
    <w:rsid w:val="B5BF2C98"/>
    <w:rsid w:val="B7E75761"/>
    <w:rsid w:val="B87F2CE6"/>
    <w:rsid w:val="BAABA552"/>
    <w:rsid w:val="BB6B6336"/>
    <w:rsid w:val="BB77B33A"/>
    <w:rsid w:val="BB7BE591"/>
    <w:rsid w:val="BBE70AE2"/>
    <w:rsid w:val="BBEE9896"/>
    <w:rsid w:val="BBFF4E7C"/>
    <w:rsid w:val="BBFF5595"/>
    <w:rsid w:val="BC3ED3A4"/>
    <w:rsid w:val="BCFD02F3"/>
    <w:rsid w:val="BCFF2EB2"/>
    <w:rsid w:val="BDBB44FA"/>
    <w:rsid w:val="BDF579C5"/>
    <w:rsid w:val="BDFD5810"/>
    <w:rsid w:val="BE3E30BC"/>
    <w:rsid w:val="BEF708A1"/>
    <w:rsid w:val="BF4E6B03"/>
    <w:rsid w:val="BF5F8343"/>
    <w:rsid w:val="BF7D2307"/>
    <w:rsid w:val="BF7E92C4"/>
    <w:rsid w:val="BFBBFB32"/>
    <w:rsid w:val="BFBFCB5E"/>
    <w:rsid w:val="BFBFF637"/>
    <w:rsid w:val="BFE60B9D"/>
    <w:rsid w:val="BFEF8213"/>
    <w:rsid w:val="BFFB1B0B"/>
    <w:rsid w:val="BFFF2E19"/>
    <w:rsid w:val="C75BED66"/>
    <w:rsid w:val="C7FB573D"/>
    <w:rsid w:val="CEFD38AC"/>
    <w:rsid w:val="CF6FC151"/>
    <w:rsid w:val="CFAF87E1"/>
    <w:rsid w:val="D2E7FB1E"/>
    <w:rsid w:val="D379D36D"/>
    <w:rsid w:val="D37EFD2A"/>
    <w:rsid w:val="D3D5FD5F"/>
    <w:rsid w:val="D57EC3D8"/>
    <w:rsid w:val="D5D7187C"/>
    <w:rsid w:val="D75E3B7E"/>
    <w:rsid w:val="D77D1611"/>
    <w:rsid w:val="D7BFC7CE"/>
    <w:rsid w:val="D7FE793A"/>
    <w:rsid w:val="DAFF7BB9"/>
    <w:rsid w:val="DBF3F236"/>
    <w:rsid w:val="DBF735A0"/>
    <w:rsid w:val="DC7B3B84"/>
    <w:rsid w:val="DCE8D744"/>
    <w:rsid w:val="DCFDA020"/>
    <w:rsid w:val="DCFF4D7B"/>
    <w:rsid w:val="DE7F9E29"/>
    <w:rsid w:val="DECB67DC"/>
    <w:rsid w:val="DEFB584A"/>
    <w:rsid w:val="DF3BEF1D"/>
    <w:rsid w:val="DF7BC040"/>
    <w:rsid w:val="DFCF55FB"/>
    <w:rsid w:val="DFDF8A55"/>
    <w:rsid w:val="DFF9F561"/>
    <w:rsid w:val="DFFC5C5F"/>
    <w:rsid w:val="E3FD4651"/>
    <w:rsid w:val="E7F39C62"/>
    <w:rsid w:val="EAFE90DA"/>
    <w:rsid w:val="EB9D7DD0"/>
    <w:rsid w:val="EBE17211"/>
    <w:rsid w:val="EBF95236"/>
    <w:rsid w:val="EDF7FCFA"/>
    <w:rsid w:val="EEFF9AB9"/>
    <w:rsid w:val="EF7D8DF5"/>
    <w:rsid w:val="EF9403AE"/>
    <w:rsid w:val="EFA99D2F"/>
    <w:rsid w:val="EFD14F00"/>
    <w:rsid w:val="EFEF4A06"/>
    <w:rsid w:val="EFEFDFA5"/>
    <w:rsid w:val="EFFE02FE"/>
    <w:rsid w:val="F3518E7E"/>
    <w:rsid w:val="F4EF8251"/>
    <w:rsid w:val="F5B863B4"/>
    <w:rsid w:val="F5BA302D"/>
    <w:rsid w:val="F5FEFC3B"/>
    <w:rsid w:val="F73D6F76"/>
    <w:rsid w:val="F76FC7DD"/>
    <w:rsid w:val="F7775CB3"/>
    <w:rsid w:val="F7AA53E8"/>
    <w:rsid w:val="F7CF0998"/>
    <w:rsid w:val="F7ED2226"/>
    <w:rsid w:val="F7FE9B87"/>
    <w:rsid w:val="F9710B47"/>
    <w:rsid w:val="F9DD87F4"/>
    <w:rsid w:val="FAFEB457"/>
    <w:rsid w:val="FB3FBF9C"/>
    <w:rsid w:val="FBBD1F6F"/>
    <w:rsid w:val="FBF294DF"/>
    <w:rsid w:val="FBFB01CE"/>
    <w:rsid w:val="FCC7AA78"/>
    <w:rsid w:val="FCFB2887"/>
    <w:rsid w:val="FDEF817A"/>
    <w:rsid w:val="FDFDE84E"/>
    <w:rsid w:val="FDFFAB66"/>
    <w:rsid w:val="FEB7B913"/>
    <w:rsid w:val="FEBF9847"/>
    <w:rsid w:val="FEDD235E"/>
    <w:rsid w:val="FEDFEB92"/>
    <w:rsid w:val="FF352CFE"/>
    <w:rsid w:val="FF53E7DB"/>
    <w:rsid w:val="FF676943"/>
    <w:rsid w:val="FF7523A3"/>
    <w:rsid w:val="FF76A575"/>
    <w:rsid w:val="FF7B0BD3"/>
    <w:rsid w:val="FF7EBF2F"/>
    <w:rsid w:val="FFC6C3A4"/>
    <w:rsid w:val="FFE21E79"/>
    <w:rsid w:val="FFEB8823"/>
    <w:rsid w:val="FFF60673"/>
    <w:rsid w:val="FFF679A7"/>
    <w:rsid w:val="FFF74775"/>
    <w:rsid w:val="FFF7CD88"/>
    <w:rsid w:val="FFFD3A71"/>
    <w:rsid w:val="FFFD5E01"/>
    <w:rsid w:val="FFFF25F3"/>
    <w:rsid w:val="FFFFE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640" w:firstLineChars="200"/>
      <w:jc w:val="both"/>
    </w:pPr>
    <w:rPr>
      <w:rFonts w:ascii="仿宋_GB2312" w:hAnsi="仿宋_GB2312" w:eastAsia="仿宋_GB2312" w:cs="仿宋_GB2312"/>
      <w:kern w:val="2"/>
      <w:sz w:val="32"/>
      <w:szCs w:val="22"/>
      <w:lang w:val="en-US" w:eastAsia="zh-CN" w:bidi="ar-SA"/>
    </w:rPr>
  </w:style>
  <w:style w:type="paragraph" w:styleId="3">
    <w:name w:val="heading 1"/>
    <w:basedOn w:val="4"/>
    <w:next w:val="4"/>
    <w:link w:val="31"/>
    <w:qFormat/>
    <w:uiPriority w:val="9"/>
    <w:pPr>
      <w:numPr>
        <w:ilvl w:val="0"/>
        <w:numId w:val="0"/>
      </w:numPr>
      <w:spacing w:line="360" w:lineRule="auto"/>
      <w:ind w:left="0" w:firstLine="640" w:firstLineChars="200"/>
      <w:jc w:val="left"/>
      <w:outlineLvl w:val="0"/>
    </w:pPr>
    <w:rPr>
      <w:rFonts w:ascii="Times New Roman" w:hAnsi="Times New Roman" w:eastAsia="黑体"/>
      <w:bCs/>
      <w:kern w:val="44"/>
      <w:szCs w:val="44"/>
    </w:rPr>
  </w:style>
  <w:style w:type="paragraph" w:styleId="5">
    <w:name w:val="heading 2"/>
    <w:basedOn w:val="1"/>
    <w:next w:val="1"/>
    <w:link w:val="32"/>
    <w:unhideWhenUsed/>
    <w:qFormat/>
    <w:uiPriority w:val="1"/>
    <w:pPr>
      <w:keepNext/>
      <w:keepLines/>
      <w:numPr>
        <w:ilvl w:val="0"/>
        <w:numId w:val="0"/>
      </w:numPr>
      <w:spacing w:line="360" w:lineRule="auto"/>
      <w:ind w:left="0"/>
      <w:outlineLvl w:val="1"/>
    </w:pPr>
    <w:rPr>
      <w:rFonts w:ascii="Times New Roman" w:hAnsi="Times New Roman" w:eastAsia="楷体_GB2312" w:cstheme="majorBidi"/>
      <w:b/>
      <w:bCs/>
      <w:kern w:val="0"/>
      <w:szCs w:val="32"/>
      <w:lang w:val="zh-CN"/>
    </w:rPr>
  </w:style>
  <w:style w:type="paragraph" w:styleId="6">
    <w:name w:val="heading 3"/>
    <w:basedOn w:val="1"/>
    <w:next w:val="1"/>
    <w:link w:val="33"/>
    <w:unhideWhenUsed/>
    <w:qFormat/>
    <w:uiPriority w:val="9"/>
    <w:pPr>
      <w:keepNext/>
      <w:keepLines/>
      <w:outlineLvl w:val="2"/>
    </w:pPr>
    <w:rPr>
      <w:rFonts w:ascii="仿宋_GB2312" w:hAnsi="仿宋_GB2312" w:cs="仿宋_GB2312"/>
      <w:b/>
      <w:bCs/>
      <w:szCs w:val="32"/>
      <w:lang w:val="zh-CN"/>
    </w:rPr>
  </w:style>
  <w:style w:type="paragraph" w:styleId="7">
    <w:name w:val="heading 4"/>
    <w:basedOn w:val="1"/>
    <w:next w:val="1"/>
    <w:unhideWhenUsed/>
    <w:qFormat/>
    <w:uiPriority w:val="9"/>
    <w:pPr>
      <w:keepNext/>
      <w:keepLines/>
      <w:spacing w:beforeLines="0" w:beforeAutospacing="0" w:afterLines="0" w:afterAutospacing="0" w:line="360" w:lineRule="auto"/>
      <w:outlineLvl w:val="3"/>
    </w:pPr>
    <w:rPr>
      <w:rFonts w:ascii="Arial" w:hAnsi="Arial" w:eastAsia="仿宋_GB2312" w:cs="Times New Roman"/>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customStyle="1" w:styleId="4">
    <w:name w:val="中政正文"/>
    <w:basedOn w:val="1"/>
    <w:qFormat/>
    <w:uiPriority w:val="0"/>
    <w:pPr>
      <w:spacing w:line="600" w:lineRule="exact"/>
    </w:pPr>
    <w:rPr>
      <w:rFonts w:cs="Times New Roman"/>
      <w:kern w:val="0"/>
      <w:szCs w:val="28"/>
      <w:lang w:val="zh-CN"/>
    </w:rPr>
  </w:style>
  <w:style w:type="paragraph" w:styleId="8">
    <w:name w:val="Normal Indent"/>
    <w:basedOn w:val="1"/>
    <w:qFormat/>
    <w:uiPriority w:val="0"/>
    <w:pPr>
      <w:ind w:firstLine="420"/>
    </w:pPr>
    <w:rPr>
      <w:rFonts w:ascii="Times New Roman" w:hAnsi="Times New Roman" w:eastAsia="宋体" w:cs="Times New Roman"/>
      <w:sz w:val="21"/>
    </w:rPr>
  </w:style>
  <w:style w:type="paragraph" w:styleId="9">
    <w:name w:val="annotation text"/>
    <w:basedOn w:val="1"/>
    <w:link w:val="47"/>
    <w:unhideWhenUsed/>
    <w:qFormat/>
    <w:uiPriority w:val="99"/>
    <w:pPr>
      <w:jc w:val="left"/>
    </w:pPr>
  </w:style>
  <w:style w:type="paragraph" w:styleId="10">
    <w:name w:val="Body Text"/>
    <w:basedOn w:val="1"/>
    <w:next w:val="1"/>
    <w:unhideWhenUsed/>
    <w:qFormat/>
    <w:uiPriority w:val="99"/>
    <w:rPr>
      <w:b/>
      <w:bCs/>
      <w:sz w:val="24"/>
    </w:rPr>
  </w:style>
  <w:style w:type="paragraph" w:styleId="11">
    <w:name w:val="Body Text Indent"/>
    <w:basedOn w:val="1"/>
    <w:qFormat/>
    <w:uiPriority w:val="0"/>
    <w:pPr>
      <w:ind w:left="420" w:leftChars="200"/>
    </w:pPr>
  </w:style>
  <w:style w:type="paragraph" w:styleId="12">
    <w:name w:val="toc 3"/>
    <w:basedOn w:val="1"/>
    <w:next w:val="1"/>
    <w:unhideWhenUsed/>
    <w:qFormat/>
    <w:uiPriority w:val="39"/>
    <w:pPr>
      <w:ind w:left="840" w:leftChars="400"/>
    </w:pPr>
  </w:style>
  <w:style w:type="paragraph" w:styleId="13">
    <w:name w:val="Balloon Text"/>
    <w:basedOn w:val="1"/>
    <w:link w:val="38"/>
    <w:unhideWhenUsed/>
    <w:qFormat/>
    <w:uiPriority w:val="99"/>
    <w:pPr>
      <w:spacing w:line="240" w:lineRule="auto"/>
    </w:pPr>
    <w:rPr>
      <w:sz w:val="18"/>
      <w:szCs w:val="18"/>
    </w:rPr>
  </w:style>
  <w:style w:type="paragraph" w:styleId="14">
    <w:name w:val="footer"/>
    <w:basedOn w:val="1"/>
    <w:link w:val="37"/>
    <w:unhideWhenUsed/>
    <w:qFormat/>
    <w:uiPriority w:val="99"/>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unhideWhenUsed/>
    <w:qFormat/>
    <w:uiPriority w:val="99"/>
    <w:rPr>
      <w:sz w:val="24"/>
    </w:rPr>
  </w:style>
  <w:style w:type="paragraph" w:styleId="20">
    <w:name w:val="annotation subject"/>
    <w:basedOn w:val="9"/>
    <w:next w:val="9"/>
    <w:link w:val="48"/>
    <w:unhideWhenUsed/>
    <w:qFormat/>
    <w:uiPriority w:val="99"/>
    <w:rPr>
      <w:b/>
      <w:bCs/>
    </w:rPr>
  </w:style>
  <w:style w:type="paragraph" w:styleId="21">
    <w:name w:val="Body Text First Indent"/>
    <w:basedOn w:val="10"/>
    <w:unhideWhenUsed/>
    <w:qFormat/>
    <w:uiPriority w:val="99"/>
    <w:pPr>
      <w:spacing w:after="120"/>
      <w:ind w:firstLine="420" w:firstLineChars="100"/>
    </w:pPr>
    <w:rPr>
      <w:rFonts w:ascii="Times New Roman"/>
      <w:sz w:val="32"/>
    </w:rPr>
  </w:style>
  <w:style w:type="paragraph" w:styleId="22">
    <w:name w:val="Body Text First Indent 2"/>
    <w:basedOn w:val="11"/>
    <w:qFormat/>
    <w:uiPriority w:val="0"/>
    <w:pPr>
      <w:ind w:firstLine="420"/>
    </w:pPr>
    <w:rPr>
      <w:rFonts w:ascii="Times New Roman" w:hAnsi="Times New Roma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basedOn w:val="25"/>
    <w:unhideWhenUsed/>
    <w:qFormat/>
    <w:uiPriority w:val="99"/>
  </w:style>
  <w:style w:type="character" w:styleId="28">
    <w:name w:val="FollowedHyperlink"/>
    <w:basedOn w:val="25"/>
    <w:unhideWhenUsed/>
    <w:qFormat/>
    <w:uiPriority w:val="99"/>
    <w:rPr>
      <w:color w:val="800080"/>
      <w:u w:val="single"/>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unhideWhenUsed/>
    <w:qFormat/>
    <w:uiPriority w:val="99"/>
    <w:rPr>
      <w:sz w:val="21"/>
      <w:szCs w:val="21"/>
    </w:rPr>
  </w:style>
  <w:style w:type="character" w:customStyle="1" w:styleId="31">
    <w:name w:val="标题 1 字符"/>
    <w:basedOn w:val="25"/>
    <w:link w:val="3"/>
    <w:qFormat/>
    <w:uiPriority w:val="9"/>
    <w:rPr>
      <w:rFonts w:ascii="Times New Roman" w:hAnsi="Times New Roman" w:eastAsia="黑体" w:cs="Times New Roman"/>
      <w:bCs/>
      <w:kern w:val="44"/>
      <w:sz w:val="32"/>
      <w:szCs w:val="44"/>
      <w:lang w:val="zh-CN"/>
    </w:rPr>
  </w:style>
  <w:style w:type="character" w:customStyle="1" w:styleId="32">
    <w:name w:val="标题 2 字符"/>
    <w:basedOn w:val="25"/>
    <w:link w:val="5"/>
    <w:qFormat/>
    <w:uiPriority w:val="1"/>
    <w:rPr>
      <w:rFonts w:ascii="Times New Roman" w:hAnsi="Times New Roman" w:eastAsia="楷体_GB2312" w:cstheme="majorBidi"/>
      <w:b/>
      <w:bCs/>
      <w:kern w:val="0"/>
      <w:sz w:val="32"/>
      <w:szCs w:val="32"/>
      <w:lang w:val="zh-CN"/>
    </w:rPr>
  </w:style>
  <w:style w:type="character" w:customStyle="1" w:styleId="33">
    <w:name w:val="标题 3 字符"/>
    <w:basedOn w:val="25"/>
    <w:link w:val="6"/>
    <w:qFormat/>
    <w:uiPriority w:val="9"/>
    <w:rPr>
      <w:rFonts w:ascii="仿宋_GB2312" w:hAnsi="仿宋_GB2312" w:eastAsia="仿宋_GB2312" w:cs="仿宋_GB2312"/>
      <w:b/>
      <w:bCs/>
      <w:kern w:val="2"/>
      <w:sz w:val="32"/>
      <w:szCs w:val="32"/>
      <w:lang w:val="zh-CN"/>
    </w:rPr>
  </w:style>
  <w:style w:type="paragraph" w:customStyle="1" w:styleId="34">
    <w:name w:val="闻政正文"/>
    <w:basedOn w:val="1"/>
    <w:link w:val="35"/>
    <w:qFormat/>
    <w:uiPriority w:val="0"/>
    <w:pPr>
      <w:spacing w:line="600" w:lineRule="exact"/>
    </w:pPr>
    <w:rPr>
      <w:rFonts w:ascii="Times New Roman" w:hAnsi="Times New Roman" w:cs="Times New Roman"/>
      <w:kern w:val="0"/>
      <w:szCs w:val="28"/>
      <w:lang w:val="zh-CN"/>
    </w:rPr>
  </w:style>
  <w:style w:type="character" w:customStyle="1" w:styleId="35">
    <w:name w:val="闻政正文 Char"/>
    <w:link w:val="34"/>
    <w:qFormat/>
    <w:uiPriority w:val="0"/>
    <w:rPr>
      <w:rFonts w:ascii="Times New Roman" w:hAnsi="Times New Roman" w:eastAsia="仿宋_GB2312" w:cs="Times New Roman"/>
      <w:kern w:val="0"/>
      <w:sz w:val="32"/>
      <w:szCs w:val="28"/>
      <w:lang w:val="zh-CN"/>
    </w:rPr>
  </w:style>
  <w:style w:type="character" w:customStyle="1" w:styleId="36">
    <w:name w:val="页眉 字符"/>
    <w:basedOn w:val="25"/>
    <w:link w:val="15"/>
    <w:qFormat/>
    <w:uiPriority w:val="99"/>
    <w:rPr>
      <w:sz w:val="18"/>
      <w:szCs w:val="18"/>
    </w:rPr>
  </w:style>
  <w:style w:type="character" w:customStyle="1" w:styleId="37">
    <w:name w:val="页脚 字符"/>
    <w:basedOn w:val="25"/>
    <w:link w:val="14"/>
    <w:qFormat/>
    <w:uiPriority w:val="99"/>
    <w:rPr>
      <w:sz w:val="18"/>
      <w:szCs w:val="18"/>
    </w:rPr>
  </w:style>
  <w:style w:type="character" w:customStyle="1" w:styleId="38">
    <w:name w:val="批注框文本 字符"/>
    <w:basedOn w:val="25"/>
    <w:link w:val="13"/>
    <w:semiHidden/>
    <w:qFormat/>
    <w:uiPriority w:val="99"/>
    <w:rPr>
      <w:rFonts w:eastAsia="仿宋_GB2312"/>
      <w:sz w:val="18"/>
      <w:szCs w:val="18"/>
    </w:rPr>
  </w:style>
  <w:style w:type="paragraph" w:customStyle="1" w:styleId="39">
    <w:name w:val="列表段落1"/>
    <w:basedOn w:val="1"/>
    <w:qFormat/>
    <w:uiPriority w:val="99"/>
    <w:pPr>
      <w:ind w:firstLine="420"/>
    </w:pPr>
  </w:style>
  <w:style w:type="paragraph" w:customStyle="1" w:styleId="40">
    <w:name w:val="纯文本113"/>
    <w:basedOn w:val="1"/>
    <w:qFormat/>
    <w:uiPriority w:val="0"/>
    <w:rPr>
      <w:rFonts w:ascii="宋体" w:hAnsi="Courier New"/>
      <w:szCs w:val="20"/>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4">
    <w:name w:val="font31"/>
    <w:basedOn w:val="25"/>
    <w:qFormat/>
    <w:uiPriority w:val="0"/>
    <w:rPr>
      <w:rFonts w:hint="eastAsia" w:ascii="仿宋_GB2312" w:eastAsia="仿宋_GB2312" w:cs="仿宋_GB2312"/>
      <w:color w:val="000000"/>
      <w:sz w:val="22"/>
      <w:szCs w:val="22"/>
      <w:u w:val="none"/>
    </w:rPr>
  </w:style>
  <w:style w:type="character" w:customStyle="1" w:styleId="45">
    <w:name w:val="font01"/>
    <w:basedOn w:val="25"/>
    <w:qFormat/>
    <w:uiPriority w:val="0"/>
    <w:rPr>
      <w:rFonts w:hint="eastAsia" w:ascii="仿宋_GB2312" w:eastAsia="仿宋_GB2312" w:cs="仿宋_GB2312"/>
      <w:color w:val="000000"/>
      <w:sz w:val="22"/>
      <w:szCs w:val="22"/>
      <w:u w:val="none"/>
      <w:vertAlign w:val="superscript"/>
    </w:rPr>
  </w:style>
  <w:style w:type="character" w:customStyle="1" w:styleId="46">
    <w:name w:val="font51"/>
    <w:basedOn w:val="25"/>
    <w:qFormat/>
    <w:uiPriority w:val="0"/>
    <w:rPr>
      <w:rFonts w:hint="default" w:ascii="Arial" w:hAnsi="Arial" w:cs="Arial"/>
      <w:color w:val="000000"/>
      <w:sz w:val="22"/>
      <w:szCs w:val="22"/>
      <w:u w:val="none"/>
    </w:rPr>
  </w:style>
  <w:style w:type="character" w:customStyle="1" w:styleId="47">
    <w:name w:val="批注文字 字符"/>
    <w:basedOn w:val="25"/>
    <w:link w:val="9"/>
    <w:qFormat/>
    <w:uiPriority w:val="99"/>
    <w:rPr>
      <w:rFonts w:eastAsia="仿宋_GB2312" w:asciiTheme="minorHAnsi" w:hAnsiTheme="minorHAnsi" w:cstheme="minorBidi"/>
      <w:kern w:val="2"/>
      <w:sz w:val="28"/>
      <w:szCs w:val="22"/>
    </w:rPr>
  </w:style>
  <w:style w:type="character" w:customStyle="1" w:styleId="48">
    <w:name w:val="批注主题 字符"/>
    <w:basedOn w:val="47"/>
    <w:link w:val="20"/>
    <w:semiHidden/>
    <w:qFormat/>
    <w:uiPriority w:val="99"/>
    <w:rPr>
      <w:rFonts w:eastAsia="仿宋_GB2312" w:asciiTheme="minorHAnsi" w:hAnsiTheme="minorHAnsi" w:cstheme="minorBidi"/>
      <w:b/>
      <w:bCs/>
      <w:kern w:val="2"/>
      <w:sz w:val="28"/>
      <w:szCs w:val="22"/>
    </w:rPr>
  </w:style>
  <w:style w:type="paragraph" w:customStyle="1" w:styleId="49">
    <w:name w:val="msolistparagraph"/>
    <w:basedOn w:val="1"/>
    <w:qFormat/>
    <w:uiPriority w:val="0"/>
    <w:pPr>
      <w:spacing w:line="240" w:lineRule="auto"/>
      <w:ind w:firstLine="420"/>
    </w:pPr>
    <w:rPr>
      <w:rFonts w:ascii="Calibri" w:hAnsi="Calibri" w:eastAsia="宋体" w:cs="Times New Roman"/>
      <w:sz w:val="21"/>
      <w:szCs w:val="24"/>
    </w:rPr>
  </w:style>
  <w:style w:type="character" w:customStyle="1" w:styleId="50">
    <w:name w:val="font11"/>
    <w:basedOn w:val="25"/>
    <w:qFormat/>
    <w:uiPriority w:val="0"/>
    <w:rPr>
      <w:rFonts w:hint="default" w:ascii="Arial" w:hAnsi="Arial" w:cs="Arial"/>
      <w:color w:val="000000"/>
      <w:sz w:val="22"/>
      <w:szCs w:val="22"/>
      <w:u w:val="none"/>
    </w:rPr>
  </w:style>
  <w:style w:type="character" w:customStyle="1" w:styleId="51">
    <w:name w:val="font21"/>
    <w:basedOn w:val="25"/>
    <w:qFormat/>
    <w:uiPriority w:val="0"/>
    <w:rPr>
      <w:rFonts w:hint="eastAsia" w:ascii="仿宋_GB2312" w:eastAsia="仿宋_GB2312" w:cs="仿宋_GB2312"/>
      <w:color w:val="000000"/>
      <w:sz w:val="22"/>
      <w:szCs w:val="22"/>
      <w:u w:val="none"/>
    </w:rPr>
  </w:style>
  <w:style w:type="character" w:customStyle="1" w:styleId="52">
    <w:name w:val="占位符文本1"/>
    <w:basedOn w:val="25"/>
    <w:semiHidden/>
    <w:qFormat/>
    <w:uiPriority w:val="99"/>
    <w:rPr>
      <w:color w:val="808080"/>
    </w:rPr>
  </w:style>
  <w:style w:type="table" w:customStyle="1" w:styleId="53">
    <w:name w:val="网格型6"/>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p1"/>
    <w:basedOn w:val="1"/>
    <w:qFormat/>
    <w:uiPriority w:val="0"/>
    <w:pPr>
      <w:jc w:val="left"/>
    </w:pPr>
    <w:rPr>
      <w:rFonts w:ascii="pingfang sc" w:hAnsi="pingfang sc" w:eastAsia="pingfang sc" w:cs="Times New Roman"/>
      <w:color w:val="000000"/>
      <w:kern w:val="0"/>
      <w:sz w:val="28"/>
      <w:szCs w:val="28"/>
    </w:rPr>
  </w:style>
  <w:style w:type="paragraph" w:customStyle="1" w:styleId="55">
    <w:name w:val="p3"/>
    <w:basedOn w:val="1"/>
    <w:qFormat/>
    <w:uiPriority w:val="0"/>
    <w:pPr>
      <w:jc w:val="left"/>
    </w:pPr>
    <w:rPr>
      <w:rFonts w:ascii="Helvetica Neue" w:hAnsi="Helvetica Neue" w:eastAsia="Helvetica Neue" w:cs="Times New Roman"/>
      <w:color w:val="000000"/>
      <w:kern w:val="0"/>
      <w:sz w:val="28"/>
      <w:szCs w:val="28"/>
    </w:rPr>
  </w:style>
  <w:style w:type="paragraph" w:customStyle="1" w:styleId="56">
    <w:name w:val="p2"/>
    <w:basedOn w:val="1"/>
    <w:qFormat/>
    <w:uiPriority w:val="0"/>
    <w:pPr>
      <w:jc w:val="left"/>
    </w:pPr>
    <w:rPr>
      <w:rFonts w:ascii="Helvetica Neue" w:hAnsi="Helvetica Neue" w:eastAsia="Helvetica Neue" w:cs="Times New Roman"/>
      <w:color w:val="000000"/>
      <w:kern w:val="0"/>
      <w:sz w:val="28"/>
      <w:szCs w:val="28"/>
    </w:rPr>
  </w:style>
  <w:style w:type="character" w:customStyle="1" w:styleId="57">
    <w:name w:val="s1"/>
    <w:basedOn w:val="25"/>
    <w:qFormat/>
    <w:uiPriority w:val="0"/>
    <w:rPr>
      <w:rFonts w:hint="default" w:ascii="Helvetica Neue" w:hAnsi="Helvetica Neue" w:eastAsia="Helvetica Neue" w:cs="Helvetica Neue"/>
      <w:sz w:val="28"/>
      <w:szCs w:val="28"/>
    </w:rPr>
  </w:style>
  <w:style w:type="character" w:customStyle="1" w:styleId="58">
    <w:name w:val="s2"/>
    <w:basedOn w:val="25"/>
    <w:qFormat/>
    <w:uiPriority w:val="0"/>
    <w:rPr>
      <w:rFonts w:hint="eastAsia" w:ascii="pingfang sc" w:hAnsi="pingfang sc" w:eastAsia="pingfang sc" w:cs="pingfang sc"/>
      <w:sz w:val="28"/>
      <w:szCs w:val="28"/>
    </w:rPr>
  </w:style>
  <w:style w:type="character" w:customStyle="1" w:styleId="59">
    <w:name w:val="font41"/>
    <w:basedOn w:val="25"/>
    <w:qFormat/>
    <w:uiPriority w:val="0"/>
    <w:rPr>
      <w:rFonts w:hint="eastAsia" w:ascii="仿宋_GB2312" w:eastAsia="仿宋_GB2312" w:cs="仿宋_GB2312"/>
      <w:color w:val="000000"/>
      <w:sz w:val="24"/>
      <w:szCs w:val="24"/>
      <w:u w:val="none"/>
    </w:rPr>
  </w:style>
  <w:style w:type="paragraph" w:customStyle="1" w:styleId="60">
    <w:name w:val="Body text|1"/>
    <w:basedOn w:val="1"/>
    <w:qFormat/>
    <w:uiPriority w:val="0"/>
    <w:pPr>
      <w:widowControl w:val="0"/>
      <w:shd w:val="clear" w:color="auto" w:fill="auto"/>
      <w:spacing w:line="466" w:lineRule="auto"/>
      <w:ind w:firstLine="400"/>
    </w:pPr>
    <w:rPr>
      <w:rFonts w:ascii="宋体" w:hAnsi="宋体" w:eastAsia="宋体" w:cs="宋体"/>
      <w:sz w:val="28"/>
      <w:szCs w:val="28"/>
      <w:u w:val="none"/>
      <w:shd w:val="clear" w:color="auto" w:fill="auto"/>
      <w:lang w:val="zh-TW" w:eastAsia="zh-TW" w:bidi="zh-TW"/>
    </w:rPr>
  </w:style>
  <w:style w:type="paragraph" w:customStyle="1" w:styleId="61">
    <w:name w:val="仿宋正文"/>
    <w:basedOn w:val="1"/>
    <w:qFormat/>
    <w:uiPriority w:val="0"/>
    <w:pPr>
      <w:adjustRightInd w:val="0"/>
      <w:spacing w:line="360" w:lineRule="auto"/>
      <w:ind w:firstLine="480" w:firstLineChars="200"/>
      <w:textAlignment w:val="baseline"/>
    </w:pPr>
    <w:rPr>
      <w:rFonts w:ascii="仿宋_GB2312" w:hAnsi="仿宋_GB2312" w:eastAsia="仿宋_GB2312" w:cs="仿宋_GB2312"/>
      <w:color w:val="000000"/>
      <w:sz w:val="24"/>
      <w:szCs w:val="24"/>
    </w:rPr>
  </w:style>
  <w:style w:type="paragraph" w:styleId="62">
    <w:name w:val="List Paragraph"/>
    <w:basedOn w:val="1"/>
    <w:qFormat/>
    <w:uiPriority w:val="34"/>
    <w:pPr>
      <w:spacing w:line="360" w:lineRule="auto"/>
      <w:ind w:firstLine="200" w:firstLineChars="200"/>
      <w:jc w:val="left"/>
    </w:pPr>
    <w:rPr>
      <w:rFonts w:ascii="Calibri" w:hAnsi="Calibri"/>
      <w:sz w:val="24"/>
    </w:rPr>
  </w:style>
  <w:style w:type="paragraph" w:customStyle="1" w:styleId="63">
    <w:name w:val="UserStyle_0"/>
    <w:basedOn w:val="1"/>
    <w:qFormat/>
    <w:uiPriority w:val="0"/>
    <w:pPr>
      <w:spacing w:before="15"/>
      <w:ind w:left="120"/>
      <w:jc w:val="both"/>
      <w:textAlignment w:val="baseline"/>
    </w:pPr>
    <w:rPr>
      <w:rFonts w:ascii="Arial Unicode MS" w:hAnsi="Arial Unicode MS" w:eastAsia="Arial Unicode M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1995</Words>
  <Characters>11373</Characters>
  <Lines>94</Lines>
  <Paragraphs>26</Paragraphs>
  <TotalTime>3</TotalTime>
  <ScaleCrop>false</ScaleCrop>
  <LinksUpToDate>false</LinksUpToDate>
  <CharactersWithSpaces>13342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2021-06-10T13:04:00Z</dcterms:created>
  <dc:creator>张 睿琪</dc:creator>
  <cp:lastModifiedBy>♋帅得封了顶</cp:lastModifiedBy>
  <dcterms:modified xsi:type="dcterms:W3CDTF">2021-06-30T01:51:48Z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412CE5C78AB54A76B26A654986A07D15</vt:lpwstr>
  </property>
</Properties>
</file>