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96"/>
        <w:gridCol w:w="1838"/>
        <w:gridCol w:w="163"/>
        <w:gridCol w:w="1872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ascii="宋体" w:hAnsi="宋体" w:cs="黑体"/>
                <w:b/>
                <w:bCs/>
                <w:color w:val="1A1A1A"/>
                <w:sz w:val="32"/>
                <w:szCs w:val="32"/>
                <w:shd w:val="clear" w:color="auto" w:fill="FFFFFF"/>
              </w:rPr>
              <w:t>深圳市司法局关于</w:t>
            </w:r>
            <w:r>
              <w:rPr>
                <w:rFonts w:hint="eastAsia" w:ascii="宋体" w:hAnsi="宋体" w:cs="黑体"/>
                <w:b/>
                <w:bCs/>
                <w:color w:val="1A1A1A"/>
                <w:sz w:val="32"/>
                <w:szCs w:val="32"/>
                <w:shd w:val="clear" w:color="auto" w:fill="FFFFFF"/>
              </w:rPr>
              <w:t>对20210316号提案</w:t>
            </w:r>
            <w:r>
              <w:rPr>
                <w:rFonts w:ascii="宋体" w:hAnsi="宋体" w:cs="黑体"/>
                <w:b/>
                <w:bCs/>
                <w:color w:val="1A1A1A"/>
                <w:sz w:val="32"/>
                <w:szCs w:val="32"/>
                <w:shd w:val="clear" w:color="auto" w:fill="FFFFFF"/>
              </w:rPr>
              <w:t>的</w:t>
            </w:r>
            <w:r>
              <w:rPr>
                <w:rFonts w:hint="eastAsia" w:ascii="宋体" w:hAnsi="宋体" w:cs="黑体"/>
                <w:b/>
                <w:bCs/>
                <w:color w:val="1A1A1A"/>
                <w:sz w:val="32"/>
                <w:szCs w:val="32"/>
                <w:shd w:val="clear" w:color="auto" w:fill="FFFFFF"/>
              </w:rPr>
              <w:t>答复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办理结果清单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建议一</w:t>
            </w:r>
          </w:p>
        </w:tc>
        <w:tc>
          <w:tcPr>
            <w:tcW w:w="5692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由深圳市破产事务管理署牵头进行调研，起草《深圳经济特区个人破产清算管理人管理办法》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当年完成事项</w:t>
            </w:r>
          </w:p>
        </w:tc>
        <w:tc>
          <w:tcPr>
            <w:tcW w:w="5692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1.成</w:t>
            </w: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32"/>
                <w:szCs w:val="32"/>
              </w:rPr>
              <w:t>立《管理办法（草案）》起草小组，组织本部门工作人员研究、学习借鉴国内、香港特别行政区和英国、美国有关企业和个人破产管理人管理的制度，就《管理办法（草案）》中关于名册编制与动态管理、管理人履职规范、管理人监督考核及服务保障、“无产可破”案件管理人报酬保障问题等重点制度进行研究，积极推进《管理办法（草案）》起草工作，形成《管理办法（草案）》初稿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32"/>
                <w:szCs w:val="32"/>
              </w:rPr>
              <w:t>2.就《管理办法（草案）》起草过程中碰到的疑难问题，委托专业机构开展个人破产管理人制度比较研究，深入研究英国、美国、日本等国家和香港特别行政区有关个人破产管理人的制度，为《管理办法（草案）》起草提供制度创新的理论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当年推动工作</w:t>
            </w:r>
          </w:p>
        </w:tc>
        <w:tc>
          <w:tcPr>
            <w:tcW w:w="5692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32"/>
                <w:szCs w:val="32"/>
              </w:rPr>
              <w:t>抓紧开展《管理办法（草案）》征求意见、重点制度论证等工作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明年待落实事项</w:t>
            </w:r>
          </w:p>
        </w:tc>
        <w:tc>
          <w:tcPr>
            <w:tcW w:w="5692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按照法定程序推动</w:t>
            </w: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32"/>
                <w:szCs w:val="32"/>
              </w:rPr>
              <w:t>《管理办法》出台实施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不能采纳原因</w:t>
            </w:r>
          </w:p>
        </w:tc>
        <w:tc>
          <w:tcPr>
            <w:tcW w:w="5692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采纳建议。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9061" w:type="dxa"/>
            <w:gridSpan w:val="6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补充说明：在办理过程中，市破产事务管理署认真研究、采纳了吴波委员有关意见和建议，吸收了市中级人民法院有关会办意见，按照规定开展了各项有关工作，形成办理意见。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061" w:type="dxa"/>
            <w:gridSpan w:val="6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办理实效评估类别：B类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84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166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林少科</w:t>
            </w:r>
          </w:p>
        </w:tc>
        <w:tc>
          <w:tcPr>
            <w:tcW w:w="202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48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18923886385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C1A7E"/>
    <w:rsid w:val="7A3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2021-11-03T08:18:00Z</dcterms:created>
  <dc:creator>阿营</dc:creator>
  <cp:lastModifiedBy>阿营</cp:lastModifiedBy>
  <dcterms:modified xsi:type="dcterms:W3CDTF">2021-11-03T08:19:29Z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0FA7B68C8C464A91AF48520E688C95EE</vt:lpwstr>
  </property>
</Properties>
</file>