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2"/>
          <w:sz w:val="36"/>
          <w:szCs w:val="36"/>
          <w:lang w:val="en-US" w:eastAsia="zh-CN" w:bidi="ar-SA"/>
        </w:rPr>
        <w:t>《深圳市关于布置2021年统计年报和2022年定期统计报表制度的通知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kern w:val="2"/>
          <w:sz w:val="36"/>
          <w:szCs w:val="36"/>
          <w:lang w:val="en-US" w:eastAsia="zh-CN" w:bidi="ar-SA"/>
        </w:rPr>
        <w:t>（征求意见稿）》反馈情况一览表</w:t>
      </w:r>
    </w:p>
    <w:p/>
    <w:tbl>
      <w:tblPr>
        <w:tblStyle w:val="4"/>
        <w:tblW w:w="14121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320"/>
        <w:gridCol w:w="5493"/>
        <w:gridCol w:w="6427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单位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反馈意见</w:t>
            </w:r>
          </w:p>
        </w:tc>
        <w:tc>
          <w:tcPr>
            <w:tcW w:w="6427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处理结果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881" w:type="dxa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wordWrap w:val="0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市民</w:t>
            </w:r>
          </w:p>
        </w:tc>
        <w:tc>
          <w:tcPr>
            <w:tcW w:w="5493" w:type="dxa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制定《通知》的依据？</w:t>
            </w:r>
          </w:p>
        </w:tc>
        <w:tc>
          <w:tcPr>
            <w:tcW w:w="6427" w:type="dxa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line="30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解释说明。（一）《中华人民共和国统计法》及其实施条例等法律法规；（二）《国家统计局关于印发2021年统计年报和2022年定期统计报表制度主要修订内容的通知》（国统字〔2021〕117号）。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wordWrap w:val="0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市民</w:t>
            </w:r>
          </w:p>
        </w:tc>
        <w:tc>
          <w:tcPr>
            <w:tcW w:w="5493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2021年统计年报和2022年定期统计报表制度执行什么标准？</w:t>
            </w:r>
          </w:p>
        </w:tc>
        <w:tc>
          <w:tcPr>
            <w:tcW w:w="6427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line="30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解释说明。执行《国民经济行业分类》（GB/T 4754-2017）第1号修改单、《教育培训及相关产业统计分类》《数字经济及其核心产业统计分类》《节能环保清洁产业统计分类》等国民经济行业分类和国家统计分类标准，并据此汇总发布相关数据。</w:t>
            </w: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衷心感谢社会各界对我局工作的支持！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810D0"/>
    <w:multiLevelType w:val="multilevel"/>
    <w:tmpl w:val="36A810D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A151E"/>
    <w:rsid w:val="0FD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eastAsia="宋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ascii="Arial" w:hAnsi="Arial" w:cs="Times New Roman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2021-11-16T10:44:00Z</dcterms:created>
  <dc:creator>好饭友</dc:creator>
  <cp:lastModifiedBy>好饭友</cp:lastModifiedBy>
  <dcterms:modified xsi:type="dcterms:W3CDTF">2021-11-16T10:46:05Z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D63C9DB6A378484B89EEF7B09AFA8238</vt:lpwstr>
  </property>
</Properties>
</file>