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附件2</w:t>
      </w:r>
    </w:p>
    <w:p>
      <w:pPr>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《深圳市推进全过程工程咨询服务发展的实施意见（征求意见稿）》</w:t>
      </w:r>
    </w:p>
    <w:p>
      <w:pPr>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公开征集意见采纳情况一览表</w:t>
      </w:r>
    </w:p>
    <w:p>
      <w:pPr>
        <w:rPr>
          <w:rFonts w:ascii="宋体" w:hAnsi="宋体" w:eastAsia="宋体"/>
          <w:sz w:val="24"/>
          <w:szCs w:val="24"/>
        </w:rPr>
      </w:pPr>
      <w:r>
        <w:rPr>
          <w:rFonts w:hint="eastAsia" w:ascii="宋体" w:hAnsi="宋体" w:eastAsia="宋体"/>
          <w:sz w:val="24"/>
          <w:szCs w:val="24"/>
        </w:rPr>
        <w:t>说明：共回收反馈意见</w:t>
      </w:r>
      <w:r>
        <w:rPr>
          <w:rFonts w:hint="eastAsia" w:ascii="宋体" w:hAnsi="宋体" w:eastAsia="宋体"/>
          <w:sz w:val="24"/>
          <w:szCs w:val="24"/>
          <w:lang w:val="en-US" w:eastAsia="zh-CN"/>
        </w:rPr>
        <w:t>10</w:t>
      </w:r>
      <w:r>
        <w:rPr>
          <w:rFonts w:ascii="宋体" w:hAnsi="宋体" w:eastAsia="宋体"/>
          <w:sz w:val="24"/>
          <w:szCs w:val="24"/>
        </w:rPr>
        <w:t>条</w:t>
      </w:r>
      <w:r>
        <w:rPr>
          <w:rFonts w:hint="eastAsia" w:ascii="宋体" w:hAnsi="宋体" w:eastAsia="宋体"/>
          <w:sz w:val="24"/>
          <w:szCs w:val="24"/>
        </w:rPr>
        <w:t>，</w:t>
      </w:r>
      <w:r>
        <w:rPr>
          <w:rFonts w:hint="eastAsia" w:ascii="宋体" w:hAnsi="宋体" w:eastAsia="宋体"/>
          <w:sz w:val="24"/>
          <w:szCs w:val="24"/>
          <w:lang w:val="en-US" w:eastAsia="zh-CN"/>
        </w:rPr>
        <w:t>采纳1条，不</w:t>
      </w:r>
      <w:r>
        <w:rPr>
          <w:rFonts w:ascii="宋体" w:hAnsi="宋体" w:eastAsia="宋体"/>
          <w:sz w:val="24"/>
          <w:szCs w:val="24"/>
        </w:rPr>
        <w:t>采纳</w:t>
      </w:r>
      <w:r>
        <w:rPr>
          <w:rFonts w:hint="eastAsia" w:ascii="宋体" w:hAnsi="宋体" w:eastAsia="宋体"/>
          <w:sz w:val="24"/>
          <w:szCs w:val="24"/>
          <w:lang w:val="en-US" w:eastAsia="zh-CN"/>
        </w:rPr>
        <w:t>1条，解释说明8条</w:t>
      </w:r>
      <w:r>
        <w:rPr>
          <w:rFonts w:ascii="宋体" w:hAnsi="宋体" w:eastAsia="宋体"/>
          <w:sz w:val="24"/>
          <w:szCs w:val="24"/>
        </w:rPr>
        <w:t>。</w:t>
      </w:r>
    </w:p>
    <w:tbl>
      <w:tblPr>
        <w:tblStyle w:val="7"/>
        <w:tblW w:w="14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689"/>
        <w:gridCol w:w="1436"/>
        <w:gridCol w:w="5772"/>
        <w:gridCol w:w="1065"/>
        <w:gridCol w:w="5254"/>
      </w:tblGrid>
      <w:tr>
        <w:tblPrEx>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b/>
                <w:bCs/>
                <w:sz w:val="24"/>
                <w:szCs w:val="24"/>
              </w:rPr>
            </w:pPr>
            <w:r>
              <w:rPr>
                <w:rFonts w:hint="eastAsia" w:ascii="宋体" w:hAnsi="宋体" w:eastAsia="宋体"/>
                <w:b/>
                <w:bCs/>
                <w:sz w:val="24"/>
                <w:szCs w:val="24"/>
              </w:rPr>
              <w:t>序号</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bCs/>
                <w:sz w:val="24"/>
                <w:szCs w:val="24"/>
                <w:lang w:val="en-US" w:eastAsia="zh-CN"/>
              </w:rPr>
            </w:pPr>
            <w:r>
              <w:rPr>
                <w:rFonts w:hint="eastAsia" w:ascii="宋体" w:hAnsi="宋体" w:eastAsia="宋体"/>
                <w:b/>
                <w:bCs/>
                <w:sz w:val="24"/>
                <w:szCs w:val="24"/>
              </w:rPr>
              <w:t>单位</w:t>
            </w:r>
            <w:r>
              <w:rPr>
                <w:rFonts w:hint="eastAsia" w:ascii="宋体" w:hAnsi="宋体" w:eastAsia="宋体"/>
                <w:b/>
                <w:bCs/>
                <w:sz w:val="24"/>
                <w:szCs w:val="24"/>
                <w:lang w:val="en-US" w:eastAsia="zh-CN"/>
              </w:rPr>
              <w:t>或个人</w:t>
            </w:r>
          </w:p>
        </w:tc>
        <w:tc>
          <w:tcPr>
            <w:tcW w:w="57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b/>
                <w:bCs/>
                <w:sz w:val="24"/>
                <w:szCs w:val="24"/>
              </w:rPr>
            </w:pPr>
            <w:r>
              <w:rPr>
                <w:rFonts w:hint="eastAsia" w:ascii="宋体" w:hAnsi="宋体" w:eastAsia="宋体"/>
                <w:b/>
                <w:bCs/>
                <w:sz w:val="24"/>
                <w:szCs w:val="24"/>
              </w:rPr>
              <w:t>意见</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b/>
                <w:bCs/>
                <w:sz w:val="24"/>
                <w:szCs w:val="24"/>
              </w:rPr>
            </w:pPr>
            <w:r>
              <w:rPr>
                <w:rFonts w:hint="eastAsia" w:ascii="宋体" w:hAnsi="宋体" w:eastAsia="宋体"/>
                <w:b/>
                <w:bCs/>
                <w:sz w:val="24"/>
                <w:szCs w:val="24"/>
              </w:rPr>
              <w:t>采纳情况</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采纳</w:t>
            </w:r>
            <w:r>
              <w:rPr>
                <w:rFonts w:hint="eastAsia" w:ascii="宋体" w:hAnsi="宋体" w:eastAsia="宋体"/>
                <w:b/>
                <w:bCs/>
                <w:sz w:val="24"/>
                <w:szCs w:val="24"/>
              </w:rPr>
              <w:t>情况</w:t>
            </w:r>
            <w:r>
              <w:rPr>
                <w:rFonts w:hint="eastAsia" w:ascii="宋体" w:hAnsi="宋体" w:eastAsia="宋体"/>
                <w:b/>
                <w:bCs/>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十六</w:t>
            </w:r>
            <w:r>
              <w:rPr>
                <w:rFonts w:hint="eastAsia" w:ascii="宋体" w:hAnsi="宋体" w:eastAsia="宋体"/>
                <w:b w:val="0"/>
                <w:bCs w:val="0"/>
                <w:sz w:val="24"/>
                <w:szCs w:val="24"/>
                <w:lang w:eastAsia="zh-CN"/>
              </w:rPr>
              <w:t>）</w:t>
            </w:r>
            <w:r>
              <w:rPr>
                <w:rFonts w:hint="eastAsia" w:ascii="宋体" w:hAnsi="宋体" w:eastAsia="宋体"/>
                <w:b w:val="0"/>
                <w:bCs w:val="0"/>
                <w:sz w:val="24"/>
                <w:szCs w:val="24"/>
              </w:rPr>
              <w:t>建议改为：提倡咨询单位大力开发和利用建筑信息模型（BIM）、大数据、物联网等现代信息技术和资源，搭建企业级和项目级的现代信息化协同平台，开展BIM+全程过咨询业务，努力提高信息化管理与应用水平，招标时对同时具备BIM数字化能力的咨询企业进行适当倾斜，为开展全过程工程咨询服务提供保障。</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采纳</w:t>
            </w:r>
          </w:p>
        </w:tc>
        <w:tc>
          <w:tcPr>
            <w:tcW w:w="5254" w:type="dxa"/>
            <w:vAlign w:val="center"/>
          </w:tcPr>
          <w:p>
            <w:pPr>
              <w:pStyle w:val="10"/>
              <w:spacing w:line="360" w:lineRule="auto"/>
              <w:ind w:left="0" w:leftChars="0" w:firstLine="0" w:firstLineChars="0"/>
              <w:outlineLvl w:val="2"/>
              <w:rPr>
                <w:rFonts w:hint="eastAsia" w:ascii="宋体" w:hAnsi="宋体" w:eastAsia="宋体"/>
                <w:b w:val="0"/>
                <w:bCs w:val="0"/>
                <w:sz w:val="24"/>
                <w:szCs w:val="24"/>
                <w:lang w:val="en-US" w:eastAsia="zh-CN"/>
              </w:rPr>
            </w:pPr>
            <w:r>
              <w:rPr>
                <w:rFonts w:hint="eastAsia" w:ascii="宋体" w:hAnsi="宋体" w:eastAsia="宋体" w:cstheme="minorBidi"/>
                <w:b w:val="0"/>
                <w:bCs w:val="0"/>
                <w:kern w:val="2"/>
                <w:sz w:val="24"/>
                <w:szCs w:val="24"/>
                <w:lang w:val="en-US" w:eastAsia="zh-CN" w:bidi="ar-SA"/>
              </w:rPr>
              <w:t>已将“（十六）大力建设现代信息化平台”部分内容改为：“提倡咨询单位大力开发和利用建筑信息模型（BIM）、大数据、物联网等现代信息技术和资源，搭建企业级和项目级的现代信息化协同平台，开展BIM+全程过咨询业务，努力提高信息化管理与应用水平，为开展全过程工程咨询服务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建议更严谨地表述或同步提出政府投资项目审批机制相应改革措施及改革时间表，方能保证落地。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政府投资项目审批机制改革相关措施超出本《实施意见》范围，且已经由相关部门正在落实并不断完善。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本《实施意见》既适用于社会投资项目，也适用于政府投资项目。根据当前试点项目情况来看，政府投资项目数量较社会投资项目更多。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3</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要求政府投资和国有控股项目（控股比例51%以上）2025年起全部推行全过程工程咨询模式，至少应包括“项目管理+监理”模式。</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lang w:val="en-US" w:eastAsia="zh-CN"/>
              </w:rPr>
            </w:pPr>
            <w:r>
              <w:rPr>
                <w:rFonts w:hint="eastAsia" w:ascii="宋体" w:hAnsi="宋体" w:eastAsia="宋体"/>
                <w:b w:val="0"/>
                <w:bCs w:val="0"/>
                <w:sz w:val="24"/>
                <w:szCs w:val="24"/>
                <w:lang w:val="en-US" w:eastAsia="zh-CN"/>
              </w:rPr>
              <w:t>本《实施意见》已要求政府投资项目和国有企业投资项目优先引入全过程工程咨询服务。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lang w:val="en-US" w:eastAsia="zh-CN"/>
              </w:rPr>
            </w:pPr>
            <w:r>
              <w:rPr>
                <w:rFonts w:hint="eastAsia" w:ascii="宋体" w:hAnsi="宋体" w:eastAsia="宋体"/>
                <w:b w:val="0"/>
                <w:bCs w:val="0"/>
                <w:sz w:val="24"/>
                <w:szCs w:val="24"/>
                <w:lang w:val="en-US" w:eastAsia="zh-CN"/>
              </w:rPr>
              <w:t>各种不同类别的项目根据自身的特点有不同的咨询服务要求，不宜强制要求政府投资和国有控股项目（控股比例51%以上）的所有项目必须实行全过程工程咨询模式且包括</w:t>
            </w:r>
            <w:r>
              <w:rPr>
                <w:rFonts w:hint="eastAsia" w:ascii="宋体" w:hAnsi="宋体" w:eastAsia="宋体"/>
                <w:b w:val="0"/>
                <w:bCs w:val="0"/>
                <w:sz w:val="24"/>
                <w:szCs w:val="24"/>
              </w:rPr>
              <w:t>“项目管理+监理”模式</w:t>
            </w:r>
            <w:r>
              <w:rPr>
                <w:rFonts w:hint="eastAsia" w:ascii="宋体" w:hAnsi="宋体" w:eastAsia="宋体"/>
                <w:b w:val="0"/>
                <w:bCs w:val="0"/>
                <w:sz w:val="24"/>
                <w:szCs w:val="24"/>
                <w:lang w:val="en-US" w:eastAsia="zh-CN"/>
              </w:rPr>
              <w:t>。如对于自身具有一定管理实力的建设单位，可自选模式以避免资源浪费。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4</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1、将“全过程工程咨询项目负责人”直接称为“总咨询师”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2、建议此处取消“高级职称”要求。</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本《实施意见》与《国家发展改革委 住房城乡建设部关于推进全过程工程咨询服务发展的指导意见》（发改投资规[2019]515号）对项目负责人的称谓及资格要求保持一致。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5</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尽快修改“省统表”竣工验收报告模板，将总咨询师在竣工验收报告中体现，作为业绩证明。</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关于“省统表”的修订，需由上级行业主管部门决定，我局将积极反映此类诉求。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6</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按人工成本加酬金方式计取的，人均年产值不得低于行业中等偏上水平。</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lang w:val="en-US" w:eastAsia="zh-CN"/>
              </w:rPr>
            </w:pPr>
            <w:r>
              <w:rPr>
                <w:rFonts w:hint="eastAsia" w:ascii="宋体" w:hAnsi="宋体" w:eastAsia="宋体"/>
                <w:b w:val="0"/>
                <w:bCs w:val="0"/>
                <w:sz w:val="24"/>
                <w:szCs w:val="24"/>
                <w:lang w:val="en-US" w:eastAsia="zh-CN"/>
              </w:rPr>
              <w:t>具体酬金计取方式可在招标文件和合同中约定。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7</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增加重整工程咨询（监理）行业内容。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本《实施意见》“二、主要任务（十四）鼓励发展多种形式的全过程工程咨询服务模式”中已鼓励工程咨询单位根据自身的优势和特点，采取联合经营、并购重组等方式积极延伸服务内容，提供全方位的全过程工程咨询服务。</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rPr>
              <w:t>重整工程咨询（监理）行业</w:t>
            </w:r>
            <w:r>
              <w:rPr>
                <w:rFonts w:hint="eastAsia" w:ascii="宋体" w:hAnsi="宋体" w:eastAsia="宋体"/>
                <w:b w:val="0"/>
                <w:bCs w:val="0"/>
                <w:sz w:val="24"/>
                <w:szCs w:val="24"/>
                <w:lang w:val="en-US" w:eastAsia="zh-CN"/>
              </w:rPr>
              <w:t>相关内容超出了本《实施意见》范围。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8</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对具有企业级或项目级信息化平台的，招标阶段可适当加分。</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lang w:val="en-US" w:eastAsia="zh-CN"/>
              </w:rPr>
            </w:pPr>
            <w:r>
              <w:rPr>
                <w:rFonts w:hint="eastAsia" w:ascii="宋体" w:hAnsi="宋体" w:eastAsia="宋体"/>
                <w:b w:val="0"/>
                <w:bCs w:val="0"/>
                <w:sz w:val="24"/>
                <w:szCs w:val="24"/>
                <w:lang w:val="en-US" w:eastAsia="zh-CN"/>
              </w:rPr>
              <w:t>招标人自主招标，可由招标人在招标文件中约定，不宜由实施意见规定投标加分项。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9</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鼓励我市投资咨询、勘察设计、造价咨询、监理等单位通过联合体方式或并购重组方式参与全过程工程咨询服务投标。采用并购重组方式投标的，并购重组前的企业和人员资质资格、业绩可作为并购重组以后的企业和人员资质资格、业绩使用参与全过程工程咨询服务投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解释</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鼓励我市投资咨询、勘察设计、造价咨询、监理等单位通过联合体方式参与全过程工程咨询服务投标。同时，鼓励工程咨询单位根据自身的优势和特点，采取联合经营、并购重组等方式积极延伸服务内容，提供全方位的全过程工程咨询服务。关于资质认定，需参照招投标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16" w:hRule="atLeast"/>
        </w:trPr>
        <w:tc>
          <w:tcPr>
            <w:tcW w:w="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10</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rPr>
              <w:t>社会企业和市民</w:t>
            </w:r>
          </w:p>
        </w:tc>
        <w:tc>
          <w:tcPr>
            <w:tcW w:w="577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b w:val="0"/>
                <w:bCs w:val="0"/>
                <w:sz w:val="24"/>
                <w:szCs w:val="24"/>
              </w:rPr>
            </w:pPr>
            <w:r>
              <w:rPr>
                <w:rFonts w:hint="eastAsia" w:ascii="宋体" w:hAnsi="宋体" w:eastAsia="宋体"/>
                <w:b w:val="0"/>
                <w:bCs w:val="0"/>
                <w:sz w:val="24"/>
                <w:szCs w:val="24"/>
              </w:rPr>
              <w:t>建议参考湖南省相关政策，或结合实际情况，划定必须强制实施全过程工程咨询服务范围，如一年内要求开工建成的学校项目必须采用全过程工程咨询服务等。</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不采纳</w:t>
            </w:r>
          </w:p>
        </w:tc>
        <w:tc>
          <w:tcPr>
            <w:tcW w:w="52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楷体_GB2312"/>
                <w:b/>
                <w:bCs/>
                <w:sz w:val="24"/>
                <w:szCs w:val="24"/>
                <w:lang w:val="en-US" w:eastAsia="zh-CN"/>
              </w:rPr>
            </w:pPr>
            <w:r>
              <w:rPr>
                <w:rFonts w:hint="eastAsia" w:ascii="宋体" w:hAnsi="宋体" w:eastAsia="宋体"/>
                <w:b w:val="0"/>
                <w:bCs w:val="0"/>
                <w:sz w:val="24"/>
                <w:szCs w:val="24"/>
                <w:lang w:val="en-US" w:eastAsia="zh-CN"/>
              </w:rPr>
              <w:t>为优化营商环境，规范性文件不宜设置此类要求。</w:t>
            </w:r>
          </w:p>
        </w:tc>
      </w:tr>
    </w:tbl>
    <w:p>
      <w:pPr>
        <w:rPr>
          <w:sz w:val="24"/>
          <w:szCs w:val="24"/>
        </w:rPr>
      </w:pPr>
      <w:bookmarkStart w:id="0" w:name="_GoBack"/>
      <w:bookmarkEnd w:id="0"/>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498B1"/>
    <w:multiLevelType w:val="singleLevel"/>
    <w:tmpl w:val="911498B1"/>
    <w:lvl w:ilvl="0" w:tentative="0">
      <w:start w:val="1"/>
      <w:numFmt w:val="decimal"/>
      <w:suff w:val="nothing"/>
      <w:lvlText w:val="%1、"/>
      <w:lvlJc w:val="left"/>
    </w:lvl>
  </w:abstractNum>
  <w:abstractNum w:abstractNumId="1">
    <w:nsid w:val="BF037041"/>
    <w:multiLevelType w:val="singleLevel"/>
    <w:tmpl w:val="BF037041"/>
    <w:lvl w:ilvl="0" w:tentative="0">
      <w:start w:val="1"/>
      <w:numFmt w:val="decimal"/>
      <w:suff w:val="nothing"/>
      <w:lvlText w:val="%1、"/>
      <w:lvlJc w:val="left"/>
      <w:rPr>
        <w:rFonts w:hint="default"/>
        <w:b w:val="0"/>
        <w:bCs w:val="0"/>
      </w:rPr>
    </w:lvl>
  </w:abstractNum>
  <w:abstractNum w:abstractNumId="2">
    <w:nsid w:val="4C5818DF"/>
    <w:multiLevelType w:val="singleLevel"/>
    <w:tmpl w:val="4C5818DF"/>
    <w:lvl w:ilvl="0" w:tentative="0">
      <w:start w:val="1"/>
      <w:numFmt w:val="decimal"/>
      <w:suff w:val="nothing"/>
      <w:lvlText w:val="%1、"/>
      <w:lvlJc w:val="left"/>
      <w:rPr>
        <w:rFonts w:hint="default"/>
        <w:b w:val="0"/>
        <w:bCs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17A06"/>
    <w:rsid w:val="04217A06"/>
    <w:rsid w:val="04F15E1A"/>
    <w:rsid w:val="1C9371C0"/>
    <w:rsid w:val="240412B8"/>
    <w:rsid w:val="32E56621"/>
    <w:rsid w:val="33066B2B"/>
    <w:rsid w:val="33975C40"/>
    <w:rsid w:val="38F30B2E"/>
    <w:rsid w:val="49EF0A01"/>
    <w:rsid w:val="5D3073CB"/>
    <w:rsid w:val="684A7A98"/>
    <w:rsid w:val="7DB8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2021-12-30T03:55:00Z</dcterms:created>
  <dc:creator>WF</dc:creator>
  <cp:lastModifiedBy>WF</cp:lastModifiedBy>
  <dcterms:modified xsi:type="dcterms:W3CDTF">2021-12-30T07:21:44Z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6594BBEED6F640CDAC7A684B403DEEEB</vt:lpwstr>
  </property>
</Properties>
</file>