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  <w:lang w:val="en-US" w:eastAsia="zh-CN"/>
        </w:rPr>
        <w:t>起草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说明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 xml:space="preserve">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为深入贯彻落实党中央、国务院关于碳达峰碳中和决策部署，优化调整能源结构，推进我市光伏产业高质量发展，支持分布式光伏发电项目（以下简称“光伏项目”）推广应用，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>市发展改革委研究起草</w:t>
      </w:r>
      <w:r>
        <w:rPr>
          <w:rFonts w:hint="eastAsia" w:ascii="仿宋_GB2312" w:hAnsi="华文仿宋" w:eastAsia="仿宋_GB2312" w:cs="Times New Roman"/>
          <w:sz w:val="32"/>
          <w:szCs w:val="32"/>
        </w:rPr>
        <w:t>了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《关于大力推进分布式光伏发电的若干措施（征求意见稿）》（以下简称《若干措施》）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和《深圳市分布式光伏发电项目管理操作指引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（征求意见稿）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》（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以下简称《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操作指引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》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</w:rPr>
        <w:t>有关情况说明如下。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一、起草背景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2021年6月7日，国家发展改革委印发《关于2021年新能源上网电价政策有关事项的通知》（发改价格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〔2021〕833号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），指出自2021年起，对新备案工商业光伏项目，中央财政不再补助，实行平价上网，鼓励各地出台针对性扶持政策，支持光伏发电等新能源产业持续健康发展。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10月24日，国务院印发《2030年前碳达峰行动方案》（国发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〔2021〕23号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），提出全面推进风电、太阳能大规模开发和高质量发展，坚持集中式与分布式并举，加快建设风电和光伏发电基地；加快智能光伏产业创新升级和特色应用，创新“光伏+”模式，推进光伏发电多元布局。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开展全市光伏项目建设，有利于整合资源实现集约开发，有利于削减电力尖峰负荷，有利于节约优化电网投资，有利于引导居民绿色能源消费，有利于减少我市碳排放量，是实现“碳达峰、碳中和”国家重大战略的重要措施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。因此，为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支持分布式光伏推广应用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，推进我市光伏产业高质量发展，</w:t>
      </w:r>
      <w:r>
        <w:rPr>
          <w:rFonts w:hint="eastAsia" w:ascii="仿宋_GB2312" w:hAnsi="华文仿宋" w:eastAsia="仿宋_GB2312" w:cs="Times New Roman"/>
          <w:sz w:val="32"/>
          <w:szCs w:val="32"/>
        </w:rPr>
        <w:t>有必要尽快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研究</w:t>
      </w:r>
      <w:r>
        <w:rPr>
          <w:rFonts w:hint="eastAsia" w:ascii="仿宋_GB2312" w:hAnsi="华文仿宋" w:eastAsia="仿宋_GB2312" w:cs="Times New Roman"/>
          <w:sz w:val="32"/>
          <w:szCs w:val="32"/>
        </w:rPr>
        <w:t>制定《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若干措施</w:t>
      </w:r>
      <w:r>
        <w:rPr>
          <w:rFonts w:hint="eastAsia" w:ascii="仿宋_GB2312" w:hAnsi="华文仿宋" w:eastAsia="仿宋_GB2312" w:cs="Times New Roman"/>
          <w:sz w:val="32"/>
          <w:szCs w:val="32"/>
        </w:rPr>
        <w:t>》</w:t>
      </w:r>
      <w:r>
        <w:rPr>
          <w:rFonts w:hint="eastAsia" w:ascii="仿宋_GB2312" w:hAnsi="华文仿宋" w:eastAsia="仿宋_GB2312" w:cs="Times New Roman"/>
          <w:sz w:val="32"/>
          <w:szCs w:val="32"/>
          <w:lang w:eastAsia="zh-CN"/>
        </w:rPr>
        <w:t>和《操作指引》</w:t>
      </w:r>
      <w:r>
        <w:rPr>
          <w:rFonts w:hint="eastAsia" w:ascii="仿宋_GB2312" w:hAnsi="华文仿宋" w:eastAsia="仿宋_GB2312" w:cs="Times New Roman"/>
          <w:sz w:val="32"/>
          <w:szCs w:val="32"/>
        </w:rPr>
        <w:t>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640" w:firstLineChars="200"/>
        <w:jc w:val="left"/>
        <w:textAlignment w:val="auto"/>
        <w:outlineLvl w:val="0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"/>
        </w:rPr>
        <w:t>主要内容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楷体_GB2312" w:hAnsi="黑体" w:eastAsia="楷体_GB2312" w:cs="黑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黑体" w:eastAsia="楷体_GB2312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（一）《若干措施》主要内容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《若干措施》主要包括以下八部分的内容：推进分布式光伏规模应用、完善光伏项目管理工作、培育光伏产业和骨干企业、创新光伏项目投融资服务、加强光伏并网管理和服务、实施新建光伏项目财政补贴、强化安全责任监管和其他，具体说明如下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楷体_GB2312" w:hAnsi="黑体" w:eastAsia="楷体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  <w:t>推进分布式光伏规模应用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按照“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宜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建尽建”原则，因地制宜推进分布式光伏规模应用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。我市大型企业要带头开展光伏项目建设。各区要积极发挥属地责任，出台针对性扶持政策，建立光伏发电应用协调工作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机制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，确保完成我市分解的各区建设指标任务，力争“十四五”期间，全市新增光伏装机容量达到150万千瓦。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  <w:t>完善光伏项目管理工作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市发展改革委负责制定光伏项目管理操作指引，同时明确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项目备案和项目验收要求。鼓励各区将根据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操作指引，并结合实际情况制定本区光伏项目管理办法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  <w:t>培育光伏产业和骨干企业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以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推广应用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带动产业创新，积极加强政策引导与支持，建立光伏产业骨干企业培育机制，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努力培育一批本地光伏头部企业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  <w:t>创新光伏项目投融资服务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发挥政策性基金引导作用，鼓励社会资本积极投资建设光伏项目。鼓励探索创新金融产品和服务，鼓励各类基金、保险、信托等与产业资本结合，鼓励开展信用担保。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  <w:t>加强光伏并网管理和服务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电网企业要简化光伏项目的并网流程，开辟绿色通道，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积极构建新型电力系统，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保障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光伏项目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电量全额消纳。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楷体_GB2312" w:hAnsi="黑体" w:eastAsia="楷体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  <w:t>实施新建光伏项目财政补助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对于本市行政区域范围内已完成报批流程，并于2022年1月1日至2026年12月31日期间建成，并网计量的光伏项目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经发改部门审核后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纳入补贴范围。市级财政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对纳入补贴范围的发电</w:t>
      </w:r>
      <w:r>
        <w:rPr>
          <w:rFonts w:hint="eastAsia" w:ascii="仿宋_GB2312" w:hAnsi="仿宋_GB2312" w:eastAsia="仿宋_GB2312" w:cs="仿宋_GB2312"/>
          <w:sz w:val="32"/>
          <w:szCs w:val="32"/>
        </w:rPr>
        <w:t>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予以补贴。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hAnsi="黑体" w:eastAsia="楷体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</w:rPr>
        <w:t>明确安全责任主体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为明确光伏发电项目全过程安全责任，项目主体单位承担项目建设、运行安全管理主体责任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各区电力主管部门要积极协调自然资源、住房建设、应急管理、市场监管等部门建立联合监管机制，严把设备和工程质量关。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eastAsia="zh-CN"/>
        </w:rPr>
        <w:t>其他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明确《若干措施》生效时间和有效期。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楷体_GB2312" w:hAnsi="黑体" w:eastAsia="楷体_GB2312" w:cs="黑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黑体" w:eastAsia="楷体_GB2312" w:cs="黑体"/>
          <w:b/>
          <w:bCs/>
          <w:color w:val="000000"/>
          <w:sz w:val="32"/>
          <w:szCs w:val="32"/>
          <w:shd w:val="clear" w:color="auto" w:fill="FFFFFF"/>
          <w:lang w:eastAsia="zh-CN"/>
        </w:rPr>
        <w:t>（二）《操作指引》主要内容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《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操作指引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》主要包括以下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三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部分的内容：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光伏项目管理、光伏项目财政补贴和其他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，具体说明如下：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eastAsia="zh-CN"/>
        </w:rPr>
        <w:t>光伏项目管理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本部分主要包括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 w:cs="Times New Roman"/>
          <w:sz w:val="32"/>
          <w:szCs w:val="32"/>
        </w:rPr>
        <w:t>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内容。一是明确光伏项目备案流程和提交材料要求；二是明确项目建设、验收和运维的具体要求。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2.光伏项目财政补贴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本部分主要包括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Times New Roman" w:eastAsia="仿宋_GB2312" w:cs="Times New Roman"/>
          <w:sz w:val="32"/>
          <w:szCs w:val="32"/>
        </w:rPr>
        <w:t>点内容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。一是明确补贴范围；二是明确基准常规光伏项目和光伏建筑一体化（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BIPV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）项目补贴标准；三是明确项目清单管理要求和申报流程；四是明确项目电量计量和补贴资金申报流程；五是明确补贴资金拨付流程。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黑体" w:eastAsia="楷体_GB2312" w:cs="黑体"/>
          <w:color w:val="000000"/>
          <w:sz w:val="32"/>
          <w:szCs w:val="32"/>
          <w:shd w:val="clear" w:color="auto" w:fill="FFFFFF"/>
          <w:lang w:val="en-US" w:eastAsia="zh-CN"/>
        </w:rPr>
        <w:t>3.其他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本部分主要包括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点内容。一是各区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要强化主体责任意识，确保完成年度建设任务；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二是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项目主体对申请材料真实性负责；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三是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市级财政补贴申请不需缴纳任何费用；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四是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项目主体在《若干措施》有效期内未主动申请，视为放弃补贴资格；五是市发展改革委负责解释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《</w:t>
      </w:r>
      <w:r>
        <w:rPr>
          <w:rFonts w:hint="eastAsia" w:ascii="仿宋_GB2312" w:hAnsi="Calibri" w:eastAsia="仿宋_GB2312" w:cs="Times New Roman"/>
          <w:bCs/>
          <w:sz w:val="32"/>
          <w:szCs w:val="32"/>
          <w:lang w:eastAsia="zh-CN"/>
        </w:rPr>
        <w:t>操作指引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》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62F3"/>
    <w:rsid w:val="1A5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2022-01-21T12:28:00Z</dcterms:created>
  <dc:creator>好饭友</dc:creator>
  <cp:lastModifiedBy>好饭友</cp:lastModifiedBy>
  <dcterms:modified xsi:type="dcterms:W3CDTF">2022-01-21T12:29:30Z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DEFF61DDF730437C8D03358A9D11D24D</vt:lpwstr>
  </property>
</Properties>
</file>