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auto"/>
        <w:ind w:firstLine="0" w:firstLineChars="0"/>
        <w:jc w:val="both"/>
        <w:rPr>
          <w:rFonts w:ascii="仿宋_GB2312" w:hAnsi="仿宋_GB2312" w:eastAsia="仿宋_GB2312" w:cs="仿宋_GB2312"/>
          <w:b/>
          <w:sz w:val="44"/>
          <w:szCs w:val="44"/>
          <w:lang w:bidi="ar"/>
        </w:rPr>
      </w:pPr>
      <w:r>
        <w:rPr>
          <w:rFonts w:hint="eastAsia" w:ascii="仿宋_GB2312" w:hAnsi="仿宋_GB2312" w:eastAsia="仿宋_GB2312" w:cs="仿宋_GB2312"/>
          <w:b/>
          <w:sz w:val="44"/>
          <w:szCs w:val="44"/>
          <w:lang w:bidi="ar"/>
        </w:rPr>
        <w:t>《深圳市互联网租赁自行车企业运营服务考核细则》意见采纳情况一览表</w:t>
      </w:r>
    </w:p>
    <w:p/>
    <w:tbl>
      <w:tblPr>
        <w:tblStyle w:val="10"/>
        <w:tblW w:w="1414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067"/>
        <w:gridCol w:w="6212"/>
        <w:gridCol w:w="1417"/>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序号</w:t>
            </w:r>
          </w:p>
        </w:tc>
        <w:tc>
          <w:tcPr>
            <w:tcW w:w="106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单位</w:t>
            </w: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意见建议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left="193" w:leftChars="92"/>
              <w:jc w:val="center"/>
              <w:rPr>
                <w:rFonts w:ascii="仿宋" w:hAnsi="仿宋" w:eastAsia="仿宋" w:cs="仿宋"/>
                <w:b/>
                <w:kern w:val="0"/>
                <w:sz w:val="24"/>
              </w:rPr>
            </w:pPr>
            <w:r>
              <w:rPr>
                <w:rFonts w:hint="eastAsia" w:ascii="仿宋" w:hAnsi="仿宋" w:eastAsia="仿宋" w:cs="仿宋"/>
                <w:b/>
                <w:kern w:val="0"/>
                <w:sz w:val="24"/>
                <w:lang w:bidi="ar"/>
              </w:rPr>
              <w:t>采纳情况</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
                <w:kern w:val="0"/>
                <w:sz w:val="24"/>
                <w:lang w:bidi="ar"/>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深圳</w:t>
            </w:r>
            <w:r>
              <w:rPr>
                <w:rFonts w:hint="eastAsia" w:ascii="仿宋" w:hAnsi="仿宋" w:eastAsia="仿宋" w:cs="仿宋"/>
                <w:kern w:val="0"/>
                <w:sz w:val="24"/>
                <w:lang w:val="en-US" w:eastAsia="zh-CN" w:bidi="ar"/>
              </w:rPr>
              <w:t>*</w:t>
            </w:r>
            <w:r>
              <w:rPr>
                <w:rFonts w:hint="eastAsia" w:ascii="仿宋" w:hAnsi="仿宋" w:eastAsia="仿宋" w:cs="仿宋"/>
                <w:kern w:val="0"/>
                <w:sz w:val="24"/>
                <w:lang w:bidi="ar"/>
              </w:rPr>
              <w:t>拜信息技术有限公司</w:t>
            </w: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建议在《考核细则》正文第四条（考核内容）增加“</w:t>
            </w:r>
            <w:r>
              <w:rPr>
                <w:rFonts w:hint="eastAsia" w:ascii="仿宋" w:hAnsi="仿宋" w:eastAsia="仿宋" w:cs="仿宋"/>
                <w:b/>
                <w:sz w:val="24"/>
                <w:lang w:bidi="ar"/>
              </w:rPr>
              <w:t>调整考核指标体系以及评分标准时需征求运营企业的意见</w:t>
            </w:r>
            <w:r>
              <w:rPr>
                <w:rFonts w:hint="eastAsia" w:ascii="仿宋" w:hAnsi="仿宋" w:eastAsia="仿宋" w:cs="仿宋"/>
                <w:sz w:val="24"/>
                <w:lang w:bidi="ar"/>
              </w:rPr>
              <w:t>”。</w:t>
            </w:r>
          </w:p>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 xml:space="preserve">    理由：运营企业作为行业的一份子，有责任和义务参与到考核细则的修改中，从实际运营中提出意见和建议，这样更加公平公正公开。</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0" w:firstLineChars="0"/>
              <w:jc w:val="center"/>
              <w:rPr>
                <w:rFonts w:ascii="仿宋" w:hAnsi="仿宋" w:eastAsia="仿宋" w:cs="仿宋"/>
                <w:kern w:val="0"/>
                <w:sz w:val="24"/>
              </w:rPr>
            </w:pPr>
            <w:r>
              <w:rPr>
                <w:rFonts w:hint="eastAsia" w:ascii="仿宋" w:hAnsi="仿宋" w:eastAsia="仿宋" w:cs="仿宋"/>
                <w:kern w:val="0"/>
                <w:sz w:val="24"/>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考核指标体系及评分标准根据我市互联网租赁自行车行业管理实际适时调整，届时在组织指标调整研讨工作会过程中，按照有关程序征求相关部门及企业意见。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建议将附件《深圳市互联网租赁自行车运营服务考核指标体系》（下称“附件”）第2条“活跃车辆”定义中的“</w:t>
            </w:r>
            <w:r>
              <w:rPr>
                <w:rFonts w:hint="eastAsia" w:ascii="仿宋" w:hAnsi="仿宋" w:eastAsia="仿宋" w:cs="仿宋"/>
                <w:b/>
                <w:sz w:val="24"/>
                <w:lang w:bidi="ar"/>
              </w:rPr>
              <w:t>168小时</w:t>
            </w:r>
            <w:r>
              <w:rPr>
                <w:rFonts w:hint="eastAsia" w:ascii="仿宋" w:hAnsi="仿宋" w:eastAsia="仿宋" w:cs="仿宋"/>
                <w:sz w:val="24"/>
                <w:lang w:bidi="ar"/>
              </w:rPr>
              <w:t>”延长为“</w:t>
            </w:r>
            <w:r>
              <w:rPr>
                <w:rFonts w:hint="eastAsia" w:ascii="仿宋" w:hAnsi="仿宋" w:eastAsia="仿宋" w:cs="仿宋"/>
                <w:b/>
                <w:sz w:val="24"/>
                <w:lang w:bidi="ar"/>
              </w:rPr>
              <w:t>336小时（两周）</w:t>
            </w:r>
            <w:r>
              <w:rPr>
                <w:rFonts w:hint="eastAsia" w:ascii="仿宋" w:hAnsi="仿宋" w:eastAsia="仿宋" w:cs="仿宋"/>
                <w:sz w:val="24"/>
                <w:lang w:bidi="ar"/>
              </w:rPr>
              <w:t>”</w:t>
            </w:r>
          </w:p>
          <w:p>
            <w:pPr>
              <w:widowControl/>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理由：一是从运营经验上看，外围区域用户使用需求远低于核心市区，进而导致车辆的资产效率降低，活跃度降低；二是外围区域运营企业干预效率变低、活跃车辆周期势必拉长，同时外围有更多的人为破坏，找寻、干预周期拉长。因此，基于外围区域的上述特点，若能将衡量车辆活跃度的周期适当拉长，将更有利于运营企业拓展服务范围，更好的服务关外市民。</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互联网租赁自行车企业主要利用“公共空间”提供服务，为提升公共空间资源使用效率，满足市民骑行需求，企业应落实主体责任加强车辆调度，避免车辆成为“僵尸车”，长时间低效占用道路资源。此外，此项考核标准无需根据区域特点制定差异化考核标准，进而确保考核的公平、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建议在附件第4条“</w:t>
            </w:r>
            <w:r>
              <w:rPr>
                <w:rFonts w:hint="eastAsia" w:ascii="仿宋" w:hAnsi="仿宋" w:eastAsia="仿宋" w:cs="仿宋"/>
                <w:b/>
                <w:sz w:val="24"/>
                <w:lang w:bidi="ar"/>
              </w:rPr>
              <w:t>车辆不整洁情况</w:t>
            </w:r>
            <w:r>
              <w:rPr>
                <w:rFonts w:hint="eastAsia" w:ascii="仿宋" w:hAnsi="仿宋" w:eastAsia="仿宋" w:cs="仿宋"/>
                <w:sz w:val="24"/>
                <w:lang w:bidi="ar"/>
              </w:rPr>
              <w:t>”所包含的具体情形中增加“</w:t>
            </w:r>
            <w:r>
              <w:rPr>
                <w:rFonts w:hint="eastAsia" w:ascii="仿宋" w:hAnsi="仿宋" w:eastAsia="仿宋" w:cs="仿宋"/>
                <w:b/>
                <w:sz w:val="24"/>
                <w:lang w:bidi="ar"/>
              </w:rPr>
              <w:t>车辆老旧度</w:t>
            </w:r>
            <w:r>
              <w:rPr>
                <w:rFonts w:hint="eastAsia" w:ascii="仿宋" w:hAnsi="仿宋" w:eastAsia="仿宋" w:cs="仿宋"/>
                <w:sz w:val="24"/>
                <w:lang w:bidi="ar"/>
              </w:rPr>
              <w:t>”。</w:t>
            </w:r>
          </w:p>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 xml:space="preserve">    理由：一是各运营企业应该在深圳投放运营新车型，增加“车辆老旧度”有利于对此项要求进行考核；二是车辆老旧度体现运营企业对车辆运营的认真程度。</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240" w:firstLineChars="100"/>
              <w:jc w:val="center"/>
              <w:rPr>
                <w:rFonts w:ascii="仿宋" w:hAnsi="仿宋" w:eastAsia="仿宋" w:cs="仿宋"/>
                <w:kern w:val="0"/>
                <w:sz w:val="24"/>
              </w:rPr>
            </w:pPr>
            <w:r>
              <w:rPr>
                <w:rFonts w:hint="eastAsia" w:ascii="仿宋" w:hAnsi="仿宋" w:eastAsia="仿宋" w:cs="仿宋"/>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一方面，指标第3项“车辆完好率”中主要考核企业投放的完好程度，车辆老旧度直接影响车辆骑行安全，可在此指标评分标准中体现。</w:t>
            </w:r>
          </w:p>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另一方面，老旧车辆直接影响市民骑行体验，企业应结合车辆使用期限及车况情况，及时置换更新车辆，确保“市民满意度”指标得到较高分值。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建议进一步明确附件第8条“</w:t>
            </w:r>
            <w:r>
              <w:rPr>
                <w:rFonts w:hint="eastAsia" w:ascii="仿宋" w:hAnsi="仿宋" w:eastAsia="仿宋" w:cs="仿宋"/>
                <w:b/>
                <w:sz w:val="24"/>
                <w:lang w:bidi="ar"/>
              </w:rPr>
              <w:t>定点停放管理</w:t>
            </w:r>
            <w:r>
              <w:rPr>
                <w:rFonts w:hint="eastAsia" w:ascii="仿宋" w:hAnsi="仿宋" w:eastAsia="仿宋" w:cs="仿宋"/>
                <w:sz w:val="24"/>
                <w:lang w:bidi="ar"/>
              </w:rPr>
              <w:t>”的抽查范围，可在第8条“指标说明及标准值”中增加抽查范围的规定，即建议补充“</w:t>
            </w:r>
            <w:r>
              <w:rPr>
                <w:rFonts w:hint="eastAsia" w:ascii="仿宋" w:hAnsi="仿宋" w:eastAsia="仿宋" w:cs="仿宋"/>
                <w:b/>
                <w:sz w:val="24"/>
                <w:lang w:bidi="ar"/>
              </w:rPr>
              <w:t>在严管地区进行抽检</w:t>
            </w:r>
            <w:r>
              <w:rPr>
                <w:rFonts w:hint="eastAsia" w:ascii="仿宋" w:hAnsi="仿宋" w:eastAsia="仿宋" w:cs="仿宋"/>
                <w:sz w:val="24"/>
                <w:lang w:bidi="ar"/>
              </w:rPr>
              <w:t>，</w:t>
            </w:r>
            <w:r>
              <w:rPr>
                <w:rFonts w:hint="eastAsia" w:ascii="仿宋" w:hAnsi="仿宋" w:eastAsia="仿宋" w:cs="仿宋"/>
                <w:b/>
                <w:sz w:val="24"/>
                <w:lang w:bidi="ar"/>
              </w:rPr>
              <w:t>且检查时各运营企业都在场见证</w:t>
            </w:r>
            <w:r>
              <w:rPr>
                <w:rFonts w:hint="eastAsia" w:ascii="仿宋" w:hAnsi="仿宋" w:eastAsia="仿宋" w:cs="仿宋"/>
                <w:sz w:val="24"/>
                <w:lang w:bidi="ar"/>
              </w:rPr>
              <w:t>”</w:t>
            </w:r>
          </w:p>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理由：一是定点停放管理是为了管理问题突出的地方，建议明确在严管地区抽查；二是定点停放技术的准确程度与周边环境息息相关，技术上在一些区域很难做到如此高的入栏率；三是抽查时各运营企业均在场，既保证了评分更加公平公正公开，同时运营企业对发现的问题感知更多深刻，便于纠正提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我市互联网租赁自行车全面推行“入栏结算、定点停放”模式，且运营车辆全部为高精定位车辆；同时若部分车辆未入栏停放，则企业应加强线下运营管理，确保车辆入栏。因此，“定点停放管理”指标的考核将在全市范围内进行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建议将附件第11条中“</w:t>
            </w:r>
            <w:r>
              <w:rPr>
                <w:rFonts w:hint="eastAsia" w:ascii="仿宋" w:hAnsi="仿宋" w:eastAsia="仿宋" w:cs="仿宋"/>
                <w:b/>
                <w:sz w:val="24"/>
                <w:lang w:bidi="ar"/>
              </w:rPr>
              <w:t>车辆在线率</w:t>
            </w:r>
            <w:r>
              <w:rPr>
                <w:rFonts w:hint="eastAsia" w:ascii="仿宋" w:hAnsi="仿宋" w:eastAsia="仿宋" w:cs="仿宋"/>
                <w:sz w:val="24"/>
                <w:lang w:bidi="ar"/>
              </w:rPr>
              <w:t>”修改为“</w:t>
            </w:r>
            <w:r>
              <w:rPr>
                <w:rFonts w:hint="eastAsia" w:ascii="仿宋" w:hAnsi="仿宋" w:eastAsia="仿宋" w:cs="仿宋"/>
                <w:b/>
                <w:sz w:val="24"/>
                <w:lang w:bidi="ar"/>
              </w:rPr>
              <w:t>车辆扫码合规率”，并且按如下方式评分：97</w:t>
            </w:r>
            <w:r>
              <w:rPr>
                <w:rFonts w:hint="eastAsia" w:ascii="仿宋" w:hAnsi="仿宋" w:eastAsia="仿宋" w:cs="仿宋"/>
                <w:b/>
                <w:kern w:val="0"/>
                <w:sz w:val="24"/>
                <w:lang w:bidi="ar"/>
              </w:rPr>
              <w:t>%≤车辆扫码合规率＜100%，得5分；96.5%≤车辆扫码合规率＜97% ，得4分；96%≤车辆扫码合规率＜96.5% ，得2分；95.5%≤车辆扫码合规率＜96% ，得1分；车辆扫码合规率＜95.5% ，得0分；</w:t>
            </w:r>
            <w:r>
              <w:rPr>
                <w:rFonts w:hint="eastAsia" w:ascii="仿宋" w:hAnsi="仿宋" w:eastAsia="仿宋" w:cs="仿宋"/>
                <w:b/>
                <w:sz w:val="24"/>
                <w:lang w:bidi="ar"/>
              </w:rPr>
              <w:t>车辆扫码合规率低于95%，视为不诚信现象，应额外扣分10分（注：通过线下抽查方式且每月进行一次抽查，车辆扫码合规率=线下扫码合规车辆数/线下扫码抽查车辆数*100%）</w:t>
            </w:r>
            <w:r>
              <w:rPr>
                <w:rFonts w:hint="eastAsia" w:ascii="仿宋" w:hAnsi="仿宋" w:eastAsia="仿宋" w:cs="仿宋"/>
                <w:sz w:val="24"/>
                <w:lang w:bidi="ar"/>
              </w:rPr>
              <w:t>”。</w:t>
            </w:r>
          </w:p>
          <w:p>
            <w:pPr>
              <w:autoSpaceDE w:val="0"/>
              <w:spacing w:line="360" w:lineRule="auto"/>
              <w:ind w:firstLine="480" w:firstLineChars="200"/>
              <w:outlineLvl w:val="1"/>
              <w:rPr>
                <w:rFonts w:ascii="仿宋" w:hAnsi="仿宋" w:eastAsia="仿宋" w:cs="仿宋"/>
                <w:kern w:val="0"/>
                <w:sz w:val="24"/>
              </w:rPr>
            </w:pPr>
            <w:r>
              <w:rPr>
                <w:rFonts w:hint="eastAsia" w:ascii="仿宋" w:hAnsi="仿宋" w:eastAsia="仿宋" w:cs="仿宋"/>
                <w:sz w:val="24"/>
                <w:lang w:bidi="ar"/>
              </w:rPr>
              <w:t>理由：一是车辆在线率定义并不明确，平台在线车辆规模的定义并不清晰；二是个别企业可能钻系统漏洞，恶意作弊刷单，仅通过车辆在线率考核，监管作用有限；三是车辆扫码合规率是监管运营企业超投的重要依据，是企业数据合规接入市交通局数据平台的重要部分，体现数据监管的有效性和合理性、客观性；四是车辆扫码合规率为企业之间公平竞争提供了有利数据支撑；五是对于车辆扫码合规率低于95%的企业，属于明显的恶意违投行为，应该额外进行坚决打击；六是车辆在线率并不能有效的展现上述第三、四、五项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数据接入”指标中的“车辆在线率”主要考核企业是否实时接入车辆数据，且加强“失联”车辆维护；而建议中提到的“车辆扫码合规率”主要为考核企业是否有违投行为，第12项“车辆投放管理”考核指标已有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建议将附件第12条“</w:t>
            </w:r>
            <w:r>
              <w:rPr>
                <w:rFonts w:hint="eastAsia" w:ascii="仿宋" w:hAnsi="仿宋" w:eastAsia="仿宋" w:cs="仿宋"/>
                <w:b/>
                <w:sz w:val="24"/>
                <w:lang w:bidi="ar"/>
              </w:rPr>
              <w:t>车辆投放管理</w:t>
            </w:r>
            <w:r>
              <w:rPr>
                <w:rFonts w:hint="eastAsia" w:ascii="仿宋" w:hAnsi="仿宋" w:eastAsia="仿宋" w:cs="仿宋"/>
                <w:sz w:val="24"/>
                <w:lang w:bidi="ar"/>
              </w:rPr>
              <w:t>”的考核指标修改为</w:t>
            </w:r>
            <w:r>
              <w:rPr>
                <w:rFonts w:hint="eastAsia" w:ascii="仿宋" w:hAnsi="仿宋" w:eastAsia="仿宋" w:cs="仿宋"/>
                <w:b/>
                <w:sz w:val="24"/>
                <w:lang w:bidi="ar"/>
              </w:rPr>
              <w:t>“投放比例”并且按季度进行考核。投放比例按照如下方式计算和评分：核算总投放数/投放配额数量=投放比例，备案车辆数量/季度平均车辆扫码合规率=核算投放数，此处季度平均车辆扫码合规率为该季度三个月的合规率的均值。若投放比例等于或大于105%，则视为超投，扣10分；若投放比例等于或大于108%，视为较重超投，扣20分；若投放比例等于或大于110%，视为严重超投，应直接判定本次考核不及格”</w:t>
            </w:r>
            <w:r>
              <w:rPr>
                <w:rFonts w:hint="eastAsia" w:ascii="仿宋" w:hAnsi="仿宋" w:eastAsia="仿宋" w:cs="仿宋"/>
                <w:sz w:val="24"/>
                <w:lang w:bidi="ar"/>
              </w:rPr>
              <w:t>。</w:t>
            </w:r>
          </w:p>
          <w:p>
            <w:pPr>
              <w:autoSpaceDE w:val="0"/>
              <w:spacing w:line="360" w:lineRule="auto"/>
              <w:ind w:firstLine="480" w:firstLineChars="200"/>
              <w:outlineLvl w:val="1"/>
              <w:rPr>
                <w:rFonts w:ascii="仿宋" w:hAnsi="仿宋" w:eastAsia="仿宋" w:cs="仿宋"/>
                <w:kern w:val="0"/>
                <w:sz w:val="24"/>
              </w:rPr>
            </w:pPr>
            <w:r>
              <w:rPr>
                <w:rFonts w:hint="eastAsia" w:ascii="仿宋" w:hAnsi="仿宋" w:eastAsia="仿宋" w:cs="仿宋"/>
                <w:sz w:val="24"/>
                <w:lang w:bidi="ar"/>
              </w:rPr>
              <w:t>理由：一是原第12条款中关于一般、较重、严重处罚对应的标准不明晰，在实际执行中将引发争议；二是企业将未经备案的互联网租赁自行车投放使用即为违投现象，违投现象极大影响了市场环境，造成企业间的不公平竞争，也为政府的管理增加了很多的难度，提高违投惩戒力度，违投事项应与招投标、配额直接挂钩；三是明确抽查时间和频次可进一步打击违投现象；四是属地处罚建议以明确的数据作为判罚依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pStyle w:val="8"/>
              <w:widowControl/>
              <w:spacing w:before="0" w:beforeAutospacing="0" w:after="0" w:afterAutospacing="0" w:line="600" w:lineRule="exact"/>
              <w:rPr>
                <w:rFonts w:ascii="仿宋" w:hAnsi="仿宋" w:eastAsia="仿宋" w:cs="仿宋"/>
                <w:kern w:val="2"/>
                <w:lang w:bidi="ar"/>
              </w:rPr>
            </w:pPr>
            <w:r>
              <w:rPr>
                <w:rFonts w:hint="eastAsia" w:ascii="仿宋" w:hAnsi="仿宋" w:eastAsia="仿宋" w:cs="仿宋"/>
                <w:kern w:val="2"/>
                <w:lang w:bidi="ar"/>
              </w:rPr>
              <w:t>一方面，“车辆投放管理”考核标准为企业将未经备案的互联网租赁自行车投放使用的，视为违规投放。</w:t>
            </w:r>
          </w:p>
          <w:p>
            <w:pPr>
              <w:pStyle w:val="8"/>
              <w:widowControl/>
              <w:spacing w:before="0" w:beforeAutospacing="0" w:after="0" w:afterAutospacing="0" w:line="600" w:lineRule="exact"/>
              <w:rPr>
                <w:rFonts w:ascii="仿宋" w:hAnsi="仿宋" w:eastAsia="仿宋" w:cs="仿宋"/>
              </w:rPr>
            </w:pPr>
            <w:r>
              <w:rPr>
                <w:rFonts w:hint="eastAsia" w:ascii="仿宋" w:hAnsi="仿宋" w:eastAsia="仿宋" w:cs="仿宋"/>
                <w:kern w:val="2"/>
                <w:lang w:bidi="ar"/>
              </w:rPr>
              <w:t>另一方面，针对违投行为程度的裁量标注，已在《市交通运输局关于新增和修订部分行政处罚裁量标准（港航水运、综合）的通知》（深交字〔2021〕749号）予以明确。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建议在附件第12条“</w:t>
            </w:r>
            <w:r>
              <w:rPr>
                <w:rFonts w:hint="eastAsia" w:ascii="仿宋" w:hAnsi="仿宋" w:eastAsia="仿宋" w:cs="仿宋"/>
                <w:b/>
                <w:sz w:val="24"/>
                <w:lang w:bidi="ar"/>
              </w:rPr>
              <w:t>车辆投放管理</w:t>
            </w:r>
            <w:r>
              <w:rPr>
                <w:rFonts w:hint="eastAsia" w:ascii="仿宋" w:hAnsi="仿宋" w:eastAsia="仿宋" w:cs="仿宋"/>
                <w:sz w:val="24"/>
                <w:lang w:bidi="ar"/>
              </w:rPr>
              <w:t>”项下增加“</w:t>
            </w:r>
            <w:r>
              <w:rPr>
                <w:rFonts w:hint="eastAsia" w:ascii="仿宋" w:hAnsi="仿宋" w:eastAsia="仿宋" w:cs="仿宋"/>
                <w:b/>
                <w:sz w:val="24"/>
                <w:lang w:bidi="ar"/>
              </w:rPr>
              <w:t>向社会公开运营车辆备案库和核验库</w:t>
            </w:r>
            <w:r>
              <w:rPr>
                <w:rFonts w:hint="eastAsia" w:ascii="仿宋" w:hAnsi="仿宋" w:eastAsia="仿宋" w:cs="仿宋"/>
                <w:sz w:val="24"/>
                <w:lang w:bidi="ar"/>
              </w:rPr>
              <w:t>”。</w:t>
            </w:r>
          </w:p>
          <w:p>
            <w:pPr>
              <w:autoSpaceDE w:val="0"/>
              <w:spacing w:line="360" w:lineRule="auto"/>
              <w:ind w:firstLine="314" w:firstLineChars="131"/>
              <w:outlineLvl w:val="1"/>
              <w:rPr>
                <w:rFonts w:ascii="仿宋" w:hAnsi="仿宋" w:eastAsia="仿宋" w:cs="仿宋"/>
                <w:kern w:val="0"/>
                <w:sz w:val="24"/>
              </w:rPr>
            </w:pPr>
            <w:r>
              <w:rPr>
                <w:rFonts w:hint="eastAsia" w:ascii="仿宋" w:hAnsi="仿宋" w:eastAsia="仿宋" w:cs="仿宋"/>
                <w:sz w:val="24"/>
                <w:lang w:bidi="ar"/>
              </w:rPr>
              <w:t xml:space="preserve"> 理由：“</w:t>
            </w:r>
            <w:r>
              <w:rPr>
                <w:rFonts w:hint="eastAsia" w:ascii="仿宋" w:hAnsi="仿宋" w:eastAsia="仿宋" w:cs="仿宋"/>
                <w:b/>
                <w:sz w:val="24"/>
                <w:lang w:bidi="ar"/>
              </w:rPr>
              <w:t>向社会公开运营车辆备案库和核验库</w:t>
            </w:r>
            <w:r>
              <w:rPr>
                <w:rFonts w:hint="eastAsia" w:ascii="仿宋" w:hAnsi="仿宋" w:eastAsia="仿宋" w:cs="仿宋"/>
                <w:sz w:val="24"/>
                <w:lang w:bidi="ar"/>
              </w:rPr>
              <w:t>”属于引入社会监督和企业之间的监督的有效措施，通过“共享单车核查举报”小程序进行运营车辆备案库和核验库的公开比对，将使违投现象无所遁形，实现完全意义上的公平竞争。目前郑州、福州等地均已实现运营车辆备案库和核验库的双公开。</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我市已建立了公众参与的监督机制，市民可通过“共享单车举报”功能查询并举报车辆是否备案。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建议将附件第15条“</w:t>
            </w:r>
            <w:r>
              <w:rPr>
                <w:rFonts w:hint="eastAsia" w:ascii="仿宋" w:hAnsi="仿宋" w:eastAsia="仿宋" w:cs="仿宋"/>
                <w:b/>
                <w:sz w:val="24"/>
                <w:lang w:bidi="ar"/>
              </w:rPr>
              <w:t>公众评价</w:t>
            </w:r>
            <w:r>
              <w:rPr>
                <w:rFonts w:hint="eastAsia" w:ascii="仿宋" w:hAnsi="仿宋" w:eastAsia="仿宋" w:cs="仿宋"/>
                <w:sz w:val="24"/>
                <w:lang w:bidi="ar"/>
              </w:rPr>
              <w:t>” “</w:t>
            </w:r>
            <w:r>
              <w:rPr>
                <w:rFonts w:hint="eastAsia" w:ascii="仿宋" w:hAnsi="仿宋" w:eastAsia="仿宋" w:cs="仿宋"/>
                <w:b/>
                <w:sz w:val="24"/>
                <w:lang w:bidi="ar"/>
              </w:rPr>
              <w:t>由20分减少为10分</w:t>
            </w:r>
            <w:r>
              <w:rPr>
                <w:rFonts w:hint="eastAsia" w:ascii="仿宋" w:hAnsi="仿宋" w:eastAsia="仿宋" w:cs="仿宋"/>
                <w:sz w:val="24"/>
                <w:lang w:bidi="ar"/>
              </w:rPr>
              <w:t>”。</w:t>
            </w:r>
          </w:p>
          <w:p>
            <w:pPr>
              <w:autoSpaceDE w:val="0"/>
              <w:spacing w:line="360" w:lineRule="auto"/>
              <w:ind w:firstLine="480" w:firstLineChars="200"/>
              <w:outlineLvl w:val="1"/>
              <w:rPr>
                <w:rFonts w:ascii="仿宋" w:hAnsi="仿宋" w:eastAsia="仿宋" w:cs="仿宋"/>
                <w:kern w:val="0"/>
                <w:sz w:val="24"/>
              </w:rPr>
            </w:pPr>
            <w:r>
              <w:rPr>
                <w:rFonts w:hint="eastAsia" w:ascii="仿宋" w:hAnsi="仿宋" w:eastAsia="仿宋" w:cs="仿宋"/>
                <w:sz w:val="24"/>
                <w:lang w:bidi="ar"/>
              </w:rPr>
              <w:t>理由：一是调查问卷的参与者为市民的主观评价，跟其当时的心情、状态等诸多主观因素相关，难以体现公平公正，不应该占过大分值；二是对于行业运营企业而言，主观臆断很难客观反应企业真实经营情况，无法有效改进。</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《考核细则》核心目的是促进企业提升运营水平和服务质量，而企业的服务对象为广大市民。因此，公众评价是直接反映了企业运营服务水平的核心指标，应给予重视并赋予指标较高权重。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outlineLvl w:val="1"/>
              <w:rPr>
                <w:rFonts w:ascii="仿宋" w:hAnsi="仿宋" w:eastAsia="仿宋" w:cs="仿宋"/>
                <w:sz w:val="24"/>
                <w:lang w:bidi="ar"/>
              </w:rPr>
            </w:pPr>
            <w:r>
              <w:rPr>
                <w:rFonts w:hint="eastAsia" w:ascii="仿宋" w:hAnsi="仿宋" w:eastAsia="仿宋" w:cs="仿宋"/>
                <w:sz w:val="24"/>
                <w:lang w:bidi="ar"/>
              </w:rPr>
              <w:t>建议在考核项中增加“</w:t>
            </w:r>
            <w:r>
              <w:rPr>
                <w:rFonts w:hint="eastAsia" w:ascii="仿宋" w:hAnsi="仿宋" w:eastAsia="仿宋" w:cs="仿宋"/>
                <w:b/>
                <w:sz w:val="24"/>
                <w:lang w:bidi="ar"/>
              </w:rPr>
              <w:t>附加分考核项</w:t>
            </w:r>
            <w:r>
              <w:rPr>
                <w:rFonts w:hint="eastAsia" w:ascii="仿宋" w:hAnsi="仿宋" w:eastAsia="仿宋" w:cs="仿宋"/>
                <w:sz w:val="24"/>
                <w:lang w:bidi="ar"/>
              </w:rPr>
              <w:t>”，具体如下：</w:t>
            </w:r>
          </w:p>
          <w:tbl>
            <w:tblPr>
              <w:tblStyle w:val="11"/>
              <w:tblpPr w:leftFromText="180" w:rightFromText="180" w:vertAnchor="text" w:horzAnchor="page" w:tblpX="225" w:tblpY="434"/>
              <w:tblOverlap w:val="never"/>
              <w:tblW w:w="6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26"/>
              <w:gridCol w:w="1996"/>
              <w:gridCol w:w="232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360" w:lineRule="auto"/>
                    <w:jc w:val="center"/>
                    <w:rPr>
                      <w:rFonts w:ascii="仿宋" w:hAnsi="仿宋" w:eastAsia="仿宋" w:cs="仿宋"/>
                      <w:sz w:val="24"/>
                    </w:rPr>
                  </w:pPr>
                  <w:r>
                    <w:rPr>
                      <w:rFonts w:hint="eastAsia" w:ascii="仿宋" w:hAnsi="仿宋" w:eastAsia="仿宋" w:cs="仿宋"/>
                      <w:sz w:val="24"/>
                      <w:lang w:bidi="ar"/>
                    </w:rPr>
                    <w:t>附加分考核项20分</w:t>
                  </w:r>
                </w:p>
              </w:tc>
              <w:tc>
                <w:tcPr>
                  <w:tcW w:w="626" w:type="dxa"/>
                  <w:vMerge w:val="restart"/>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政府表彰6分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获得省部级或以上荣誉称号或表彰</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每次加1分，以最高层级积分，各种奖励累计加分综合不超过6分</w:t>
                  </w:r>
                </w:p>
              </w:tc>
              <w:tc>
                <w:tcPr>
                  <w:tcW w:w="671" w:type="dxa"/>
                  <w:vMerge w:val="restart"/>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以市、区政府认定为准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获得深圳级荣誉称号或表彰</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每次加0.6分，以最高层级积分，各种奖励累计加分综合不超过6分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获得区级荣誉称号或表彰</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每次加0.3分，以最高层级积分，各种奖励累计加分综合不超过6分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社会效益4分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配合政府完成工作，或积极参加抗疫、救灾、救死扶伤、优质服务、创文等具有较大社会影响的公益活动</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每次加1分，累计不超过4分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科技创新4分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研发创新技术，实现互联网租赁自行车行业技术应用发展，解决行业发展问题，取得较大社会效益，并报行业主管部门认定。</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经行业主管部门认定为准，国家级加2分，省部级1分，深圳市级0.5分，以最高级计分，累计加分不超过4分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Times New Roman"/>
                      <w:szCs w:val="21"/>
                    </w:rPr>
                  </w:pPr>
                </w:p>
              </w:tc>
              <w:tc>
                <w:tcPr>
                  <w:tcW w:w="62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产业落地6分</w:t>
                  </w:r>
                </w:p>
              </w:tc>
              <w:tc>
                <w:tcPr>
                  <w:tcW w:w="1996"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增加互联网租赁自行车的企业经营税和企业所得税（相关完税证明）</w:t>
                  </w:r>
                </w:p>
              </w:tc>
              <w:tc>
                <w:tcPr>
                  <w:tcW w:w="2321" w:type="dxa"/>
                  <w:tcBorders>
                    <w:top w:val="single" w:color="auto" w:sz="4" w:space="0"/>
                    <w:left w:val="nil"/>
                    <w:bottom w:val="single" w:color="auto" w:sz="4" w:space="0"/>
                    <w:right w:val="single" w:color="auto" w:sz="4" w:space="0"/>
                  </w:tcBorders>
                  <w:shd w:val="clear" w:color="auto" w:fill="auto"/>
                </w:tcPr>
                <w:p>
                  <w:pPr>
                    <w:autoSpaceDE w:val="0"/>
                    <w:spacing w:line="360" w:lineRule="auto"/>
                    <w:rPr>
                      <w:rFonts w:ascii="仿宋" w:hAnsi="仿宋" w:eastAsia="仿宋" w:cs="仿宋"/>
                      <w:sz w:val="24"/>
                    </w:rPr>
                  </w:pPr>
                  <w:r>
                    <w:rPr>
                      <w:rFonts w:hint="eastAsia" w:ascii="仿宋" w:hAnsi="仿宋" w:eastAsia="仿宋" w:cs="仿宋"/>
                      <w:sz w:val="24"/>
                      <w:lang w:bidi="ar"/>
                    </w:rPr>
                    <w:t>新增互联网租赁自行车的企业经营税和企业所得税，得6分</w:t>
                  </w:r>
                </w:p>
              </w:tc>
              <w:tc>
                <w:tcPr>
                  <w:tcW w:w="671" w:type="dxa"/>
                  <w:vMerge w:val="continue"/>
                  <w:tcBorders>
                    <w:top w:val="single" w:color="auto" w:sz="4" w:space="0"/>
                    <w:left w:val="nil"/>
                    <w:bottom w:val="single" w:color="auto" w:sz="4" w:space="0"/>
                    <w:right w:val="single" w:color="auto" w:sz="4" w:space="0"/>
                  </w:tcBorders>
                  <w:shd w:val="clear" w:color="auto" w:fill="auto"/>
                </w:tcPr>
                <w:p>
                  <w:pPr>
                    <w:rPr>
                      <w:rFonts w:ascii="Calibri" w:hAnsi="Calibri" w:cs="Times New Roman"/>
                      <w:szCs w:val="21"/>
                    </w:rPr>
                  </w:pPr>
                </w:p>
              </w:tc>
            </w:tr>
          </w:tbl>
          <w:p>
            <w:pPr>
              <w:autoSpaceDE w:val="0"/>
              <w:spacing w:line="360" w:lineRule="auto"/>
              <w:ind w:firstLine="480" w:firstLineChars="200"/>
              <w:outlineLvl w:val="1"/>
              <w:rPr>
                <w:rFonts w:ascii="仿宋" w:hAnsi="仿宋" w:eastAsia="仿宋" w:cs="仿宋"/>
                <w:sz w:val="24"/>
                <w:lang w:bidi="ar"/>
              </w:rPr>
            </w:pPr>
          </w:p>
          <w:p>
            <w:pPr>
              <w:autoSpaceDE w:val="0"/>
              <w:spacing w:line="360" w:lineRule="auto"/>
              <w:ind w:firstLine="480" w:firstLineChars="200"/>
              <w:outlineLvl w:val="1"/>
              <w:rPr>
                <w:rFonts w:ascii="仿宋" w:hAnsi="仿宋" w:eastAsia="仿宋" w:cs="仿宋"/>
                <w:sz w:val="24"/>
              </w:rPr>
            </w:pPr>
            <w:r>
              <w:rPr>
                <w:rFonts w:hint="eastAsia" w:ascii="仿宋" w:hAnsi="仿宋" w:eastAsia="仿宋" w:cs="仿宋"/>
                <w:sz w:val="24"/>
                <w:lang w:bidi="ar"/>
              </w:rPr>
              <w:t>理由：企业为深圳或行业做出重大贡献，应于适当的鼓励；并且此项考核指标有利于推动运营企业为深圳或行业做出贡献。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结合近三年设置的“附加项”考核指标实施情况，企业得分基本为满分，对促进企业间服务竞争作用有限。本次《考核细则》对指标体系进行了精减优化，重点围绕企业秩序管理及服务提升设置考核指标。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广州</w:t>
            </w:r>
            <w:r>
              <w:rPr>
                <w:rFonts w:hint="eastAsia" w:ascii="仿宋" w:hAnsi="仿宋" w:eastAsia="仿宋" w:cs="仿宋"/>
                <w:kern w:val="0"/>
                <w:sz w:val="24"/>
                <w:lang w:val="en-US" w:eastAsia="zh-CN" w:bidi="ar"/>
              </w:rPr>
              <w:t>*</w:t>
            </w:r>
            <w:bookmarkStart w:id="0" w:name="_GoBack"/>
            <w:bookmarkEnd w:id="0"/>
            <w:r>
              <w:rPr>
                <w:rFonts w:hint="eastAsia" w:ascii="仿宋" w:hAnsi="仿宋" w:eastAsia="仿宋" w:cs="仿宋"/>
                <w:kern w:val="0"/>
                <w:sz w:val="24"/>
                <w:lang w:bidi="ar"/>
              </w:rPr>
              <w:t>安科技有限公司</w:t>
            </w: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480" w:firstLineChars="200"/>
              <w:rPr>
                <w:rFonts w:ascii="仿宋" w:hAnsi="仿宋" w:eastAsia="仿宋" w:cs="仿宋"/>
                <w:sz w:val="24"/>
              </w:rPr>
            </w:pPr>
            <w:r>
              <w:rPr>
                <w:rFonts w:hint="eastAsia" w:ascii="仿宋" w:hAnsi="仿宋" w:eastAsia="仿宋" w:cs="仿宋"/>
                <w:sz w:val="24"/>
                <w:lang w:bidi="ar"/>
              </w:rPr>
              <w:t>考核细则指标类别中运营服务部分车辆周转率及车辆活跃度，两个指标项分值存在不合理性。主要原因基于目前深圳市互联网租赁自行车共有三家企业，车辆配额分别是26.2W、10W、5.9W，配额最多的单车企业以超过60%以上的份额占有绝对优势。路面单车的数量跟车辆周转率及车辆活跃率两项分值正相关，这也就意味着配额高的企业具有先天性优势。另外，三家单车企业的运营区存在差异，美团是全市运营，哈罗是仅限福田、宝安、罗湖、龙华、光明运营，青桔是仅限福田、南山、龙岗、坪山运营，由于深圳很多用户是跨区通勤，因此跨区流转问题，会直接影响用户骑行品牌的选择，车辆周转率、车辆活跃率也因此受到限制，此项分数同样具有先天性差异。</w:t>
            </w:r>
          </w:p>
          <w:p>
            <w:pPr>
              <w:autoSpaceDE w:val="0"/>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基于以上原因建议取消或降低运营服务中车辆周转率和车辆活跃率两项指标项得分得，合计分值不超过5分。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sz w:val="24"/>
                <w:lang w:bidi="ar"/>
              </w:rPr>
              <w:t>同第2条建议说明。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建议增加运营管理部分的减分项，如车辆秩序管理中，增设车辆积压减分项，包括但不限于单一品牌出现20辆及以上无序摆放、头尾交叉、车辆堆叠、违规占压车道等现象，可视情况给予扣2-1分。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《考核细则》指标体系中，针对车辆停放秩序管理设置了“热点区域车辆管理、车辆日常秩序管理、定点停放管理”三项指标，已包含建议提出的考核内容。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 xml:space="preserve">第4项车辆整洁度，共享单车车身小广告一直是市民关注的焦点，车身“牛皮癣”对市容市貌造成了巨大的不良影响。建议加大“车身整洁情况”的考核力度，督促企业做好运营巡查管理。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sz w:val="24"/>
                <w:lang w:bidi="ar"/>
              </w:rPr>
              <w:t>车身“牛皮癣”严重影响市容环境，</w:t>
            </w:r>
            <w:r>
              <w:rPr>
                <w:rFonts w:hint="eastAsia" w:ascii="仿宋" w:hAnsi="仿宋" w:eastAsia="仿宋" w:cs="仿宋"/>
                <w:kern w:val="0"/>
                <w:sz w:val="24"/>
              </w:rPr>
              <w:t>企业可通过技术手段和加强车辆清理，提升车身整洁度，因此设置“</w:t>
            </w:r>
            <w:r>
              <w:rPr>
                <w:rFonts w:hint="eastAsia" w:ascii="仿宋" w:hAnsi="仿宋" w:eastAsia="仿宋" w:cs="仿宋"/>
                <w:sz w:val="24"/>
                <w:lang w:bidi="ar"/>
              </w:rPr>
              <w:t>车身整洁度</w:t>
            </w:r>
            <w:r>
              <w:rPr>
                <w:rFonts w:hint="eastAsia" w:ascii="仿宋" w:hAnsi="仿宋" w:eastAsia="仿宋" w:cs="仿宋"/>
                <w:kern w:val="0"/>
                <w:sz w:val="24"/>
              </w:rPr>
              <w:t>”考核指标。同时，在“公众满意度”指标中也设置有市民对车辆整洁程度的满意度评价项。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sz w:val="24"/>
                <w:lang w:bidi="ar"/>
              </w:rPr>
              <w:t>第12项车辆投放管理，建议在考核指标体系中明确“一般处罚”、“较重处罚”、“严重处罚”的判断依据。</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kern w:val="0"/>
                <w:sz w:val="24"/>
              </w:rPr>
            </w:pPr>
            <w:r>
              <w:rPr>
                <w:rFonts w:hint="eastAsia" w:ascii="仿宋" w:hAnsi="仿宋" w:eastAsia="仿宋" w:cs="仿宋"/>
                <w:kern w:val="0"/>
                <w:sz w:val="24"/>
              </w:rPr>
              <w:t>同第6条建议</w:t>
            </w:r>
            <w:r>
              <w:rPr>
                <w:rFonts w:hint="eastAsia" w:ascii="仿宋" w:hAnsi="仿宋" w:eastAsia="仿宋" w:cs="仿宋"/>
                <w:sz w:val="24"/>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autoSpaceDE w:val="0"/>
              <w:spacing w:line="360" w:lineRule="auto"/>
              <w:ind w:firstLine="640"/>
              <w:rPr>
                <w:rFonts w:ascii="仿宋" w:hAnsi="仿宋" w:eastAsia="仿宋" w:cs="仿宋"/>
                <w:kern w:val="0"/>
                <w:sz w:val="24"/>
              </w:rPr>
            </w:pPr>
            <w:r>
              <w:rPr>
                <w:rFonts w:hint="eastAsia" w:ascii="仿宋" w:hAnsi="仿宋" w:eastAsia="仿宋" w:cs="仿宋"/>
                <w:sz w:val="24"/>
                <w:lang w:bidi="ar"/>
              </w:rPr>
              <w:t>考核结果应用中，关于对企业投放数额的动态调节方式，建议按分数段扣增减相应不同比例投放量，扣减量奖励到考核优秀且第一名的企业，以公平竞争的方式促进企业间良性竞争。另外，深圳市可承载互联网租赁自行车数量为45万，当前仅利用42万，剩余3万建议可以通过考核等公平竞争的方式奖励到考核优秀且第一名的企业。</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根据《中华人民共和国反垄断法》相关规定，以及咨询反垄断执法机构相关意见，将调减后的空额直接面向现有经营者奖励，均存在排除、限制竞争的违法嫌疑。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restart"/>
            <w:tcBorders>
              <w:top w:val="nil"/>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其他</w:t>
            </w: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一、对《深圳市互联网租赁自行车企业运营服务考核细则》的意见如下： </w:t>
            </w:r>
          </w:p>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（一）第五条（考核周期）“考核季度次月底前完成对上季度的考核。” </w:t>
            </w:r>
          </w:p>
          <w:p>
            <w:pPr>
              <w:widowControl/>
              <w:autoSpaceDE w:val="0"/>
              <w:spacing w:line="360" w:lineRule="auto"/>
              <w:ind w:firstLine="482" w:firstLineChars="200"/>
              <w:rPr>
                <w:rFonts w:ascii="仿宋" w:hAnsi="仿宋" w:eastAsia="仿宋" w:cs="仿宋"/>
                <w:kern w:val="0"/>
                <w:sz w:val="24"/>
              </w:rPr>
            </w:pPr>
            <w:r>
              <w:rPr>
                <w:rFonts w:hint="eastAsia" w:ascii="仿宋" w:hAnsi="仿宋" w:eastAsia="仿宋" w:cs="仿宋"/>
                <w:b/>
                <w:kern w:val="0"/>
                <w:sz w:val="24"/>
                <w:lang w:bidi="ar"/>
              </w:rPr>
              <w:t>意见：时效性完成事项不明确，只表明月底完成上季度考核，是否包括考核的公示发布不明确。</w:t>
            </w:r>
            <w:r>
              <w:rPr>
                <w:rFonts w:hint="eastAsia" w:ascii="仿宋" w:hAnsi="仿宋" w:eastAsia="仿宋" w:cs="仿宋"/>
                <w:kern w:val="0"/>
                <w:sz w:val="24"/>
                <w:lang w:bidi="ar"/>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bCs/>
                <w:kern w:val="0"/>
                <w:sz w:val="24"/>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完成考核工作内容包括开展考核评分、形成初步考核结果、征询企业意见、审定考核结果以及公示考核结果等程序。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b/>
                <w:kern w:val="0"/>
                <w:sz w:val="24"/>
              </w:rPr>
            </w:pPr>
            <w:r>
              <w:rPr>
                <w:rFonts w:hint="eastAsia" w:ascii="仿宋" w:hAnsi="仿宋" w:eastAsia="仿宋" w:cs="仿宋"/>
                <w:kern w:val="0"/>
                <w:sz w:val="24"/>
                <w:lang w:bidi="ar"/>
              </w:rPr>
              <w:t>（二）第七条（结果应用）“调节方式”</w:t>
            </w:r>
            <w:r>
              <w:rPr>
                <w:rFonts w:hint="eastAsia" w:ascii="仿宋" w:hAnsi="仿宋" w:eastAsia="仿宋" w:cs="仿宋"/>
                <w:b/>
                <w:kern w:val="0"/>
                <w:sz w:val="24"/>
                <w:lang w:bidi="ar"/>
              </w:rPr>
              <w:t> </w:t>
            </w:r>
          </w:p>
          <w:p>
            <w:pPr>
              <w:widowControl/>
              <w:autoSpaceDE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bidi="ar"/>
              </w:rPr>
              <w:t>意见：调节方式应用不明确，只规定了调节的数量，未规定调节起效的时效。如果企业一年不调整呢？</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《考核细则》仅须明确各企业考核调节车辆规模要求，针对企业车辆收回具体期限，已由市交通运输管理部门另行规定。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二、对《深圳市互联网租赁自行车企业运营服务考核指标体系》的意见如下： </w:t>
            </w:r>
          </w:p>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 xml:space="preserve">考核体系考虑不全面，《经营服务管理办法》的重要规定和要求内容没有纳入考核体系： </w:t>
            </w:r>
          </w:p>
          <w:p>
            <w:pPr>
              <w:widowControl/>
              <w:autoSpaceDE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bidi="ar"/>
              </w:rPr>
              <w:t xml:space="preserve">（一）《经营服务管理办法》中：“第十条【车辆条件】（三）具有唯一的身份编码”和“第十三条【信息备案】“按照一车一码的要求”的要求，未在体系中体现。 </w:t>
            </w:r>
          </w:p>
          <w:p>
            <w:pPr>
              <w:widowControl/>
              <w:autoSpaceDE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bidi="ar"/>
              </w:rPr>
              <w:t xml:space="preserve">意见：在考核体系中，增加对车辆“一车一码”的要求，特别是深圳第一次招投标投放，初次规范尤为重要。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车辆投放前，未按车辆“一车一码”的要求，将车辆编码向市交通运输部门备案的，属于严重违法行为，将按照违规投放进行处置。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（二）《经营服务管理办法》中：“第十六条【车辆调度】，基准比例为经营者取得的投放数额占全市投放数额的比例。”要求，未在考核体系中体现。 </w:t>
            </w:r>
          </w:p>
          <w:p>
            <w:pPr>
              <w:widowControl/>
              <w:autoSpaceDE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bidi="ar"/>
              </w:rPr>
              <w:t xml:space="preserve">意见：招投标以后，抢占热点区域肯定是各企业的重点，考核体系中应该增加对“超过投放基准时效性”的考核要求，发现区域超量且企业未按比率投放，要求整改后还继续持续维持违规比率的，应该纳入考核。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highlight w:val="yellow"/>
              </w:rPr>
            </w:pPr>
            <w:r>
              <w:rPr>
                <w:rFonts w:hint="eastAsia" w:ascii="仿宋" w:hAnsi="仿宋" w:eastAsia="仿宋" w:cs="仿宋"/>
                <w:kern w:val="0"/>
                <w:sz w:val="24"/>
                <w:lang w:bidi="ar"/>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highlight w:val="yellow"/>
              </w:rPr>
            </w:pPr>
            <w:r>
              <w:rPr>
                <w:rFonts w:hint="eastAsia" w:ascii="仿宋" w:hAnsi="仿宋" w:eastAsia="仿宋" w:cs="仿宋"/>
                <w:kern w:val="0"/>
                <w:sz w:val="24"/>
                <w:lang w:bidi="ar"/>
              </w:rPr>
              <w:t>《管理办法》暂未印发施行，后续根据管理要求变化，适时调整考核指标体系。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b/>
                <w:kern w:val="0"/>
                <w:sz w:val="24"/>
              </w:rPr>
            </w:pPr>
            <w:r>
              <w:rPr>
                <w:rFonts w:hint="eastAsia" w:ascii="仿宋" w:hAnsi="仿宋" w:eastAsia="仿宋" w:cs="仿宋"/>
                <w:kern w:val="0"/>
                <w:sz w:val="24"/>
                <w:lang w:bidi="ar"/>
              </w:rPr>
              <w:t>（三）考核体系中的“数据接入”考核不够全面只有数据接入故障处理及时性和车辆在线率的考核。</w:t>
            </w:r>
            <w:r>
              <w:rPr>
                <w:rFonts w:hint="eastAsia" w:ascii="仿宋" w:hAnsi="仿宋" w:eastAsia="仿宋" w:cs="仿宋"/>
                <w:b/>
                <w:kern w:val="0"/>
                <w:sz w:val="24"/>
                <w:lang w:bidi="ar"/>
              </w:rPr>
              <w:t> </w:t>
            </w:r>
          </w:p>
          <w:p>
            <w:pPr>
              <w:widowControl/>
              <w:autoSpaceDE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bidi="ar"/>
              </w:rPr>
              <w:t xml:space="preserve">意见：建议增加对数据上传完整性和准确性的考核，如采用人工或技术方式核查到车辆轨迹数据未上传的，通过技术手段发现经营者进行了数据漂移的。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highlight w:val="yellow"/>
              </w:rPr>
            </w:pPr>
            <w:r>
              <w:rPr>
                <w:rFonts w:hint="eastAsia" w:ascii="仿宋" w:hAnsi="仿宋" w:eastAsia="仿宋" w:cs="仿宋"/>
                <w:kern w:val="0"/>
                <w:sz w:val="24"/>
                <w:lang w:bidi="ar"/>
              </w:rPr>
              <w:t>部分采纳</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lang w:bidi="ar"/>
              </w:rPr>
            </w:pPr>
            <w:r>
              <w:rPr>
                <w:rFonts w:hint="eastAsia" w:ascii="仿宋" w:hAnsi="仿宋" w:eastAsia="仿宋" w:cs="仿宋"/>
                <w:kern w:val="0"/>
                <w:sz w:val="24"/>
                <w:lang w:bidi="ar"/>
              </w:rPr>
              <w:t>企业上传数据不完整或不准确视为未按规定将数据接入政府监管平台，“数据接入”考核指标已包含上述考核内容。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b/>
                <w:kern w:val="0"/>
                <w:sz w:val="24"/>
              </w:rPr>
            </w:pPr>
            <w:r>
              <w:rPr>
                <w:rFonts w:hint="eastAsia" w:ascii="仿宋" w:hAnsi="仿宋" w:eastAsia="仿宋" w:cs="仿宋"/>
                <w:kern w:val="0"/>
                <w:sz w:val="24"/>
                <w:lang w:bidi="ar"/>
              </w:rPr>
              <w:t>（四）《经营服务管理办法》中“【未按规定传输数据的责任】”和“【向未满 12 周岁未成年人提供服务的责任】”的处罚未纳入到考核体系。</w:t>
            </w:r>
            <w:r>
              <w:rPr>
                <w:rFonts w:hint="eastAsia" w:ascii="仿宋" w:hAnsi="仿宋" w:eastAsia="仿宋" w:cs="仿宋"/>
                <w:b/>
                <w:kern w:val="0"/>
                <w:sz w:val="24"/>
                <w:lang w:bidi="ar"/>
              </w:rPr>
              <w:t> </w:t>
            </w:r>
          </w:p>
          <w:p>
            <w:pPr>
              <w:widowControl/>
              <w:autoSpaceDE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bidi="ar"/>
              </w:rPr>
              <w:t>意见：被交通执法处罚的应纳入考核体系扣分。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rPr>
              <w:t>本次《考核细则》重点围绕企业秩序管理及服务提升设置考核指标。企业向未满 12 周岁未成年人提供注册服务的，相关部门可依据《管理办法》相关规定予以处罚。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autoSpaceDE w:val="0"/>
              <w:spacing w:line="360" w:lineRule="auto"/>
              <w:rPr>
                <w:rFonts w:ascii="仿宋" w:hAnsi="仿宋" w:eastAsia="仿宋" w:cs="仿宋"/>
                <w:kern w:val="0"/>
                <w:sz w:val="24"/>
              </w:rPr>
            </w:pPr>
          </w:p>
        </w:tc>
        <w:tc>
          <w:tcPr>
            <w:tcW w:w="1067" w:type="dxa"/>
            <w:vMerge w:val="continue"/>
            <w:tcBorders>
              <w:top w:val="nil"/>
              <w:left w:val="nil"/>
              <w:bottom w:val="single" w:color="auto" w:sz="4" w:space="0"/>
              <w:right w:val="single" w:color="auto" w:sz="4" w:space="0"/>
            </w:tcBorders>
            <w:shd w:val="clear" w:color="auto" w:fill="auto"/>
            <w:vAlign w:val="center"/>
          </w:tcPr>
          <w:p>
            <w:pPr>
              <w:rPr>
                <w:rFonts w:ascii="Calibri" w:hAnsi="Calibri" w:cs="Times New Roman"/>
                <w:szCs w:val="21"/>
              </w:rPr>
            </w:pPr>
          </w:p>
        </w:tc>
        <w:tc>
          <w:tcPr>
            <w:tcW w:w="6212"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 xml:space="preserve">（五）委托第三方机构考核为 35 分，占考核总分数的35%，是考核机构最高分值，无法达到公平合理全面。 </w:t>
            </w:r>
          </w:p>
          <w:p>
            <w:pPr>
              <w:widowControl/>
              <w:autoSpaceDE w:val="0"/>
              <w:spacing w:line="360" w:lineRule="auto"/>
              <w:ind w:firstLine="482" w:firstLineChars="200"/>
              <w:rPr>
                <w:rFonts w:ascii="仿宋" w:hAnsi="仿宋" w:eastAsia="仿宋" w:cs="仿宋"/>
                <w:b/>
                <w:kern w:val="0"/>
                <w:sz w:val="24"/>
              </w:rPr>
            </w:pPr>
            <w:r>
              <w:rPr>
                <w:rFonts w:hint="eastAsia" w:ascii="仿宋" w:hAnsi="仿宋" w:eastAsia="仿宋" w:cs="仿宋"/>
                <w:b/>
                <w:kern w:val="0"/>
                <w:sz w:val="24"/>
                <w:lang w:bidi="ar"/>
              </w:rPr>
              <w:t>意见：降低第三方机构考核分值，增加主管部门考核分值，或者按照《经营服务管理办法》中“第六条【社会监督】 ，鼓励建立行业协会”的要求，由行业协会参加考核，进行过程监督或者分担部分考核内容。</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jc w:val="center"/>
              <w:rPr>
                <w:rFonts w:ascii="仿宋" w:hAnsi="仿宋" w:eastAsia="仿宋" w:cs="仿宋"/>
                <w:b/>
                <w:kern w:val="0"/>
                <w:sz w:val="24"/>
              </w:rPr>
            </w:pPr>
            <w:r>
              <w:rPr>
                <w:rFonts w:hint="eastAsia" w:ascii="仿宋" w:hAnsi="仿宋" w:eastAsia="仿宋" w:cs="仿宋"/>
                <w:kern w:val="0"/>
                <w:sz w:val="24"/>
                <w:lang w:bidi="ar"/>
              </w:rPr>
              <w:t>解释</w:t>
            </w:r>
          </w:p>
        </w:tc>
        <w:tc>
          <w:tcPr>
            <w:tcW w:w="4960" w:type="dxa"/>
            <w:tcBorders>
              <w:top w:val="single" w:color="auto" w:sz="4" w:space="0"/>
              <w:left w:val="nil"/>
              <w:bottom w:val="single" w:color="auto" w:sz="4" w:space="0"/>
              <w:right w:val="single" w:color="auto" w:sz="4" w:space="0"/>
            </w:tcBorders>
            <w:shd w:val="clear" w:color="auto" w:fill="auto"/>
            <w:vAlign w:val="center"/>
          </w:tcPr>
          <w:p>
            <w:pPr>
              <w:widowControl/>
              <w:autoSpaceDE w:val="0"/>
              <w:spacing w:line="360" w:lineRule="auto"/>
              <w:rPr>
                <w:rFonts w:ascii="仿宋" w:hAnsi="仿宋" w:eastAsia="仿宋" w:cs="仿宋"/>
                <w:kern w:val="0"/>
                <w:sz w:val="24"/>
              </w:rPr>
            </w:pPr>
            <w:r>
              <w:rPr>
                <w:rFonts w:hint="eastAsia" w:ascii="仿宋" w:hAnsi="仿宋" w:eastAsia="仿宋" w:cs="仿宋"/>
                <w:kern w:val="0"/>
                <w:sz w:val="24"/>
                <w:lang w:bidi="ar"/>
              </w:rPr>
              <w:t>参考我市公共交通等服务质量考核工作，均由第三方机构具体实施。同时综合考虑互联网租赁自行车“共管共治”管理模式，《考核细则》根据各职能部门职责负责相关指标考核工作，而第三方机构主要负责“公众满意度、车辆完好率、整洁度”等需大规模现场调查的考核指标。</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E6A79"/>
    <w:multiLevelType w:val="multilevel"/>
    <w:tmpl w:val="F25E6A79"/>
    <w:lvl w:ilvl="0" w:tentative="0">
      <w:start w:val="1"/>
      <w:numFmt w:val="decimal"/>
      <w:lvlText w:val="%1"/>
      <w:lvlJc w:val="center"/>
      <w:pPr>
        <w:tabs>
          <w:tab w:val="left" w:pos="0"/>
        </w:tabs>
        <w:ind w:left="420" w:hanging="420"/>
      </w:pPr>
      <w:rPr>
        <w:rFonts w:hint="default" w:ascii="Times New Roman" w:hAnsi="Times New Roman" w:cs="Times New Roman"/>
      </w:rPr>
    </w:lvl>
    <w:lvl w:ilvl="1" w:tentative="0">
      <w:start w:val="1"/>
      <w:numFmt w:val="lowerLetter"/>
      <w:lvlText w:val="%2)"/>
      <w:lvlJc w:val="left"/>
      <w:pPr>
        <w:tabs>
          <w:tab w:val="left" w:pos="0"/>
        </w:tabs>
        <w:ind w:left="840" w:hanging="42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069B"/>
    <w:rsid w:val="00061792"/>
    <w:rsid w:val="00090CD2"/>
    <w:rsid w:val="0009520D"/>
    <w:rsid w:val="00172A27"/>
    <w:rsid w:val="001813E5"/>
    <w:rsid w:val="0021242B"/>
    <w:rsid w:val="002252D4"/>
    <w:rsid w:val="00250214"/>
    <w:rsid w:val="00262302"/>
    <w:rsid w:val="00305ABC"/>
    <w:rsid w:val="003205A3"/>
    <w:rsid w:val="00391760"/>
    <w:rsid w:val="003C0B56"/>
    <w:rsid w:val="003C2AD2"/>
    <w:rsid w:val="003C4A79"/>
    <w:rsid w:val="003C7A64"/>
    <w:rsid w:val="003D2336"/>
    <w:rsid w:val="003D6886"/>
    <w:rsid w:val="004343CD"/>
    <w:rsid w:val="00477AEC"/>
    <w:rsid w:val="004869A9"/>
    <w:rsid w:val="004B3CB3"/>
    <w:rsid w:val="004D4754"/>
    <w:rsid w:val="005354FF"/>
    <w:rsid w:val="005579CC"/>
    <w:rsid w:val="00574B4A"/>
    <w:rsid w:val="006F2389"/>
    <w:rsid w:val="00715929"/>
    <w:rsid w:val="00746F8A"/>
    <w:rsid w:val="007844BB"/>
    <w:rsid w:val="007A1226"/>
    <w:rsid w:val="007A1C9E"/>
    <w:rsid w:val="007E0E76"/>
    <w:rsid w:val="00816685"/>
    <w:rsid w:val="00867B57"/>
    <w:rsid w:val="008E4B60"/>
    <w:rsid w:val="00991F27"/>
    <w:rsid w:val="009F5169"/>
    <w:rsid w:val="00A25005"/>
    <w:rsid w:val="00AC56A8"/>
    <w:rsid w:val="00AD0CA0"/>
    <w:rsid w:val="00CD565B"/>
    <w:rsid w:val="00CF1CAF"/>
    <w:rsid w:val="00D05D90"/>
    <w:rsid w:val="00D234CD"/>
    <w:rsid w:val="00D70F8B"/>
    <w:rsid w:val="00DE6333"/>
    <w:rsid w:val="00E82242"/>
    <w:rsid w:val="00E97435"/>
    <w:rsid w:val="00EA578D"/>
    <w:rsid w:val="00EF29C3"/>
    <w:rsid w:val="00F86FD3"/>
    <w:rsid w:val="073737B3"/>
    <w:rsid w:val="1B097B7B"/>
    <w:rsid w:val="1E3469CA"/>
    <w:rsid w:val="2A600678"/>
    <w:rsid w:val="2E700984"/>
    <w:rsid w:val="32124511"/>
    <w:rsid w:val="37F76C37"/>
    <w:rsid w:val="39052579"/>
    <w:rsid w:val="597F824F"/>
    <w:rsid w:val="5C0B37AF"/>
    <w:rsid w:val="5DEFE18B"/>
    <w:rsid w:val="76BE7A71"/>
    <w:rsid w:val="A7DB466E"/>
    <w:rsid w:val="DFFFDEBB"/>
    <w:rsid w:val="E39314E3"/>
    <w:rsid w:val="EF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9"/>
    <w:pPr>
      <w:keepNext/>
      <w:keepLines/>
      <w:spacing w:beforeLines="100" w:afterLines="100"/>
      <w:outlineLvl w:val="0"/>
    </w:pPr>
    <w:rPr>
      <w:rFonts w:eastAsia="黑体"/>
      <w:kern w:val="44"/>
      <w:sz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3"/>
    <w:qFormat/>
    <w:uiPriority w:val="0"/>
    <w:pPr>
      <w:spacing w:before="100" w:beforeAutospacing="1" w:after="100" w:afterAutospacing="1"/>
      <w:jc w:val="left"/>
    </w:pPr>
    <w:rPr>
      <w:kern w:val="0"/>
      <w:sz w:val="24"/>
    </w:rPr>
  </w:style>
  <w:style w:type="paragraph" w:styleId="9">
    <w:name w:val="annotation subject"/>
    <w:basedOn w:val="4"/>
    <w:next w:val="4"/>
    <w:link w:val="17"/>
    <w:qFormat/>
    <w:uiPriority w:val="0"/>
    <w:rPr>
      <w:b/>
      <w:bCs/>
    </w:rPr>
  </w:style>
  <w:style w:type="table" w:styleId="11">
    <w:name w:val="Table Grid"/>
    <w:basedOn w:val="10"/>
    <w:qFormat/>
    <w:uiPriority w:val="0"/>
    <w:pPr>
      <w:widowControl w:val="0"/>
      <w:jc w:val="both"/>
    </w:pPr>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3">
    <w:name w:val="annotation reference"/>
    <w:basedOn w:val="12"/>
    <w:qFormat/>
    <w:uiPriority w:val="0"/>
    <w:rPr>
      <w:sz w:val="21"/>
      <w:szCs w:val="21"/>
    </w:rPr>
  </w:style>
  <w:style w:type="character" w:customStyle="1" w:styleId="14">
    <w:name w:val="页眉 Char"/>
    <w:basedOn w:val="12"/>
    <w:link w:val="7"/>
    <w:qFormat/>
    <w:uiPriority w:val="0"/>
    <w:rPr>
      <w:rFonts w:asciiTheme="minorHAnsi" w:hAnsiTheme="minorHAnsi" w:eastAsiaTheme="minorEastAsia" w:cstheme="minorBidi"/>
      <w:kern w:val="2"/>
      <w:sz w:val="18"/>
      <w:szCs w:val="18"/>
    </w:rPr>
  </w:style>
  <w:style w:type="character" w:customStyle="1" w:styleId="15">
    <w:name w:val="页脚 Char"/>
    <w:basedOn w:val="12"/>
    <w:link w:val="6"/>
    <w:qFormat/>
    <w:uiPriority w:val="0"/>
    <w:rPr>
      <w:rFonts w:asciiTheme="minorHAnsi" w:hAnsiTheme="minorHAnsi" w:eastAsiaTheme="minorEastAsia" w:cstheme="minorBidi"/>
      <w:kern w:val="2"/>
      <w:sz w:val="18"/>
      <w:szCs w:val="18"/>
    </w:rPr>
  </w:style>
  <w:style w:type="character" w:customStyle="1" w:styleId="16">
    <w:name w:val="批注文字 Char"/>
    <w:basedOn w:val="12"/>
    <w:link w:val="4"/>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9"/>
    <w:qFormat/>
    <w:uiPriority w:val="0"/>
    <w:rPr>
      <w:rFonts w:asciiTheme="minorHAnsi" w:hAnsiTheme="minorHAnsi" w:eastAsiaTheme="minorEastAsia" w:cstheme="minorBidi"/>
      <w:b/>
      <w:bCs/>
      <w:kern w:val="2"/>
      <w:sz w:val="21"/>
      <w:szCs w:val="24"/>
    </w:rPr>
  </w:style>
  <w:style w:type="character" w:customStyle="1" w:styleId="18">
    <w:name w:val="批注框文本 Char"/>
    <w:basedOn w:val="12"/>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882</Words>
  <Characters>5032</Characters>
  <Lines>41</Lines>
  <Paragraphs>11</Paragraphs>
  <TotalTime>10</TotalTime>
  <ScaleCrop>false</ScaleCrop>
  <LinksUpToDate>false</LinksUpToDate>
  <CharactersWithSpaces>5903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2022-03-23T03:00:00Z</dcterms:created>
  <dc:creator>叶＆紫</dc:creator>
  <cp:lastModifiedBy>好饭友</cp:lastModifiedBy>
  <dcterms:modified xsi:type="dcterms:W3CDTF">2022-04-06T01:40:46Z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BEBE1F19DDDE4858ACAF9E49EEDE6BCA</vt:lpwstr>
  </property>
</Properties>
</file>