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r>
        <w:rPr>
          <w:rFonts w:hint="eastAsia" w:ascii="黑体" w:hAnsi="黑体" w:eastAsia="黑体"/>
          <w:sz w:val="44"/>
          <w:szCs w:val="44"/>
        </w:rPr>
        <w:t>《前海深港现代服务业合作区区域集中供冷管理暂行办法》（征求意见</w:t>
      </w:r>
      <w:r>
        <w:rPr>
          <w:rFonts w:ascii="黑体" w:hAnsi="黑体" w:eastAsia="黑体"/>
          <w:sz w:val="44"/>
          <w:szCs w:val="44"/>
        </w:rPr>
        <w:t>稿</w:t>
      </w:r>
      <w:r>
        <w:rPr>
          <w:rFonts w:hint="eastAsia" w:ascii="黑体" w:hAnsi="黑体" w:eastAsia="黑体"/>
          <w:sz w:val="44"/>
          <w:szCs w:val="44"/>
        </w:rPr>
        <w:t>）</w:t>
      </w:r>
    </w:p>
    <w:p>
      <w:pPr>
        <w:spacing w:line="560" w:lineRule="exact"/>
        <w:jc w:val="center"/>
        <w:rPr>
          <w:rFonts w:ascii="黑体" w:hAnsi="黑体" w:eastAsia="黑体"/>
          <w:sz w:val="44"/>
          <w:szCs w:val="44"/>
        </w:rPr>
      </w:pPr>
      <w:bookmarkStart w:id="1" w:name="_GoBack"/>
      <w:bookmarkEnd w:id="1"/>
      <w:r>
        <w:rPr>
          <w:rFonts w:hint="eastAsia" w:ascii="黑体" w:hAnsi="黑体" w:eastAsia="黑体"/>
          <w:sz w:val="44"/>
          <w:szCs w:val="44"/>
        </w:rPr>
        <w:t>的起草说明</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b/>
          <w:sz w:val="32"/>
          <w:szCs w:val="32"/>
        </w:rPr>
      </w:pPr>
      <w:r>
        <w:rPr>
          <w:rFonts w:hint="eastAsia" w:ascii="仿宋" w:hAnsi="仿宋" w:eastAsia="仿宋"/>
          <w:sz w:val="32"/>
          <w:szCs w:val="32"/>
        </w:rPr>
        <w:t>为规范区域集中供冷系统的投资建设和运营管理，维护供冷单位和用户等的合法权益，确保用户得到经济、稳定、优质的供冷服务，在前海管理局组织开展的研究课题《前海深港合作区区域集中供冷规划布局和系统可行性研究项目》等相关成果的基础上起草了《前海深港现代服务业合作区区域集中供冷管理暂行办法》（修订稿，以下简称《办法》）。现将有关问题说明如下：</w:t>
      </w:r>
    </w:p>
    <w:p>
      <w:pPr>
        <w:pStyle w:val="10"/>
        <w:numPr>
          <w:ilvl w:val="0"/>
          <w:numId w:val="1"/>
        </w:numPr>
        <w:tabs>
          <w:tab w:val="left" w:pos="1134"/>
        </w:tabs>
        <w:spacing w:line="560" w:lineRule="exact"/>
        <w:ind w:firstLineChars="0"/>
        <w:rPr>
          <w:rFonts w:ascii="仿宋" w:hAnsi="仿宋" w:eastAsia="仿宋"/>
          <w:b/>
          <w:sz w:val="32"/>
          <w:szCs w:val="32"/>
        </w:rPr>
      </w:pPr>
      <w:r>
        <w:rPr>
          <w:rFonts w:hint="eastAsia" w:ascii="仿宋" w:hAnsi="仿宋" w:eastAsia="仿宋"/>
          <w:b/>
          <w:sz w:val="32"/>
          <w:szCs w:val="32"/>
        </w:rPr>
        <w:t>背景和必要性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区域集中供冷系统是为了满足某一特定区域多个建筑物的空调冷源需求，由专门的供冷站集中制备冷水，通过管网向区域内各地块单体建筑供冷的供冷系统，</w:t>
      </w:r>
      <w:r>
        <w:rPr>
          <w:rFonts w:ascii="仿宋" w:hAnsi="仿宋" w:eastAsia="仿宋"/>
          <w:sz w:val="32"/>
          <w:szCs w:val="32"/>
        </w:rPr>
        <w:t>可由一个或多个供冷站联合组成。</w:t>
      </w:r>
      <w:r>
        <w:rPr>
          <w:rFonts w:hint="eastAsia" w:ascii="仿宋" w:hAnsi="仿宋" w:eastAsia="仿宋"/>
          <w:sz w:val="32"/>
          <w:szCs w:val="32"/>
        </w:rPr>
        <w:t>与传统供冷系统相比，区域集中供冷系统</w:t>
      </w:r>
      <w:r>
        <w:rPr>
          <w:rFonts w:hint="eastAsia" w:ascii="仿宋" w:hAnsi="仿宋" w:eastAsia="仿宋"/>
          <w:b/>
          <w:sz w:val="32"/>
          <w:szCs w:val="32"/>
        </w:rPr>
        <w:t>一是</w:t>
      </w:r>
      <w:r>
        <w:rPr>
          <w:rFonts w:hint="eastAsia" w:ascii="仿宋" w:hAnsi="仿宋" w:eastAsia="仿宋"/>
          <w:sz w:val="32"/>
          <w:szCs w:val="32"/>
        </w:rPr>
        <w:t>可以有效缓解城市热岛效应、减少漂水和噪声污染，显著改善和美化城市环境；</w:t>
      </w:r>
      <w:r>
        <w:rPr>
          <w:rFonts w:hint="eastAsia" w:ascii="仿宋" w:hAnsi="仿宋" w:eastAsia="仿宋"/>
          <w:b/>
          <w:sz w:val="32"/>
          <w:szCs w:val="32"/>
        </w:rPr>
        <w:t>二是</w:t>
      </w:r>
      <w:r>
        <w:rPr>
          <w:rFonts w:hint="eastAsia" w:ascii="仿宋" w:hAnsi="仿宋" w:eastAsia="仿宋"/>
          <w:sz w:val="32"/>
          <w:szCs w:val="32"/>
        </w:rPr>
        <w:t>可以平衡电力负荷、减少调峰备用电力设备投入，减少用户用电容量冗余，提高城市能源供应系统利用效率；</w:t>
      </w:r>
      <w:r>
        <w:rPr>
          <w:rFonts w:hint="eastAsia" w:ascii="仿宋" w:hAnsi="仿宋" w:eastAsia="仿宋"/>
          <w:b/>
          <w:sz w:val="32"/>
          <w:szCs w:val="32"/>
        </w:rPr>
        <w:t>三是</w:t>
      </w:r>
      <w:r>
        <w:rPr>
          <w:rFonts w:hint="eastAsia" w:ascii="仿宋" w:hAnsi="仿宋" w:eastAsia="仿宋"/>
          <w:sz w:val="32"/>
          <w:szCs w:val="32"/>
        </w:rPr>
        <w:t>节约机房占地空间、降低用户用能成本、降低碳排放，提升新城品质和营商环境，</w:t>
      </w:r>
      <w:r>
        <w:rPr>
          <w:rFonts w:ascii="仿宋" w:hAnsi="仿宋" w:eastAsia="仿宋"/>
          <w:sz w:val="32"/>
          <w:szCs w:val="32"/>
        </w:rPr>
        <w:t>具有</w:t>
      </w:r>
      <w:r>
        <w:rPr>
          <w:rFonts w:hint="eastAsia" w:ascii="仿宋" w:hAnsi="仿宋" w:eastAsia="仿宋"/>
          <w:sz w:val="32"/>
          <w:szCs w:val="32"/>
        </w:rPr>
        <w:t>较好</w:t>
      </w:r>
      <w:r>
        <w:rPr>
          <w:rFonts w:ascii="仿宋" w:hAnsi="仿宋" w:eastAsia="仿宋"/>
          <w:sz w:val="32"/>
          <w:szCs w:val="32"/>
        </w:rPr>
        <w:t>的社会</w:t>
      </w:r>
      <w:r>
        <w:rPr>
          <w:rFonts w:hint="eastAsia" w:ascii="仿宋" w:hAnsi="仿宋" w:eastAsia="仿宋"/>
          <w:sz w:val="32"/>
          <w:szCs w:val="32"/>
        </w:rPr>
        <w:t>环境</w:t>
      </w:r>
      <w:r>
        <w:rPr>
          <w:rFonts w:ascii="仿宋" w:hAnsi="仿宋" w:eastAsia="仿宋"/>
          <w:sz w:val="32"/>
          <w:szCs w:val="32"/>
        </w:rPr>
        <w:t>及综合效益</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前海区域集中供冷系统规划总冷量39万冷吨，服务超1900万平方米建筑。建成以后，节能率可达12.3%左右，每年可节约1.3亿度电，相当于减少使用约1.6万吨标准煤，减少约12.3万吨二氧化碳排放量，相当于5,000亩森林的碳汇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作为深港合作的战略创新平台以及先行示范区的城市新中心，管理局牢记党中央国务院高水平规划设计、高标准建设合作区的嘱托，在起步阶段高瞻远瞩把脉合作区未来能源供应方案。经多方会商，合作区大规模开展区域集中供冷可有效的平衡电力负荷、降低区域内的碳排放、节省用地面积、提高能源利用效率、提高城市生活品质和优化营商环境，是建设低碳生态之城的必由之路。在此基础上，《前海深港现代服务业合作区综合规划》在前海合作区部分开发单元规划了区域集中供系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如何实现区域集中供冷系统高效、节能、可靠的运行？这不仅需要从技术上进行规范，从供冷站选址、空间布局、输送管道、用户入口装置等环节统一标准；而且更需要配套合理的投资、建设、运营管理制度</w:t>
      </w:r>
      <w:r>
        <w:rPr>
          <w:rFonts w:ascii="仿宋" w:hAnsi="仿宋" w:eastAsia="仿宋"/>
          <w:sz w:val="32"/>
          <w:szCs w:val="32"/>
        </w:rPr>
        <w:t>；</w:t>
      </w:r>
      <w:r>
        <w:rPr>
          <w:rFonts w:hint="eastAsia" w:ascii="仿宋" w:hAnsi="仿宋" w:eastAsia="仿宋"/>
          <w:sz w:val="32"/>
          <w:szCs w:val="32"/>
        </w:rPr>
        <w:t>同时还需要用户、运营单位、主管部门等各方共同努力。目前，区域供冷在中国尚处于起步阶段，虽然有投运项目，但是关于区域集中供冷系统的投资建设与运营、用户与投资者的关系、政府的作用还没有相关单位和个人进行系统研究和总结，前海合作区实施区域集中供冷没有系统性的经验可供参考。为了保证区域集中供冷系统的顺利实施，前海管理局组织开展了《前海深港合作区区域集中供冷规划布局和系统可行性研究项目》、《前海合作区集中供冷经营权授予、运营、监督管理等机制研究课题》的研究课题，对前海合作区实施区域供冷的建设运营模式、定价与调价机制、区域集中供冷的规划布局、能源实施方案、投资</w:t>
      </w:r>
      <w:r>
        <w:rPr>
          <w:rFonts w:ascii="仿宋" w:hAnsi="仿宋" w:eastAsia="仿宋"/>
          <w:sz w:val="32"/>
          <w:szCs w:val="32"/>
        </w:rPr>
        <w:t>、建设、产权、</w:t>
      </w:r>
      <w:r>
        <w:rPr>
          <w:rFonts w:hint="eastAsia" w:ascii="仿宋" w:hAnsi="仿宋" w:eastAsia="仿宋"/>
          <w:sz w:val="32"/>
          <w:szCs w:val="32"/>
        </w:rPr>
        <w:t>经营权</w:t>
      </w:r>
      <w:r>
        <w:rPr>
          <w:rFonts w:ascii="仿宋" w:hAnsi="仿宋" w:eastAsia="仿宋"/>
          <w:sz w:val="32"/>
          <w:szCs w:val="32"/>
        </w:rPr>
        <w:t>、运管界面、运管要求</w:t>
      </w:r>
      <w:r>
        <w:rPr>
          <w:rFonts w:hint="eastAsia" w:ascii="仿宋" w:hAnsi="仿宋" w:eastAsia="仿宋"/>
          <w:sz w:val="32"/>
          <w:szCs w:val="32"/>
        </w:rPr>
        <w:t>、</w:t>
      </w:r>
      <w:r>
        <w:rPr>
          <w:rFonts w:ascii="仿宋" w:hAnsi="仿宋" w:eastAsia="仿宋"/>
          <w:sz w:val="32"/>
          <w:szCs w:val="32"/>
        </w:rPr>
        <w:t>各自职责</w:t>
      </w:r>
      <w:r>
        <w:rPr>
          <w:rFonts w:hint="eastAsia" w:ascii="仿宋" w:hAnsi="仿宋" w:eastAsia="仿宋"/>
          <w:sz w:val="32"/>
          <w:szCs w:val="32"/>
        </w:rPr>
        <w:t>等关键问题进行了全链条</w:t>
      </w:r>
      <w:r>
        <w:rPr>
          <w:rFonts w:ascii="仿宋" w:hAnsi="仿宋" w:eastAsia="仿宋"/>
          <w:sz w:val="32"/>
          <w:szCs w:val="32"/>
        </w:rPr>
        <w:t>、</w:t>
      </w:r>
      <w:r>
        <w:rPr>
          <w:rFonts w:hint="eastAsia" w:ascii="仿宋" w:hAnsi="仿宋" w:eastAsia="仿宋"/>
          <w:sz w:val="32"/>
          <w:szCs w:val="32"/>
        </w:rPr>
        <w:t>系统性的分析与研究。在这些研究成果的基础上，前海管理局组织编制了《前海深港现代服务业合作区区域集中供冷管理暂行办法》，为规范区域集中供冷系统的投资建设和运营管理，维护供冷单位和用户等的合法权益，以及区域集中供冷系统的实施提供坚实的法律保障。</w:t>
      </w:r>
    </w:p>
    <w:p>
      <w:pPr>
        <w:pStyle w:val="10"/>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起草过程</w:t>
      </w:r>
    </w:p>
    <w:p>
      <w:pPr>
        <w:spacing w:line="560" w:lineRule="exact"/>
        <w:ind w:firstLine="640" w:firstLineChars="200"/>
        <w:rPr>
          <w:rFonts w:ascii="仿宋" w:hAnsi="仿宋" w:eastAsia="仿宋"/>
          <w:sz w:val="32"/>
          <w:szCs w:val="32"/>
        </w:rPr>
      </w:pPr>
      <w:r>
        <w:rPr>
          <w:rFonts w:ascii="仿宋" w:hAnsi="仿宋" w:eastAsia="仿宋"/>
          <w:sz w:val="32"/>
          <w:szCs w:val="32"/>
        </w:rPr>
        <w:t>2013年3月15日下午，前海管理局主持召开前海深港合作区区域集中供冷专题研讨会，明确了在前海合作区采用区域集中供冷系统以及开展区域集中供冷系统的专项规划和系统可行性研究课题。</w:t>
      </w:r>
    </w:p>
    <w:p>
      <w:pPr>
        <w:spacing w:line="560" w:lineRule="exact"/>
        <w:ind w:firstLine="640" w:firstLineChars="200"/>
        <w:rPr>
          <w:rFonts w:ascii="仿宋" w:hAnsi="仿宋" w:eastAsia="仿宋"/>
          <w:sz w:val="32"/>
          <w:szCs w:val="32"/>
        </w:rPr>
      </w:pPr>
      <w:r>
        <w:rPr>
          <w:rFonts w:ascii="仿宋" w:hAnsi="仿宋" w:eastAsia="仿宋"/>
          <w:sz w:val="32"/>
          <w:szCs w:val="32"/>
        </w:rPr>
        <w:t>2013年8月开始，前海管理局组织开展了《前海深港合作区区域集中供冷规划布局和系统可行性研究》课题，该研究课题研究内容包括了区域集中供冷系统的建设运营模式、定价与调价机制、区域集中供冷的规划布局等内容，《前海深港现代服务业合作区区域集中供冷管理</w:t>
      </w:r>
      <w:r>
        <w:rPr>
          <w:rFonts w:hint="eastAsia" w:ascii="仿宋" w:hAnsi="仿宋" w:eastAsia="仿宋"/>
          <w:sz w:val="32"/>
          <w:szCs w:val="32"/>
        </w:rPr>
        <w:t>暂行</w:t>
      </w:r>
      <w:r>
        <w:rPr>
          <w:rFonts w:ascii="仿宋" w:hAnsi="仿宋" w:eastAsia="仿宋"/>
          <w:sz w:val="32"/>
          <w:szCs w:val="32"/>
        </w:rPr>
        <w:t>办法》是该课题的研究成果。</w:t>
      </w:r>
    </w:p>
    <w:p>
      <w:pPr>
        <w:spacing w:line="560" w:lineRule="exact"/>
        <w:ind w:firstLine="640" w:firstLineChars="200"/>
        <w:rPr>
          <w:rFonts w:ascii="仿宋" w:hAnsi="仿宋" w:eastAsia="仿宋"/>
          <w:sz w:val="32"/>
          <w:szCs w:val="32"/>
        </w:rPr>
      </w:pPr>
      <w:r>
        <w:rPr>
          <w:rFonts w:ascii="仿宋" w:hAnsi="仿宋" w:eastAsia="仿宋"/>
          <w:sz w:val="32"/>
          <w:szCs w:val="32"/>
        </w:rPr>
        <w:t>2014年，</w:t>
      </w:r>
      <w:r>
        <w:rPr>
          <w:rFonts w:hint="eastAsia" w:ascii="仿宋" w:hAnsi="仿宋" w:eastAsia="仿宋"/>
          <w:sz w:val="32"/>
          <w:szCs w:val="32"/>
        </w:rPr>
        <w:t>本</w:t>
      </w:r>
      <w:r>
        <w:rPr>
          <w:rFonts w:ascii="仿宋" w:hAnsi="仿宋" w:eastAsia="仿宋"/>
          <w:sz w:val="32"/>
          <w:szCs w:val="32"/>
        </w:rPr>
        <w:t>办法初</w:t>
      </w:r>
      <w:r>
        <w:rPr>
          <w:rFonts w:hint="eastAsia" w:ascii="仿宋" w:hAnsi="仿宋" w:eastAsia="仿宋"/>
          <w:sz w:val="32"/>
          <w:szCs w:val="32"/>
        </w:rPr>
        <w:t>稿</w:t>
      </w:r>
      <w:r>
        <w:rPr>
          <w:rFonts w:ascii="仿宋" w:hAnsi="仿宋" w:eastAsia="仿宋"/>
          <w:sz w:val="32"/>
          <w:szCs w:val="32"/>
        </w:rPr>
        <w:t>在前海管理局内部进行了第一</w:t>
      </w:r>
      <w:r>
        <w:rPr>
          <w:rFonts w:hint="eastAsia" w:ascii="仿宋" w:hAnsi="仿宋" w:eastAsia="仿宋"/>
          <w:sz w:val="32"/>
          <w:szCs w:val="32"/>
        </w:rPr>
        <w:t>次</w:t>
      </w:r>
      <w:r>
        <w:rPr>
          <w:rFonts w:ascii="仿宋" w:hAnsi="仿宋" w:eastAsia="仿宋"/>
          <w:sz w:val="32"/>
          <w:szCs w:val="32"/>
        </w:rPr>
        <w:t>意见</w:t>
      </w:r>
      <w:r>
        <w:rPr>
          <w:rFonts w:hint="eastAsia" w:ascii="仿宋" w:hAnsi="仿宋" w:eastAsia="仿宋"/>
          <w:sz w:val="32"/>
          <w:szCs w:val="32"/>
        </w:rPr>
        <w:t>征询</w:t>
      </w:r>
      <w:r>
        <w:rPr>
          <w:rFonts w:ascii="仿宋" w:hAnsi="仿宋" w:eastAsia="仿宋"/>
          <w:sz w:val="32"/>
          <w:szCs w:val="32"/>
        </w:rPr>
        <w:t>。按照征求意见修改后，在2014年6月份， 前海管理局邀请了珠江新城能源有限公司腾林总经理（高级工程师）、中广核能源公司傅建平高级工程师、广东省工业大学杨晚生教授、深圳市建筑科学研究院吴大农总工程师等区域集中供冷及暖通空调行业的专家，对《办法》进行了专家评审。</w:t>
      </w:r>
    </w:p>
    <w:p>
      <w:pPr>
        <w:spacing w:line="560" w:lineRule="exact"/>
        <w:ind w:firstLine="640" w:firstLineChars="200"/>
        <w:rPr>
          <w:rFonts w:ascii="仿宋" w:hAnsi="仿宋" w:eastAsia="仿宋"/>
          <w:sz w:val="32"/>
          <w:szCs w:val="32"/>
        </w:rPr>
      </w:pPr>
      <w:r>
        <w:rPr>
          <w:rFonts w:ascii="仿宋" w:hAnsi="仿宋" w:eastAsia="仿宋"/>
          <w:sz w:val="32"/>
          <w:szCs w:val="32"/>
        </w:rPr>
        <w:t>2014年12月开始向市相关职能部门以及前海合作区内区域集中供冷系统的潜在用户征求意见。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5</w:t>
      </w:r>
      <w:r>
        <w:rPr>
          <w:rFonts w:hint="eastAsia" w:ascii="仿宋" w:hAnsi="仿宋" w:eastAsia="仿宋"/>
          <w:sz w:val="32"/>
          <w:szCs w:val="32"/>
        </w:rPr>
        <w:t>年8月</w:t>
      </w:r>
      <w:r>
        <w:rPr>
          <w:rFonts w:ascii="仿宋" w:hAnsi="仿宋" w:eastAsia="仿宋"/>
          <w:sz w:val="32"/>
          <w:szCs w:val="32"/>
        </w:rPr>
        <w:t>，我局先后就办法初稿征求市发改</w:t>
      </w:r>
      <w:r>
        <w:rPr>
          <w:rFonts w:hint="eastAsia" w:ascii="仿宋" w:hAnsi="仿宋" w:eastAsia="仿宋"/>
          <w:sz w:val="32"/>
          <w:szCs w:val="32"/>
        </w:rPr>
        <w:t>、市</w:t>
      </w:r>
      <w:r>
        <w:rPr>
          <w:rFonts w:ascii="仿宋" w:hAnsi="仿宋" w:eastAsia="仿宋"/>
          <w:sz w:val="32"/>
          <w:szCs w:val="32"/>
        </w:rPr>
        <w:t>规划国土、市住建</w:t>
      </w:r>
      <w:r>
        <w:rPr>
          <w:rFonts w:hint="eastAsia" w:ascii="仿宋" w:hAnsi="仿宋" w:eastAsia="仿宋"/>
          <w:sz w:val="32"/>
          <w:szCs w:val="32"/>
        </w:rPr>
        <w:t>、</w:t>
      </w:r>
      <w:r>
        <w:rPr>
          <w:rFonts w:ascii="仿宋" w:hAnsi="仿宋" w:eastAsia="仿宋"/>
          <w:sz w:val="32"/>
          <w:szCs w:val="32"/>
        </w:rPr>
        <w:t>市法</w:t>
      </w:r>
      <w:r>
        <w:rPr>
          <w:rFonts w:hint="eastAsia" w:ascii="仿宋" w:hAnsi="仿宋" w:eastAsia="仿宋"/>
          <w:sz w:val="32"/>
          <w:szCs w:val="32"/>
          <w:lang w:val="en-US" w:eastAsia="zh-CN"/>
        </w:rPr>
        <w:t>制</w:t>
      </w:r>
      <w:r>
        <w:rPr>
          <w:rFonts w:ascii="仿宋" w:hAnsi="仿宋" w:eastAsia="仿宋"/>
          <w:sz w:val="32"/>
          <w:szCs w:val="32"/>
        </w:rPr>
        <w:t>办等部门</w:t>
      </w:r>
      <w:r>
        <w:rPr>
          <w:rFonts w:hint="eastAsia" w:ascii="仿宋" w:hAnsi="仿宋" w:eastAsia="仿宋"/>
          <w:sz w:val="32"/>
          <w:szCs w:val="32"/>
        </w:rPr>
        <w:t>意见</w:t>
      </w:r>
      <w:r>
        <w:rPr>
          <w:rFonts w:ascii="仿宋" w:hAnsi="仿宋" w:eastAsia="仿宋"/>
          <w:sz w:val="32"/>
          <w:szCs w:val="32"/>
        </w:rPr>
        <w:t>，并修改完善。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2015年年底就区域集中供冷的建设经营模式、冷价管理的有关问题向市政府专题请示。2016年初，</w:t>
      </w:r>
      <w:r>
        <w:rPr>
          <w:rFonts w:ascii="仿宋" w:hAnsi="仿宋" w:eastAsia="仿宋"/>
          <w:sz w:val="32"/>
          <w:szCs w:val="32"/>
        </w:rPr>
        <w:t>市政府批复意见</w:t>
      </w:r>
      <w:r>
        <w:rPr>
          <w:rFonts w:hint="eastAsia" w:ascii="仿宋" w:hAnsi="仿宋" w:eastAsia="仿宋"/>
          <w:sz w:val="32"/>
          <w:szCs w:val="32"/>
        </w:rPr>
        <w:t>（深圳市党政</w:t>
      </w:r>
      <w:r>
        <w:rPr>
          <w:rFonts w:ascii="仿宋" w:hAnsi="仿宋" w:eastAsia="仿宋"/>
          <w:sz w:val="32"/>
          <w:szCs w:val="32"/>
        </w:rPr>
        <w:t>机关文件处理表，</w:t>
      </w:r>
      <w:r>
        <w:rPr>
          <w:rFonts w:hint="eastAsia" w:ascii="仿宋" w:hAnsi="仿宋" w:eastAsia="仿宋"/>
          <w:sz w:val="32"/>
          <w:szCs w:val="32"/>
        </w:rPr>
        <w:t>办文</w:t>
      </w:r>
      <w:r>
        <w:rPr>
          <w:rFonts w:ascii="仿宋" w:hAnsi="仿宋" w:eastAsia="仿宋"/>
          <w:sz w:val="32"/>
          <w:szCs w:val="32"/>
        </w:rPr>
        <w:t>编号：</w:t>
      </w:r>
      <w:r>
        <w:rPr>
          <w:rFonts w:hint="eastAsia" w:ascii="仿宋" w:hAnsi="仿宋" w:eastAsia="仿宋"/>
          <w:sz w:val="32"/>
          <w:szCs w:val="32"/>
        </w:rPr>
        <w:t>SZ2015008579）明确</w:t>
      </w:r>
      <w:r>
        <w:rPr>
          <w:rFonts w:ascii="仿宋" w:hAnsi="仿宋" w:eastAsia="仿宋"/>
          <w:sz w:val="32"/>
          <w:szCs w:val="32"/>
        </w:rPr>
        <w:t>前海管理局为</w:t>
      </w:r>
      <w:r>
        <w:rPr>
          <w:rFonts w:hint="eastAsia" w:ascii="仿宋" w:hAnsi="仿宋" w:eastAsia="仿宋"/>
          <w:sz w:val="32"/>
          <w:szCs w:val="32"/>
        </w:rPr>
        <w:t>区域</w:t>
      </w:r>
      <w:r>
        <w:rPr>
          <w:rFonts w:ascii="仿宋" w:hAnsi="仿宋" w:eastAsia="仿宋"/>
          <w:sz w:val="32"/>
          <w:szCs w:val="32"/>
        </w:rPr>
        <w:t>集中供冷主管单位、</w:t>
      </w:r>
      <w:r>
        <w:rPr>
          <w:rFonts w:hint="eastAsia" w:ascii="仿宋" w:hAnsi="仿宋" w:eastAsia="仿宋"/>
          <w:sz w:val="32"/>
          <w:szCs w:val="32"/>
        </w:rPr>
        <w:t>实行</w:t>
      </w:r>
      <w:r>
        <w:rPr>
          <w:rFonts w:ascii="仿宋" w:hAnsi="仿宋" w:eastAsia="仿宋"/>
          <w:sz w:val="32"/>
          <w:szCs w:val="32"/>
        </w:rPr>
        <w:t>市场化定价原则</w:t>
      </w:r>
      <w:r>
        <w:rPr>
          <w:rFonts w:hint="eastAsia" w:ascii="仿宋" w:hAnsi="仿宋" w:eastAsia="仿宋"/>
          <w:sz w:val="32"/>
          <w:szCs w:val="32"/>
        </w:rPr>
        <w:t>、</w:t>
      </w:r>
      <w:r>
        <w:rPr>
          <w:rFonts w:ascii="仿宋" w:hAnsi="仿宋" w:eastAsia="仿宋"/>
          <w:sz w:val="32"/>
          <w:szCs w:val="32"/>
        </w:rPr>
        <w:t>参照</w:t>
      </w:r>
      <w:r>
        <w:rPr>
          <w:rFonts w:hint="eastAsia" w:ascii="仿宋" w:hAnsi="仿宋" w:eastAsia="仿宋"/>
          <w:sz w:val="32"/>
          <w:szCs w:val="32"/>
        </w:rPr>
        <w:t>《深圳市公用事业特许经营条例》授予</w:t>
      </w:r>
      <w:r>
        <w:rPr>
          <w:rFonts w:ascii="仿宋" w:hAnsi="仿宋" w:eastAsia="仿宋"/>
          <w:sz w:val="32"/>
          <w:szCs w:val="32"/>
        </w:rPr>
        <w:t>经营权等等</w:t>
      </w:r>
      <w:r>
        <w:rPr>
          <w:rFonts w:hint="eastAsia" w:ascii="仿宋" w:hAnsi="仿宋" w:eastAsia="仿宋"/>
          <w:sz w:val="32"/>
          <w:szCs w:val="32"/>
        </w:rPr>
        <w:t>。</w:t>
      </w:r>
      <w:r>
        <w:rPr>
          <w:rFonts w:ascii="仿宋" w:hAnsi="仿宋" w:eastAsia="仿宋"/>
          <w:sz w:val="32"/>
          <w:szCs w:val="32"/>
        </w:rPr>
        <w:t>我</w:t>
      </w:r>
      <w:r>
        <w:rPr>
          <w:rFonts w:hint="eastAsia" w:ascii="仿宋" w:hAnsi="仿宋" w:eastAsia="仿宋"/>
          <w:sz w:val="32"/>
          <w:szCs w:val="32"/>
        </w:rPr>
        <w:t>局</w:t>
      </w:r>
      <w:r>
        <w:rPr>
          <w:rFonts w:ascii="仿宋" w:hAnsi="仿宋" w:eastAsia="仿宋"/>
          <w:sz w:val="32"/>
          <w:szCs w:val="32"/>
        </w:rPr>
        <w:t>根据批复意见</w:t>
      </w:r>
      <w:r>
        <w:rPr>
          <w:rFonts w:hint="eastAsia" w:ascii="仿宋" w:hAnsi="仿宋" w:eastAsia="仿宋"/>
          <w:sz w:val="32"/>
          <w:szCs w:val="32"/>
        </w:rPr>
        <w:t>再次修改</w:t>
      </w:r>
      <w:r>
        <w:rPr>
          <w:rFonts w:ascii="仿宋" w:hAnsi="仿宋" w:eastAsia="仿宋"/>
          <w:sz w:val="32"/>
          <w:szCs w:val="32"/>
        </w:rPr>
        <w:t>完善。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6</w:t>
      </w:r>
      <w:r>
        <w:rPr>
          <w:rFonts w:hint="eastAsia" w:ascii="仿宋" w:hAnsi="仿宋" w:eastAsia="仿宋"/>
          <w:sz w:val="32"/>
          <w:szCs w:val="32"/>
        </w:rPr>
        <w:t>年9月</w:t>
      </w:r>
      <w:r>
        <w:rPr>
          <w:rFonts w:ascii="仿宋" w:hAnsi="仿宋" w:eastAsia="仿宋"/>
          <w:sz w:val="32"/>
          <w:szCs w:val="32"/>
        </w:rPr>
        <w:t>，原</w:t>
      </w:r>
      <w:r>
        <w:rPr>
          <w:rFonts w:hint="eastAsia" w:ascii="仿宋" w:hAnsi="仿宋" w:eastAsia="仿宋"/>
          <w:sz w:val="32"/>
          <w:szCs w:val="32"/>
        </w:rPr>
        <w:t>市</w:t>
      </w:r>
      <w:r>
        <w:rPr>
          <w:rFonts w:ascii="仿宋" w:hAnsi="仿宋" w:eastAsia="仿宋"/>
          <w:sz w:val="32"/>
          <w:szCs w:val="32"/>
        </w:rPr>
        <w:t>法制办审查通过了本办法。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2017年</w:t>
      </w:r>
      <w:r>
        <w:rPr>
          <w:rFonts w:ascii="仿宋" w:hAnsi="仿宋" w:eastAsia="仿宋"/>
          <w:sz w:val="32"/>
          <w:szCs w:val="32"/>
        </w:rPr>
        <w:t>，</w:t>
      </w:r>
      <w:r>
        <w:rPr>
          <w:rFonts w:hint="eastAsia" w:ascii="仿宋" w:hAnsi="仿宋" w:eastAsia="仿宋"/>
          <w:sz w:val="32"/>
          <w:szCs w:val="32"/>
        </w:rPr>
        <w:t>为满足合作区供冷配套及时性，经营权授予合法性，维护各方权益，保障集中供冷事业持续、健康发展，对集中供冷经营权授予、运营、监督管理等内容</w:t>
      </w:r>
      <w:r>
        <w:rPr>
          <w:rFonts w:ascii="仿宋" w:hAnsi="仿宋" w:eastAsia="仿宋"/>
          <w:sz w:val="32"/>
          <w:szCs w:val="32"/>
        </w:rPr>
        <w:t>进一步</w:t>
      </w:r>
      <w:r>
        <w:rPr>
          <w:rFonts w:hint="eastAsia" w:ascii="仿宋" w:hAnsi="仿宋" w:eastAsia="仿宋"/>
          <w:sz w:val="32"/>
          <w:szCs w:val="32"/>
        </w:rPr>
        <w:t>研究，</w:t>
      </w:r>
      <w:r>
        <w:rPr>
          <w:rFonts w:ascii="仿宋" w:hAnsi="仿宋" w:eastAsia="仿宋"/>
          <w:sz w:val="32"/>
          <w:szCs w:val="32"/>
        </w:rPr>
        <w:t>我局启动了</w:t>
      </w:r>
      <w:r>
        <w:rPr>
          <w:rFonts w:hint="eastAsia" w:ascii="仿宋" w:hAnsi="仿宋" w:eastAsia="仿宋"/>
          <w:sz w:val="32"/>
          <w:szCs w:val="32"/>
        </w:rPr>
        <w:t>《</w:t>
      </w:r>
      <w:r>
        <w:rPr>
          <w:rFonts w:hint="eastAsia" w:ascii="仿宋" w:hAnsi="仿宋" w:eastAsia="仿宋"/>
          <w:b/>
          <w:bCs/>
          <w:sz w:val="32"/>
          <w:szCs w:val="32"/>
        </w:rPr>
        <w:t>前海合作区集中供冷经营权授予、运营、监督管理等机制研究课题</w:t>
      </w:r>
      <w:r>
        <w:rPr>
          <w:rFonts w:hint="eastAsia" w:ascii="仿宋" w:hAnsi="仿宋" w:eastAsia="仿宋"/>
          <w:sz w:val="32"/>
          <w:szCs w:val="32"/>
        </w:rPr>
        <w:t>》，</w:t>
      </w:r>
      <w:r>
        <w:rPr>
          <w:rFonts w:ascii="仿宋" w:hAnsi="仿宋" w:eastAsia="仿宋"/>
          <w:sz w:val="32"/>
          <w:szCs w:val="32"/>
        </w:rPr>
        <w:t>课题</w:t>
      </w:r>
      <w:r>
        <w:rPr>
          <w:rFonts w:hint="eastAsia" w:ascii="仿宋" w:hAnsi="仿宋" w:eastAsia="仿宋"/>
          <w:sz w:val="32"/>
          <w:szCs w:val="32"/>
        </w:rPr>
        <w:t>通过分析</w:t>
      </w:r>
      <w:r>
        <w:rPr>
          <w:rFonts w:ascii="仿宋" w:hAnsi="仿宋" w:eastAsia="仿宋"/>
          <w:sz w:val="32"/>
          <w:szCs w:val="32"/>
        </w:rPr>
        <w:t>前海</w:t>
      </w:r>
      <w:r>
        <w:rPr>
          <w:rFonts w:hint="eastAsia" w:ascii="仿宋" w:hAnsi="仿宋" w:eastAsia="仿宋"/>
          <w:sz w:val="32"/>
          <w:szCs w:val="32"/>
        </w:rPr>
        <w:t>集中</w:t>
      </w:r>
      <w:r>
        <w:rPr>
          <w:rFonts w:ascii="仿宋" w:hAnsi="仿宋" w:eastAsia="仿宋"/>
          <w:sz w:val="32"/>
          <w:szCs w:val="32"/>
        </w:rPr>
        <w:t>供冷特点，</w:t>
      </w:r>
      <w:r>
        <w:rPr>
          <w:rFonts w:hint="eastAsia" w:ascii="仿宋" w:hAnsi="仿宋" w:eastAsia="仿宋"/>
          <w:sz w:val="32"/>
          <w:szCs w:val="32"/>
        </w:rPr>
        <w:t>按</w:t>
      </w:r>
      <w:r>
        <w:rPr>
          <w:rFonts w:ascii="仿宋" w:hAnsi="仿宋" w:eastAsia="仿宋"/>
          <w:sz w:val="32"/>
          <w:szCs w:val="32"/>
        </w:rPr>
        <w:t>安全、可靠、经济、及时</w:t>
      </w:r>
      <w:r>
        <w:rPr>
          <w:rFonts w:hint="eastAsia" w:ascii="仿宋" w:hAnsi="仿宋" w:eastAsia="仿宋"/>
          <w:sz w:val="32"/>
          <w:szCs w:val="32"/>
        </w:rPr>
        <w:t>等</w:t>
      </w:r>
      <w:r>
        <w:rPr>
          <w:rFonts w:ascii="仿宋" w:hAnsi="仿宋" w:eastAsia="仿宋"/>
          <w:sz w:val="32"/>
          <w:szCs w:val="32"/>
        </w:rPr>
        <w:t>原则要求</w:t>
      </w:r>
      <w:r>
        <w:rPr>
          <w:rFonts w:hint="eastAsia" w:ascii="仿宋" w:hAnsi="仿宋" w:eastAsia="仿宋"/>
          <w:sz w:val="32"/>
          <w:szCs w:val="32"/>
        </w:rPr>
        <w:t>，</w:t>
      </w:r>
      <w:r>
        <w:rPr>
          <w:rFonts w:ascii="仿宋" w:hAnsi="仿宋" w:eastAsia="仿宋"/>
          <w:sz w:val="32"/>
          <w:szCs w:val="32"/>
        </w:rPr>
        <w:t>对DBO</w:t>
      </w:r>
      <w:r>
        <w:rPr>
          <w:rFonts w:hint="eastAsia" w:ascii="仿宋" w:hAnsi="仿宋" w:eastAsia="仿宋"/>
          <w:sz w:val="32"/>
          <w:szCs w:val="32"/>
        </w:rPr>
        <w:t>模式、传统公建公营模式、</w:t>
      </w:r>
      <w:r>
        <w:rPr>
          <w:rFonts w:ascii="仿宋" w:hAnsi="仿宋" w:eastAsia="仿宋"/>
          <w:sz w:val="32"/>
          <w:szCs w:val="32"/>
        </w:rPr>
        <w:t>PPP</w:t>
      </w:r>
      <w:r>
        <w:rPr>
          <w:rFonts w:hint="eastAsia" w:ascii="仿宋" w:hAnsi="仿宋" w:eastAsia="仿宋"/>
          <w:sz w:val="32"/>
          <w:szCs w:val="32"/>
        </w:rPr>
        <w:t>模式、社会主体独力投资模式、授权经营</w:t>
      </w:r>
      <w:r>
        <w:rPr>
          <w:rFonts w:ascii="仿宋" w:hAnsi="仿宋" w:eastAsia="仿宋"/>
          <w:sz w:val="32"/>
          <w:szCs w:val="32"/>
        </w:rPr>
        <w:t>ABO</w:t>
      </w:r>
      <w:r>
        <w:rPr>
          <w:rFonts w:hint="eastAsia" w:ascii="仿宋" w:hAnsi="仿宋" w:eastAsia="仿宋"/>
          <w:sz w:val="32"/>
          <w:szCs w:val="32"/>
        </w:rPr>
        <w:t>模式等不同运营、</w:t>
      </w:r>
      <w:r>
        <w:rPr>
          <w:rFonts w:ascii="仿宋" w:hAnsi="仿宋" w:eastAsia="仿宋"/>
          <w:sz w:val="32"/>
          <w:szCs w:val="32"/>
        </w:rPr>
        <w:t>运营模式方案</w:t>
      </w:r>
      <w:r>
        <w:rPr>
          <w:rFonts w:hint="eastAsia" w:ascii="仿宋" w:hAnsi="仿宋" w:eastAsia="仿宋"/>
          <w:sz w:val="32"/>
          <w:szCs w:val="32"/>
        </w:rPr>
        <w:t>进行</w:t>
      </w:r>
      <w:r>
        <w:rPr>
          <w:rFonts w:ascii="仿宋" w:hAnsi="仿宋" w:eastAsia="仿宋"/>
          <w:sz w:val="32"/>
          <w:szCs w:val="32"/>
        </w:rPr>
        <w:t>分析比较，</w:t>
      </w:r>
      <w:r>
        <w:rPr>
          <w:rFonts w:hint="eastAsia" w:ascii="仿宋" w:hAnsi="仿宋" w:eastAsia="仿宋"/>
          <w:sz w:val="32"/>
          <w:szCs w:val="32"/>
        </w:rPr>
        <w:t>对</w:t>
      </w:r>
      <w:r>
        <w:rPr>
          <w:rFonts w:ascii="仿宋" w:hAnsi="仿宋" w:eastAsia="仿宋"/>
          <w:sz w:val="32"/>
          <w:szCs w:val="32"/>
        </w:rPr>
        <w:t>经营权授予法律路径</w:t>
      </w:r>
      <w:r>
        <w:rPr>
          <w:rFonts w:hint="eastAsia" w:ascii="仿宋" w:hAnsi="仿宋" w:eastAsia="仿宋"/>
          <w:sz w:val="32"/>
          <w:szCs w:val="32"/>
        </w:rPr>
        <w:t>、操作</w:t>
      </w:r>
      <w:r>
        <w:rPr>
          <w:rFonts w:ascii="仿宋" w:hAnsi="仿宋" w:eastAsia="仿宋"/>
          <w:sz w:val="32"/>
          <w:szCs w:val="32"/>
        </w:rPr>
        <w:t>方案进行了充分</w:t>
      </w:r>
      <w:r>
        <w:rPr>
          <w:rFonts w:hint="eastAsia" w:ascii="仿宋" w:hAnsi="仿宋" w:eastAsia="仿宋"/>
          <w:sz w:val="32"/>
          <w:szCs w:val="32"/>
        </w:rPr>
        <w:t>论证</w:t>
      </w:r>
      <w:r>
        <w:rPr>
          <w:rFonts w:ascii="仿宋" w:hAnsi="仿宋" w:eastAsia="仿宋"/>
          <w:sz w:val="32"/>
          <w:szCs w:val="32"/>
        </w:rPr>
        <w:t>研究，提出近期</w:t>
      </w:r>
      <w:r>
        <w:rPr>
          <w:rFonts w:hint="eastAsia" w:ascii="仿宋" w:hAnsi="仿宋" w:eastAsia="仿宋"/>
          <w:sz w:val="32"/>
          <w:szCs w:val="32"/>
        </w:rPr>
        <w:t>供冷站（</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的运营模式</w:t>
      </w:r>
      <w:r>
        <w:rPr>
          <w:rFonts w:hint="eastAsia" w:ascii="仿宋" w:hAnsi="仿宋" w:eastAsia="仿宋"/>
          <w:sz w:val="32"/>
          <w:szCs w:val="32"/>
        </w:rPr>
        <w:t>应采用</w:t>
      </w:r>
      <w:r>
        <w:rPr>
          <w:rFonts w:ascii="仿宋" w:hAnsi="仿宋" w:eastAsia="仿宋"/>
          <w:sz w:val="32"/>
          <w:szCs w:val="32"/>
        </w:rPr>
        <w:t>依法授权模式，由</w:t>
      </w:r>
      <w:r>
        <w:rPr>
          <w:rFonts w:hint="eastAsia" w:ascii="仿宋" w:hAnsi="仿宋" w:eastAsia="仿宋"/>
          <w:sz w:val="32"/>
          <w:szCs w:val="32"/>
        </w:rPr>
        <w:t>局</w:t>
      </w:r>
      <w:r>
        <w:rPr>
          <w:rFonts w:ascii="仿宋" w:hAnsi="仿宋" w:eastAsia="仿宋"/>
          <w:sz w:val="32"/>
          <w:szCs w:val="32"/>
        </w:rPr>
        <w:t>属公司运营</w:t>
      </w:r>
      <w:r>
        <w:rPr>
          <w:rFonts w:hint="eastAsia" w:ascii="仿宋" w:hAnsi="仿宋" w:eastAsia="仿宋"/>
          <w:sz w:val="32"/>
          <w:szCs w:val="32"/>
        </w:rPr>
        <w:t>，鼓励通过市场竞争方式，引入社会主体成立由前海控股公司绝对控股的项目公司开展某个（某些）冷站的运营管理，在运营末端形成相互竞争局面</w:t>
      </w:r>
      <w:r>
        <w:rPr>
          <w:rFonts w:ascii="仿宋" w:hAnsi="仿宋" w:eastAsia="仿宋"/>
          <w:sz w:val="32"/>
          <w:szCs w:val="32"/>
        </w:rPr>
        <w:t>。</w:t>
      </w:r>
      <w:r>
        <w:rPr>
          <w:rFonts w:hint="eastAsia" w:ascii="仿宋" w:hAnsi="仿宋" w:eastAsia="仿宋"/>
          <w:sz w:val="32"/>
          <w:szCs w:val="32"/>
        </w:rPr>
        <w:t>后续冷站</w:t>
      </w:r>
      <w:r>
        <w:rPr>
          <w:rFonts w:ascii="仿宋" w:hAnsi="仿宋" w:eastAsia="仿宋"/>
          <w:sz w:val="32"/>
          <w:szCs w:val="32"/>
        </w:rPr>
        <w:t>，</w:t>
      </w:r>
      <w:r>
        <w:rPr>
          <w:rFonts w:hint="eastAsia" w:ascii="仿宋" w:hAnsi="仿宋" w:eastAsia="仿宋"/>
          <w:sz w:val="32"/>
          <w:szCs w:val="32"/>
        </w:rPr>
        <w:t>结合</w:t>
      </w:r>
      <w:r>
        <w:rPr>
          <w:rFonts w:ascii="仿宋" w:hAnsi="仿宋" w:eastAsia="仿宋"/>
          <w:sz w:val="32"/>
          <w:szCs w:val="32"/>
        </w:rPr>
        <w:t>现有</w:t>
      </w:r>
      <w:r>
        <w:rPr>
          <w:rFonts w:hint="eastAsia" w:ascii="仿宋" w:hAnsi="仿宋" w:eastAsia="仿宋"/>
          <w:sz w:val="32"/>
          <w:szCs w:val="32"/>
        </w:rPr>
        <w:t>已</w:t>
      </w:r>
      <w:r>
        <w:rPr>
          <w:rFonts w:ascii="仿宋" w:hAnsi="仿宋" w:eastAsia="仿宋"/>
          <w:sz w:val="32"/>
          <w:szCs w:val="32"/>
        </w:rPr>
        <w:t>授予经营权</w:t>
      </w:r>
      <w:r>
        <w:rPr>
          <w:rFonts w:hint="eastAsia" w:ascii="仿宋" w:hAnsi="仿宋" w:eastAsia="仿宋"/>
          <w:sz w:val="32"/>
          <w:szCs w:val="32"/>
        </w:rPr>
        <w:t>部分</w:t>
      </w:r>
      <w:r>
        <w:rPr>
          <w:rFonts w:ascii="仿宋" w:hAnsi="仿宋" w:eastAsia="仿宋"/>
          <w:sz w:val="32"/>
          <w:szCs w:val="32"/>
        </w:rPr>
        <w:t>冷站的</w:t>
      </w:r>
      <w:r>
        <w:rPr>
          <w:rFonts w:hint="eastAsia" w:ascii="仿宋" w:hAnsi="仿宋" w:eastAsia="仿宋"/>
          <w:sz w:val="32"/>
          <w:szCs w:val="32"/>
        </w:rPr>
        <w:t>建设、</w:t>
      </w:r>
      <w:r>
        <w:rPr>
          <w:rFonts w:ascii="仿宋" w:hAnsi="仿宋" w:eastAsia="仿宋"/>
          <w:sz w:val="32"/>
          <w:szCs w:val="32"/>
        </w:rPr>
        <w:t>运营经验，</w:t>
      </w:r>
      <w:r>
        <w:rPr>
          <w:rFonts w:hint="eastAsia" w:ascii="仿宋" w:hAnsi="仿宋" w:eastAsia="仿宋"/>
          <w:sz w:val="32"/>
          <w:szCs w:val="32"/>
        </w:rPr>
        <w:t>在</w:t>
      </w:r>
      <w:r>
        <w:rPr>
          <w:rFonts w:ascii="仿宋" w:hAnsi="仿宋" w:eastAsia="仿宋"/>
          <w:sz w:val="32"/>
          <w:szCs w:val="32"/>
        </w:rPr>
        <w:t>经营权</w:t>
      </w:r>
      <w:r>
        <w:rPr>
          <w:rFonts w:hint="eastAsia" w:ascii="仿宋" w:hAnsi="仿宋" w:eastAsia="仿宋"/>
          <w:sz w:val="32"/>
          <w:szCs w:val="32"/>
        </w:rPr>
        <w:t>授予</w:t>
      </w:r>
      <w:r>
        <w:rPr>
          <w:rFonts w:ascii="仿宋" w:hAnsi="仿宋" w:eastAsia="仿宋"/>
          <w:sz w:val="32"/>
          <w:szCs w:val="32"/>
        </w:rPr>
        <w:t>阶段稳妥推进引入社会主体</w:t>
      </w:r>
      <w:r>
        <w:rPr>
          <w:rFonts w:hint="eastAsia" w:ascii="仿宋" w:hAnsi="仿宋" w:eastAsia="仿宋"/>
          <w:sz w:val="32"/>
          <w:szCs w:val="32"/>
        </w:rPr>
        <w:t>。最终在</w:t>
      </w:r>
      <w:r>
        <w:rPr>
          <w:rFonts w:ascii="仿宋" w:hAnsi="仿宋" w:eastAsia="仿宋"/>
          <w:sz w:val="32"/>
          <w:szCs w:val="32"/>
        </w:rPr>
        <w:t>合作区全面形成</w:t>
      </w:r>
      <w:r>
        <w:rPr>
          <w:rFonts w:hint="eastAsia" w:ascii="仿宋" w:hAnsi="仿宋" w:eastAsia="仿宋"/>
          <w:sz w:val="32"/>
          <w:szCs w:val="32"/>
        </w:rPr>
        <w:t>引入</w:t>
      </w:r>
      <w:r>
        <w:rPr>
          <w:rFonts w:ascii="仿宋" w:hAnsi="仿宋" w:eastAsia="仿宋"/>
          <w:sz w:val="32"/>
          <w:szCs w:val="32"/>
        </w:rPr>
        <w:t>、运营</w:t>
      </w:r>
      <w:r>
        <w:rPr>
          <w:rFonts w:hint="eastAsia" w:ascii="仿宋" w:hAnsi="仿宋" w:eastAsia="仿宋"/>
          <w:sz w:val="32"/>
          <w:szCs w:val="32"/>
        </w:rPr>
        <w:t>等不同阶段</w:t>
      </w:r>
      <w:r>
        <w:rPr>
          <w:rFonts w:ascii="仿宋" w:hAnsi="仿宋" w:eastAsia="仿宋"/>
          <w:sz w:val="32"/>
          <w:szCs w:val="32"/>
        </w:rPr>
        <w:t>的相互竞争</w:t>
      </w:r>
      <w:r>
        <w:rPr>
          <w:rFonts w:hint="eastAsia" w:ascii="仿宋" w:hAnsi="仿宋" w:eastAsia="仿宋"/>
          <w:sz w:val="32"/>
          <w:szCs w:val="32"/>
        </w:rPr>
        <w:t>市场体系</w:t>
      </w:r>
      <w:r>
        <w:rPr>
          <w:rFonts w:ascii="仿宋" w:hAnsi="仿宋" w:eastAsia="仿宋"/>
          <w:sz w:val="32"/>
          <w:szCs w:val="32"/>
        </w:rPr>
        <w:t>。</w:t>
      </w:r>
      <w:r>
        <w:rPr>
          <w:rFonts w:hint="eastAsia" w:ascii="仿宋" w:hAnsi="仿宋" w:eastAsia="仿宋"/>
          <w:sz w:val="32"/>
          <w:szCs w:val="32"/>
        </w:rPr>
        <w:t>因此，</w:t>
      </w:r>
      <w:r>
        <w:rPr>
          <w:rFonts w:ascii="仿宋" w:hAnsi="仿宋" w:eastAsia="仿宋"/>
          <w:sz w:val="32"/>
          <w:szCs w:val="32"/>
        </w:rPr>
        <w:t>近期</w:t>
      </w:r>
      <w:r>
        <w:rPr>
          <w:rFonts w:hint="eastAsia" w:ascii="仿宋" w:hAnsi="仿宋" w:eastAsia="仿宋"/>
          <w:sz w:val="32"/>
          <w:szCs w:val="32"/>
        </w:rPr>
        <w:t>经营权</w:t>
      </w:r>
      <w:r>
        <w:rPr>
          <w:rFonts w:ascii="仿宋" w:hAnsi="仿宋" w:eastAsia="仿宋"/>
          <w:sz w:val="32"/>
          <w:szCs w:val="32"/>
        </w:rPr>
        <w:t>授权方案的法律路径、操作方案是保障前海集中供冷运营的</w:t>
      </w:r>
      <w:r>
        <w:rPr>
          <w:rFonts w:hint="eastAsia" w:ascii="仿宋" w:hAnsi="仿宋" w:eastAsia="仿宋"/>
          <w:sz w:val="32"/>
          <w:szCs w:val="32"/>
        </w:rPr>
        <w:t>重要</w:t>
      </w:r>
      <w:r>
        <w:rPr>
          <w:rFonts w:ascii="仿宋" w:hAnsi="仿宋" w:eastAsia="仿宋"/>
          <w:sz w:val="32"/>
          <w:szCs w:val="32"/>
        </w:rPr>
        <w:t>过程，课题研究推动了</w:t>
      </w:r>
      <w:r>
        <w:rPr>
          <w:rFonts w:hint="eastAsia" w:ascii="仿宋" w:hAnsi="仿宋" w:eastAsia="仿宋"/>
          <w:sz w:val="32"/>
          <w:szCs w:val="32"/>
        </w:rPr>
        <w:t>《深圳经济特区前海深港现代服务业合作区条例》修订时，</w:t>
      </w:r>
      <w:r>
        <w:rPr>
          <w:rFonts w:ascii="仿宋" w:hAnsi="仿宋" w:eastAsia="仿宋"/>
          <w:sz w:val="32"/>
          <w:szCs w:val="32"/>
        </w:rPr>
        <w:t>完善了局属公司</w:t>
      </w:r>
      <w:r>
        <w:rPr>
          <w:rFonts w:hint="eastAsia" w:ascii="仿宋" w:hAnsi="仿宋" w:eastAsia="仿宋"/>
          <w:sz w:val="32"/>
          <w:szCs w:val="32"/>
        </w:rPr>
        <w:t>依法</w:t>
      </w:r>
      <w:r>
        <w:rPr>
          <w:rFonts w:ascii="仿宋" w:hAnsi="仿宋" w:eastAsia="仿宋"/>
          <w:sz w:val="32"/>
          <w:szCs w:val="32"/>
        </w:rPr>
        <w:t>履行基础设施的运营职责，解决了</w:t>
      </w:r>
      <w:r>
        <w:rPr>
          <w:rFonts w:hint="eastAsia" w:ascii="仿宋" w:hAnsi="仿宋" w:eastAsia="仿宋"/>
          <w:sz w:val="32"/>
          <w:szCs w:val="32"/>
        </w:rPr>
        <w:t>局属</w:t>
      </w:r>
      <w:r>
        <w:rPr>
          <w:rFonts w:ascii="仿宋" w:hAnsi="仿宋" w:eastAsia="仿宋"/>
          <w:sz w:val="32"/>
          <w:szCs w:val="32"/>
        </w:rPr>
        <w:t>公司运营</w:t>
      </w:r>
      <w:r>
        <w:rPr>
          <w:rFonts w:hint="eastAsia" w:ascii="仿宋" w:hAnsi="仿宋" w:eastAsia="仿宋"/>
          <w:sz w:val="32"/>
          <w:szCs w:val="32"/>
        </w:rPr>
        <w:t>前海</w:t>
      </w:r>
      <w:r>
        <w:rPr>
          <w:rFonts w:ascii="仿宋" w:hAnsi="仿宋" w:eastAsia="仿宋"/>
          <w:sz w:val="32"/>
          <w:szCs w:val="32"/>
        </w:rPr>
        <w:t>区域集中供冷</w:t>
      </w:r>
      <w:r>
        <w:rPr>
          <w:rFonts w:hint="eastAsia" w:ascii="仿宋" w:hAnsi="仿宋" w:eastAsia="仿宋"/>
          <w:sz w:val="32"/>
          <w:szCs w:val="32"/>
        </w:rPr>
        <w:t>项目</w:t>
      </w:r>
      <w:r>
        <w:rPr>
          <w:rFonts w:ascii="仿宋" w:hAnsi="仿宋" w:eastAsia="仿宋"/>
          <w:sz w:val="32"/>
          <w:szCs w:val="32"/>
        </w:rPr>
        <w:t>的法律依据。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w:t>
      </w:r>
      <w:r>
        <w:rPr>
          <w:rFonts w:hint="eastAsia" w:ascii="仿宋" w:hAnsi="仿宋" w:eastAsia="仿宋"/>
          <w:sz w:val="32"/>
          <w:szCs w:val="32"/>
        </w:rPr>
        <w:t>深圳市</w:t>
      </w:r>
      <w:r>
        <w:rPr>
          <w:rFonts w:ascii="仿宋" w:hAnsi="仿宋" w:eastAsia="仿宋"/>
          <w:sz w:val="32"/>
          <w:szCs w:val="32"/>
        </w:rPr>
        <w:t>司法局</w:t>
      </w:r>
      <w:r>
        <w:rPr>
          <w:rFonts w:hint="eastAsia" w:ascii="仿宋" w:hAnsi="仿宋" w:eastAsia="仿宋"/>
          <w:sz w:val="32"/>
          <w:szCs w:val="32"/>
        </w:rPr>
        <w:t>就《深圳经济特区前海深港现代服务业合作区条例》（修订</w:t>
      </w:r>
      <w:r>
        <w:rPr>
          <w:rFonts w:ascii="仿宋" w:hAnsi="仿宋" w:eastAsia="仿宋"/>
          <w:sz w:val="32"/>
          <w:szCs w:val="32"/>
        </w:rPr>
        <w:t>征求意见稿</w:t>
      </w:r>
      <w:r>
        <w:rPr>
          <w:rFonts w:hint="eastAsia" w:ascii="仿宋" w:hAnsi="仿宋" w:eastAsia="仿宋"/>
          <w:sz w:val="32"/>
          <w:szCs w:val="32"/>
        </w:rPr>
        <w:t>）</w:t>
      </w:r>
      <w:r>
        <w:rPr>
          <w:rFonts w:ascii="仿宋" w:hAnsi="仿宋" w:eastAsia="仿宋"/>
          <w:sz w:val="32"/>
          <w:szCs w:val="32"/>
        </w:rPr>
        <w:t>公开</w:t>
      </w:r>
      <w:r>
        <w:rPr>
          <w:rFonts w:hint="eastAsia" w:ascii="仿宋" w:hAnsi="仿宋" w:eastAsia="仿宋"/>
          <w:sz w:val="32"/>
          <w:szCs w:val="32"/>
        </w:rPr>
        <w:t>征求</w:t>
      </w:r>
      <w:r>
        <w:rPr>
          <w:rFonts w:ascii="仿宋" w:hAnsi="仿宋" w:eastAsia="仿宋"/>
          <w:sz w:val="32"/>
          <w:szCs w:val="32"/>
        </w:rPr>
        <w:t>社会意见。</w:t>
      </w:r>
      <w:r>
        <w:rPr>
          <w:rFonts w:hint="eastAsia" w:ascii="仿宋" w:hAnsi="仿宋" w:eastAsia="仿宋"/>
          <w:sz w:val="32"/>
          <w:szCs w:val="32"/>
        </w:rPr>
        <w:t>根据</w:t>
      </w:r>
      <w:r>
        <w:rPr>
          <w:rFonts w:ascii="仿宋" w:hAnsi="仿宋" w:eastAsia="仿宋"/>
          <w:sz w:val="32"/>
          <w:szCs w:val="32"/>
        </w:rPr>
        <w:t>修订征求意见稿</w:t>
      </w:r>
      <w:r>
        <w:rPr>
          <w:rFonts w:hint="eastAsia" w:ascii="仿宋" w:hAnsi="仿宋" w:eastAsia="仿宋"/>
          <w:sz w:val="32"/>
          <w:szCs w:val="32"/>
        </w:rPr>
        <w:t>第二十一</w:t>
      </w:r>
      <w:r>
        <w:rPr>
          <w:rFonts w:ascii="仿宋" w:hAnsi="仿宋" w:eastAsia="仿宋"/>
          <w:sz w:val="32"/>
          <w:szCs w:val="32"/>
        </w:rPr>
        <w:t>条，</w:t>
      </w:r>
      <w:r>
        <w:rPr>
          <w:rFonts w:hint="eastAsia" w:ascii="仿宋" w:hAnsi="仿宋" w:eastAsia="仿宋"/>
          <w:sz w:val="32"/>
          <w:szCs w:val="32"/>
        </w:rPr>
        <w:t>规定了</w:t>
      </w:r>
      <w:r>
        <w:rPr>
          <w:rFonts w:ascii="仿宋" w:hAnsi="仿宋" w:eastAsia="仿宋"/>
          <w:sz w:val="32"/>
          <w:szCs w:val="32"/>
        </w:rPr>
        <w:t>前海管理局下属公司依法承担前海合作区</w:t>
      </w:r>
      <w:r>
        <w:rPr>
          <w:rFonts w:hint="eastAsia" w:ascii="仿宋" w:hAnsi="仿宋" w:eastAsia="仿宋"/>
          <w:sz w:val="32"/>
          <w:szCs w:val="32"/>
        </w:rPr>
        <w:t>基础</w:t>
      </w:r>
      <w:r>
        <w:rPr>
          <w:rFonts w:ascii="仿宋" w:hAnsi="仿宋" w:eastAsia="仿宋"/>
          <w:sz w:val="32"/>
          <w:szCs w:val="32"/>
        </w:rPr>
        <w:t>设施、公共服务设施的建设</w:t>
      </w:r>
      <w:r>
        <w:rPr>
          <w:rFonts w:hint="eastAsia" w:ascii="仿宋" w:hAnsi="仿宋" w:eastAsia="仿宋"/>
          <w:sz w:val="32"/>
          <w:szCs w:val="32"/>
        </w:rPr>
        <w:t>、</w:t>
      </w:r>
      <w:r>
        <w:rPr>
          <w:rFonts w:ascii="仿宋" w:hAnsi="仿宋" w:eastAsia="仿宋"/>
          <w:sz w:val="32"/>
          <w:szCs w:val="32"/>
        </w:rPr>
        <w:t>运营职责。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2020年7月</w:t>
      </w:r>
      <w:r>
        <w:rPr>
          <w:rFonts w:ascii="仿宋" w:hAnsi="仿宋" w:eastAsia="仿宋"/>
          <w:sz w:val="32"/>
          <w:szCs w:val="32"/>
        </w:rPr>
        <w:t>，依据</w:t>
      </w:r>
      <w:r>
        <w:rPr>
          <w:rFonts w:hint="eastAsia" w:ascii="仿宋" w:hAnsi="仿宋" w:eastAsia="仿宋"/>
          <w:sz w:val="32"/>
          <w:szCs w:val="32"/>
        </w:rPr>
        <w:t>《深圳经济特区前海深港现代服务业合作区条例》、《前海合作区集中供冷经营权授予、运营、监督管理等机制研究课题》研究</w:t>
      </w:r>
      <w:r>
        <w:rPr>
          <w:rFonts w:ascii="仿宋" w:hAnsi="仿宋" w:eastAsia="仿宋"/>
          <w:sz w:val="32"/>
          <w:szCs w:val="32"/>
        </w:rPr>
        <w:t>成果，对本办法进一步修改完善</w:t>
      </w:r>
      <w:r>
        <w:rPr>
          <w:rFonts w:hint="eastAsia" w:ascii="仿宋" w:hAnsi="仿宋" w:eastAsia="仿宋"/>
          <w:sz w:val="32"/>
          <w:szCs w:val="32"/>
        </w:rPr>
        <w:t>，</w:t>
      </w:r>
      <w:r>
        <w:rPr>
          <w:rFonts w:ascii="仿宋" w:hAnsi="仿宋" w:eastAsia="仿宋"/>
          <w:sz w:val="32"/>
          <w:szCs w:val="32"/>
        </w:rPr>
        <w:t>形成本次</w:t>
      </w:r>
      <w:r>
        <w:rPr>
          <w:rFonts w:hint="eastAsia" w:ascii="仿宋" w:hAnsi="仿宋" w:eastAsia="仿宋"/>
          <w:sz w:val="32"/>
          <w:szCs w:val="32"/>
        </w:rPr>
        <w:t>送</w:t>
      </w:r>
      <w:r>
        <w:rPr>
          <w:rFonts w:ascii="仿宋" w:hAnsi="仿宋" w:eastAsia="仿宋"/>
          <w:sz w:val="32"/>
          <w:szCs w:val="32"/>
        </w:rPr>
        <w:t>审稿。</w:t>
      </w:r>
    </w:p>
    <w:p>
      <w:pPr>
        <w:spacing w:line="560" w:lineRule="exact"/>
        <w:ind w:firstLine="640" w:firstLineChars="200"/>
        <w:rPr>
          <w:rFonts w:ascii="仿宋" w:hAnsi="仿宋" w:eastAsia="仿宋"/>
          <w:sz w:val="32"/>
          <w:szCs w:val="32"/>
        </w:rPr>
      </w:pPr>
    </w:p>
    <w:p>
      <w:pPr>
        <w:pStyle w:val="10"/>
        <w:numPr>
          <w:ilvl w:val="0"/>
          <w:numId w:val="1"/>
        </w:numPr>
        <w:spacing w:line="560" w:lineRule="exact"/>
        <w:ind w:firstLineChars="0"/>
        <w:rPr>
          <w:rFonts w:ascii="仿宋" w:hAnsi="仿宋" w:eastAsia="仿宋"/>
          <w:b/>
          <w:sz w:val="32"/>
          <w:szCs w:val="32"/>
        </w:rPr>
      </w:pPr>
      <w:r>
        <w:rPr>
          <w:rFonts w:hint="eastAsia" w:ascii="仿宋" w:hAnsi="仿宋" w:eastAsia="仿宋"/>
          <w:b/>
          <w:sz w:val="32"/>
          <w:szCs w:val="32"/>
        </w:rPr>
        <w:t>需要重点说明的内容</w:t>
      </w:r>
    </w:p>
    <w:p>
      <w:pPr>
        <w:spacing w:line="560" w:lineRule="exact"/>
        <w:ind w:firstLine="640" w:firstLineChars="200"/>
        <w:rPr>
          <w:rFonts w:ascii="仿宋" w:hAnsi="仿宋" w:eastAsia="仿宋"/>
          <w:sz w:val="32"/>
          <w:szCs w:val="32"/>
        </w:rPr>
      </w:pPr>
      <w:r>
        <w:rPr>
          <w:rFonts w:ascii="仿宋" w:hAnsi="仿宋" w:eastAsia="仿宋"/>
          <w:sz w:val="32"/>
          <w:szCs w:val="32"/>
        </w:rPr>
        <w:t>从2013年开始，前海管理局组织对前海合作区采用区域集中供冷系统进行专题研究和国内外典型项目案例调研，基于专题研究和调研的成果，前海管理局在组织编制《办法》时，对区域集中供冷系统的管理机制进行了以下制度构建和创新：</w:t>
      </w:r>
    </w:p>
    <w:p>
      <w:pPr>
        <w:pStyle w:val="10"/>
        <w:numPr>
          <w:ilvl w:val="0"/>
          <w:numId w:val="2"/>
        </w:numPr>
        <w:spacing w:line="560" w:lineRule="exact"/>
        <w:ind w:left="-2" w:leftChars="-1" w:firstLine="565" w:firstLineChars="176"/>
        <w:rPr>
          <w:rFonts w:ascii="仿宋" w:hAnsi="仿宋" w:eastAsia="仿宋"/>
          <w:b/>
          <w:sz w:val="32"/>
          <w:szCs w:val="32"/>
        </w:rPr>
      </w:pPr>
      <w:r>
        <w:rPr>
          <w:rFonts w:hint="eastAsia" w:ascii="仿宋" w:hAnsi="仿宋" w:eastAsia="仿宋"/>
          <w:b/>
          <w:sz w:val="32"/>
          <w:szCs w:val="32"/>
        </w:rPr>
        <w:t>适合于前海合作区的区域集中供冷系统组织构架是前海合作区成功实现区域集中供冷的关键。</w:t>
      </w:r>
      <w:r>
        <w:rPr>
          <w:rFonts w:ascii="仿宋" w:hAnsi="仿宋" w:eastAsia="仿宋"/>
          <w:sz w:val="32"/>
          <w:szCs w:val="32"/>
        </w:rPr>
        <w:t>由于区域集中供冷系统的规模效应，区域集中供冷系统前期投资大，建设周期长，而实际情况是前海合作区内的开发时序紧迫，区域集中供冷系统的建设</w:t>
      </w:r>
      <w:r>
        <w:rPr>
          <w:rFonts w:hint="eastAsia" w:ascii="仿宋" w:hAnsi="仿宋" w:eastAsia="仿宋"/>
          <w:sz w:val="32"/>
          <w:szCs w:val="32"/>
        </w:rPr>
        <w:t>必须有效</w:t>
      </w:r>
      <w:r>
        <w:rPr>
          <w:rFonts w:ascii="仿宋" w:hAnsi="仿宋" w:eastAsia="仿宋"/>
          <w:sz w:val="32"/>
          <w:szCs w:val="32"/>
        </w:rPr>
        <w:t>保障供冷服务。同时，区域集中供冷系统建设完成以后，区域集中供冷系统能否高效运行，与用户的参与是</w:t>
      </w:r>
      <w:r>
        <w:rPr>
          <w:rFonts w:hint="eastAsia" w:ascii="仿宋" w:hAnsi="仿宋" w:eastAsia="仿宋"/>
          <w:sz w:val="32"/>
          <w:szCs w:val="32"/>
        </w:rPr>
        <w:t>密不可分的</w:t>
      </w:r>
      <w:r>
        <w:rPr>
          <w:rFonts w:ascii="仿宋" w:hAnsi="仿宋" w:eastAsia="仿宋"/>
          <w:sz w:val="32"/>
          <w:szCs w:val="32"/>
        </w:rPr>
        <w:t>，如果只有少量用户使用，区域供冷系统存在失败的风险。另外区域集中供冷系统与</w:t>
      </w:r>
      <w:r>
        <w:rPr>
          <w:rFonts w:hint="eastAsia" w:ascii="仿宋" w:hAnsi="仿宋" w:eastAsia="仿宋"/>
          <w:sz w:val="32"/>
          <w:szCs w:val="32"/>
        </w:rPr>
        <w:t>用户</w:t>
      </w:r>
      <w:r>
        <w:rPr>
          <w:rFonts w:ascii="仿宋" w:hAnsi="仿宋" w:eastAsia="仿宋"/>
          <w:sz w:val="32"/>
          <w:szCs w:val="32"/>
        </w:rPr>
        <w:t>系统存在千丝万缕的联系，</w:t>
      </w:r>
      <w:r>
        <w:rPr>
          <w:rFonts w:hint="eastAsia" w:ascii="仿宋" w:hAnsi="仿宋" w:eastAsia="仿宋"/>
          <w:sz w:val="32"/>
          <w:szCs w:val="32"/>
        </w:rPr>
        <w:t>用户</w:t>
      </w:r>
      <w:r>
        <w:rPr>
          <w:rFonts w:ascii="仿宋" w:hAnsi="仿宋" w:eastAsia="仿宋"/>
          <w:sz w:val="32"/>
          <w:szCs w:val="32"/>
        </w:rPr>
        <w:t>系统的运行模式对区域集中供冷系统的能效也会产生很大的影响。因此，如何高效、高质的建设区域集中供冷系统是制度构建中需要重点解决的问题；如何保证区域集中供冷系统的使用量也是制度设计时需要重点考虑的问题；科学合理的划分区域集中供冷系统投资建设运营单位与用户的投资管理界面是区域集中供冷系统高效运行的关键。为此，《办法》进行了如下的主要制度设计：</w:t>
      </w:r>
    </w:p>
    <w:p>
      <w:pPr>
        <w:spacing w:line="56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1、对与区域集中供冷系统投资、建设、运营密切相关的名词进行了定义，避免在《办法》实施过程中引起歧义。</w:t>
      </w:r>
      <w:r>
        <w:rPr>
          <w:rFonts w:hint="eastAsia" w:ascii="仿宋" w:hAnsi="仿宋" w:eastAsia="仿宋"/>
          <w:color w:val="000000" w:themeColor="text1"/>
          <w:sz w:val="32"/>
          <w:szCs w:val="32"/>
          <w14:textFill>
            <w14:solidFill>
              <w14:schemeClr w14:val="tx1"/>
            </w14:solidFill>
          </w14:textFill>
        </w:rPr>
        <w:t>在区域集中供冷系统的实施过程中，需要明确什么是区域集中供冷系统，包含哪些设施。为此，《办法》第三条明确了区域集中供冷系统是前海合作区统一规划、集中向所覆盖区域内各用冷建筑提供冷冻水的空调冷源系统；区域集中供冷系统的供冷设施包括冷站制冷及配套设施、市政供冷管网、供冷计量装置和用冷建筑换热设施等。用户是区域集中供冷系统的最终使用者，如何定义用户关系到《办法》的可实施性。如果将用户定义为用冷建筑某一区域实际使用者，区域集中供冷系统运营单位将不仅需要与用冷建筑的开发建设单位或物业管理单位进行协调，而且需要直接面对用冷建筑内诸多小业主，会造成管理界面不清晰。区域集中供冷系统将通过换热设施与用冷建筑空调系统隔离开，用冷建筑的空调系统是由用冷建筑的开发建设单位或物业管理单位进行维护与管理的，且用冷建筑某一区域实际使用者的也需要向用冷建筑的开发建设单位或管理单位支付空调管理费。基于这些实际情况，《办法》第３条将用户定义为用冷建筑的开发建设单位或管理单位，区域集中供冷系统的运营单位将不直接面对用冷建筑的实际使用者，有利于《办法》的实施。</w:t>
      </w:r>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2、建立了以主管部门领导下的供冷单位负责实施投资、建设、运营的模式。根据</w:t>
      </w:r>
      <w:r>
        <w:rPr>
          <w:rFonts w:ascii="仿宋" w:hAnsi="仿宋" w:eastAsia="仿宋"/>
          <w:b/>
          <w:color w:val="000000" w:themeColor="text1"/>
          <w:sz w:val="32"/>
          <w:szCs w:val="32"/>
          <w14:textFill>
            <w14:solidFill>
              <w14:schemeClr w14:val="tx1"/>
            </w14:solidFill>
          </w14:textFill>
        </w:rPr>
        <w:t>市政府批复意见，</w:t>
      </w:r>
      <w:r>
        <w:rPr>
          <w:rFonts w:hint="eastAsia" w:ascii="仿宋" w:hAnsi="仿宋" w:eastAsia="仿宋"/>
          <w:color w:val="000000" w:themeColor="text1"/>
          <w:sz w:val="32"/>
          <w:szCs w:val="32"/>
          <w14:textFill>
            <w14:solidFill>
              <w14:schemeClr w14:val="tx1"/>
            </w14:solidFill>
          </w14:textFill>
        </w:rPr>
        <w:t>《办法》的第5条，明确了前海管理局作为区域集中供冷的主管部门。</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区域供冷是改革和发展的新生事物，对于区域供冷系统的投资建设与运营存在立法的滞后。</w:t>
      </w:r>
      <w:r>
        <w:rPr>
          <w:rFonts w:hint="eastAsia" w:ascii="仿宋" w:hAnsi="仿宋" w:eastAsia="仿宋"/>
          <w:color w:val="000000" w:themeColor="text1"/>
          <w:sz w:val="32"/>
          <w:szCs w:val="32"/>
          <w14:textFill>
            <w14:solidFill>
              <w14:schemeClr w14:val="tx1"/>
            </w14:solidFill>
          </w14:textFill>
        </w:rPr>
        <w:t>前海合作区</w:t>
      </w:r>
      <w:r>
        <w:rPr>
          <w:rFonts w:hint="eastAsia" w:ascii="仿宋" w:hAnsi="仿宋" w:eastAsia="仿宋"/>
          <w:sz w:val="32"/>
          <w:szCs w:val="32"/>
        </w:rPr>
        <w:t>区域集中供冷定位为重要的市政公用基础服务设施，严格意义上讲，区域集中供冷系统属于公用事业。但是《深圳市公用事业特许经营条例》第三条没有将供冷列入到特许经营的范畴。2015年底，前海管理就如何确定区域供冷建设运营模式的问题向市政请示，2016年初，市政府回复意见：建议前海管理局参照《深圳市公用事业特许经营条例》确定经营者。根据《深圳经济特区前海深港现代服务业合作区条例》（修订案）第</w:t>
      </w:r>
      <w:r>
        <w:rPr>
          <w:rFonts w:ascii="仿宋" w:hAnsi="仿宋" w:eastAsia="仿宋"/>
          <w:sz w:val="32"/>
          <w:szCs w:val="32"/>
        </w:rPr>
        <w:t>二十一条，</w:t>
      </w:r>
      <w:r>
        <w:rPr>
          <w:rFonts w:hint="eastAsia" w:ascii="仿宋" w:hAnsi="仿宋" w:eastAsia="仿宋"/>
          <w:sz w:val="32"/>
          <w:szCs w:val="32"/>
        </w:rPr>
        <w:t>对前海管理机构设立下属公司的权限和职责作了规定，规定下属</w:t>
      </w:r>
      <w:r>
        <w:rPr>
          <w:rFonts w:ascii="仿宋" w:hAnsi="仿宋" w:eastAsia="仿宋"/>
          <w:sz w:val="32"/>
          <w:szCs w:val="32"/>
        </w:rPr>
        <w:t>公司</w:t>
      </w:r>
      <w:r>
        <w:rPr>
          <w:rFonts w:hint="eastAsia" w:ascii="仿宋" w:hAnsi="仿宋" w:eastAsia="仿宋"/>
          <w:sz w:val="32"/>
          <w:szCs w:val="32"/>
        </w:rPr>
        <w:t>可以承担相关建设开发及运营管理等职能，《办法》结合</w:t>
      </w:r>
      <w:r>
        <w:rPr>
          <w:rFonts w:ascii="仿宋" w:hAnsi="仿宋" w:eastAsia="仿宋"/>
          <w:sz w:val="32"/>
          <w:szCs w:val="32"/>
        </w:rPr>
        <w:t>新的上位法律依据，</w:t>
      </w:r>
      <w:r>
        <w:rPr>
          <w:rFonts w:hint="eastAsia" w:ascii="仿宋" w:hAnsi="仿宋" w:eastAsia="仿宋"/>
          <w:sz w:val="32"/>
          <w:szCs w:val="32"/>
        </w:rPr>
        <w:t>参照《深圳市公用事业特许经营条例》，第11条至第21条明确了冷站经营权的授予方式及基本程序。</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在建设前期，在区域供冷系统的定价、用户、投资回报尚不明确的情况下，需要推动区域集中供冷系统的建设。</w:t>
      </w:r>
      <w:r>
        <w:rPr>
          <w:rFonts w:hint="eastAsia" w:ascii="仿宋" w:hAnsi="仿宋" w:eastAsia="仿宋"/>
          <w:sz w:val="32"/>
          <w:szCs w:val="32"/>
        </w:rPr>
        <w:t>前海合作区不管采用何种建设运营模式，都应当考虑区域集中供冷系统的技术特点和前海合作区的实际情况。从技术角度讲，为减少重复开挖造成返工的情况，市政供冷管线需要与道路同步建设、</w:t>
      </w:r>
      <w:r>
        <w:rPr>
          <w:rFonts w:ascii="仿宋" w:hAnsi="仿宋" w:eastAsia="仿宋"/>
          <w:sz w:val="32"/>
          <w:szCs w:val="32"/>
        </w:rPr>
        <w:t>建成</w:t>
      </w:r>
      <w:r>
        <w:rPr>
          <w:rFonts w:hint="eastAsia" w:ascii="仿宋" w:hAnsi="仿宋" w:eastAsia="仿宋"/>
          <w:sz w:val="32"/>
          <w:szCs w:val="32"/>
        </w:rPr>
        <w:t>。因此办法将占区域集中供冷系统投资额20%的市政供冷管道由前海管理局负责投资，该</w:t>
      </w:r>
      <w:r>
        <w:rPr>
          <w:rFonts w:ascii="仿宋" w:hAnsi="仿宋" w:eastAsia="仿宋"/>
          <w:sz w:val="32"/>
          <w:szCs w:val="32"/>
        </w:rPr>
        <w:t>投资划分与区域集中供冷定位（</w:t>
      </w:r>
      <w:r>
        <w:rPr>
          <w:rFonts w:hint="eastAsia" w:ascii="仿宋" w:hAnsi="仿宋" w:eastAsia="仿宋"/>
          <w:sz w:val="32"/>
          <w:szCs w:val="32"/>
        </w:rPr>
        <w:t>重要的市政公用基础设施</w:t>
      </w:r>
      <w:r>
        <w:rPr>
          <w:rFonts w:ascii="仿宋" w:hAnsi="仿宋" w:eastAsia="仿宋"/>
          <w:sz w:val="32"/>
          <w:szCs w:val="32"/>
        </w:rPr>
        <w:t>）</w:t>
      </w:r>
      <w:r>
        <w:rPr>
          <w:rFonts w:hint="eastAsia" w:ascii="仿宋" w:hAnsi="仿宋" w:eastAsia="仿宋"/>
          <w:sz w:val="32"/>
          <w:szCs w:val="32"/>
        </w:rPr>
        <w:t>相符</w:t>
      </w:r>
      <w:r>
        <w:rPr>
          <w:rFonts w:ascii="仿宋" w:hAnsi="仿宋" w:eastAsia="仿宋"/>
          <w:sz w:val="32"/>
          <w:szCs w:val="32"/>
        </w:rPr>
        <w:t>，</w:t>
      </w:r>
      <w:r>
        <w:rPr>
          <w:rFonts w:hint="eastAsia" w:ascii="仿宋" w:hAnsi="仿宋" w:eastAsia="仿宋"/>
          <w:sz w:val="32"/>
          <w:szCs w:val="32"/>
        </w:rPr>
        <w:t>有力推动区域供冷系统管网与</w:t>
      </w:r>
      <w:r>
        <w:rPr>
          <w:rFonts w:ascii="仿宋" w:hAnsi="仿宋" w:eastAsia="仿宋"/>
          <w:sz w:val="32"/>
          <w:szCs w:val="32"/>
        </w:rPr>
        <w:t>市政道路同步</w:t>
      </w:r>
      <w:r>
        <w:rPr>
          <w:rFonts w:hint="eastAsia" w:ascii="仿宋" w:hAnsi="仿宋" w:eastAsia="仿宋"/>
          <w:sz w:val="32"/>
          <w:szCs w:val="32"/>
        </w:rPr>
        <w:t>建设，同时，区域集中供冷系统的前期投资大，系统投资是供冷价格最大的影响因素之一，而供冷价格是用户是否接受区域集中供冷系统的一大关键，前期</w:t>
      </w:r>
      <w:r>
        <w:rPr>
          <w:rFonts w:ascii="仿宋" w:hAnsi="仿宋" w:eastAsia="仿宋"/>
          <w:sz w:val="32"/>
          <w:szCs w:val="32"/>
        </w:rPr>
        <w:t>投资降低</w:t>
      </w:r>
      <w:r>
        <w:rPr>
          <w:rFonts w:hint="eastAsia" w:ascii="仿宋" w:hAnsi="仿宋" w:eastAsia="仿宋"/>
          <w:sz w:val="32"/>
          <w:szCs w:val="32"/>
        </w:rPr>
        <w:t>亦降低了用户的用冷成本。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基于以上分析，《办法》结合前海合作区的实际情况对前海合作区内的区域集中供冷系统的投资建设运营模式进行了一项制度创新—前海管理局承担市政供冷管网的投资，推进区域集中供冷系统的建设，前海管理局通过公平竞争的方式确定供冷单位，将冷站经营权授予给供冷单位，由供冷单位承担区域集中供冷系统（冷站</w:t>
      </w:r>
      <w:r>
        <w:rPr>
          <w:rFonts w:ascii="仿宋" w:hAnsi="仿宋" w:eastAsia="仿宋"/>
          <w:sz w:val="32"/>
          <w:szCs w:val="32"/>
        </w:rPr>
        <w:t>土建工程、</w:t>
      </w:r>
      <w:r>
        <w:rPr>
          <w:rFonts w:hint="eastAsia" w:ascii="仿宋" w:hAnsi="仿宋" w:eastAsia="仿宋"/>
          <w:sz w:val="32"/>
          <w:szCs w:val="32"/>
        </w:rPr>
        <w:t>市政供冷管网除外）的投资、建设与运营。《办法》的第6条与第7条，分别明确了主管部门与供冷单位的职责。在投资建设运营阶段，供冷单位的主要职责是负责实施区域集中供冷系统在各阶段的具体事项，包括制定区域集中供冷系统的实施方案、建设计划，负责冷站制冷及配套设施、供冷计量装置、用冷建筑换热设施的投资与建设。而主管部门的职责主要是负责对这些成果进行监管。《办法》第11条至第21条，明确了冷站经营权的授予方式及基本程序。通过这种制度设计，可稳步推进区域供冷系统的实施。</w:t>
      </w:r>
      <w:bookmarkStart w:id="0" w:name="QuickMark"/>
      <w:bookmarkEnd w:id="0"/>
    </w:p>
    <w:p>
      <w:pPr>
        <w:spacing w:line="56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3、明确了区域供冷的实施范围。</w:t>
      </w:r>
      <w:r>
        <w:rPr>
          <w:rFonts w:hint="eastAsia" w:ascii="仿宋" w:hAnsi="仿宋" w:eastAsia="仿宋"/>
          <w:color w:val="000000" w:themeColor="text1"/>
          <w:sz w:val="32"/>
          <w:szCs w:val="32"/>
          <w14:textFill>
            <w14:solidFill>
              <w14:schemeClr w14:val="tx1"/>
            </w14:solidFill>
          </w14:textFill>
        </w:rPr>
        <w:t>一方面，前海合作区每个开发单位都规划有高密度的办公、商业、酒店建筑，如果采用区域供冷系统相比传统的集中空调，在节能、节地、总体投资及冷却塔对环境的污染方面，有较大的优势。关于区域集中供冷系统在技术上的优势前海管理局已经组织了多次专家评审进行论证，专家们一致认为前海合作区采用区域集中供冷是可行的，有助于前海合作区建设低碳、生态、环保之城。</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另一方面，区域供冷系统的初期投资大，如果没有用户使用，区域供冷系统将面临运营失败的风险。在区域供冷项目开展前期，前海管理局在2013年3月15日组织了一次专家研讨会，参会专家一致认为区域供冷实现的途径离不开政府、企业的参与。另外，区域集中供冷作为前海合作区重要的公共基础设施，《办法》的第</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条，明确了占区域供冷系统总投资20%左右的市政供冷管网由前海管理局进行投资。为服务前海合作区的产业发展，此部分投资是不计入供冷价格的核算，降低了供冷价格，相对于国内已经成功运营的区域集中供冷系统，用户将得到更多的实惠、能够分享到前海合作区的收益。城市</w:t>
      </w:r>
      <w:r>
        <w:rPr>
          <w:rFonts w:ascii="仿宋" w:hAnsi="仿宋" w:eastAsia="仿宋"/>
          <w:color w:val="000000" w:themeColor="text1"/>
          <w:sz w:val="32"/>
          <w:szCs w:val="32"/>
          <w14:textFill>
            <w14:solidFill>
              <w14:schemeClr w14:val="tx1"/>
            </w14:solidFill>
          </w14:textFill>
        </w:rPr>
        <w:t>建设方面</w:t>
      </w:r>
      <w:r>
        <w:rPr>
          <w:rFonts w:hint="eastAsia" w:ascii="仿宋" w:hAnsi="仿宋" w:eastAsia="仿宋"/>
          <w:color w:val="000000" w:themeColor="text1"/>
          <w:sz w:val="32"/>
          <w:szCs w:val="32"/>
          <w14:textFill>
            <w14:solidFill>
              <w14:schemeClr w14:val="tx1"/>
            </w14:solidFill>
          </w14:textFill>
        </w:rPr>
        <w:t>热岛效应</w:t>
      </w:r>
      <w:r>
        <w:rPr>
          <w:rFonts w:ascii="仿宋" w:hAnsi="仿宋" w:eastAsia="仿宋"/>
          <w:color w:val="000000" w:themeColor="text1"/>
          <w:sz w:val="32"/>
          <w:szCs w:val="32"/>
          <w14:textFill>
            <w14:solidFill>
              <w14:schemeClr w14:val="tx1"/>
            </w14:solidFill>
          </w14:textFill>
        </w:rPr>
        <w:t>减弱、噪音控制更好、空调漂水得到系统</w:t>
      </w:r>
      <w:r>
        <w:rPr>
          <w:rFonts w:hint="eastAsia" w:ascii="仿宋" w:hAnsi="仿宋" w:eastAsia="仿宋"/>
          <w:color w:val="000000" w:themeColor="text1"/>
          <w:sz w:val="32"/>
          <w:szCs w:val="32"/>
          <w14:textFill>
            <w14:solidFill>
              <w14:schemeClr w14:val="tx1"/>
            </w14:solidFill>
          </w14:textFill>
        </w:rPr>
        <w:t>控制，海水</w:t>
      </w:r>
      <w:r>
        <w:rPr>
          <w:rFonts w:ascii="仿宋" w:hAnsi="仿宋" w:eastAsia="仿宋"/>
          <w:color w:val="000000" w:themeColor="text1"/>
          <w:sz w:val="32"/>
          <w:szCs w:val="32"/>
          <w14:textFill>
            <w14:solidFill>
              <w14:schemeClr w14:val="tx1"/>
            </w14:solidFill>
          </w14:textFill>
        </w:rPr>
        <w:t>冷却、中水利用、蒸汽余热利用等多能源方案</w:t>
      </w:r>
      <w:r>
        <w:rPr>
          <w:rFonts w:hint="eastAsia" w:ascii="仿宋" w:hAnsi="仿宋" w:eastAsia="仿宋"/>
          <w:color w:val="000000" w:themeColor="text1"/>
          <w:sz w:val="32"/>
          <w:szCs w:val="32"/>
          <w14:textFill>
            <w14:solidFill>
              <w14:schemeClr w14:val="tx1"/>
            </w14:solidFill>
          </w14:textFill>
        </w:rPr>
        <w:t>，能源</w:t>
      </w:r>
      <w:r>
        <w:rPr>
          <w:rFonts w:ascii="仿宋" w:hAnsi="仿宋" w:eastAsia="仿宋"/>
          <w:color w:val="000000" w:themeColor="text1"/>
          <w:sz w:val="32"/>
          <w:szCs w:val="32"/>
          <w14:textFill>
            <w14:solidFill>
              <w14:schemeClr w14:val="tx1"/>
            </w14:solidFill>
          </w14:textFill>
        </w:rPr>
        <w:t>综合</w:t>
      </w:r>
      <w:r>
        <w:rPr>
          <w:rFonts w:hint="eastAsia" w:ascii="仿宋" w:hAnsi="仿宋" w:eastAsia="仿宋"/>
          <w:color w:val="000000" w:themeColor="text1"/>
          <w:sz w:val="32"/>
          <w:szCs w:val="32"/>
          <w14:textFill>
            <w14:solidFill>
              <w14:schemeClr w14:val="tx1"/>
            </w14:solidFill>
          </w14:textFill>
        </w:rPr>
        <w:t>利用率有效</w:t>
      </w:r>
      <w:r>
        <w:rPr>
          <w:rFonts w:ascii="仿宋" w:hAnsi="仿宋" w:eastAsia="仿宋"/>
          <w:color w:val="000000" w:themeColor="text1"/>
          <w:sz w:val="32"/>
          <w:szCs w:val="32"/>
          <w14:textFill>
            <w14:solidFill>
              <w14:schemeClr w14:val="tx1"/>
            </w14:solidFill>
          </w14:textFill>
        </w:rPr>
        <w:t>提升，城市环境更加美好</w:t>
      </w:r>
      <w:r>
        <w:rPr>
          <w:rFonts w:hint="eastAsia" w:ascii="仿宋" w:hAnsi="仿宋" w:eastAsia="仿宋"/>
          <w:color w:val="000000" w:themeColor="text1"/>
          <w:sz w:val="32"/>
          <w:szCs w:val="32"/>
          <w14:textFill>
            <w14:solidFill>
              <w14:schemeClr w14:val="tx1"/>
            </w14:solidFill>
          </w14:textFill>
        </w:rPr>
        <w:t>、城市</w:t>
      </w:r>
      <w:r>
        <w:rPr>
          <w:rFonts w:ascii="仿宋" w:hAnsi="仿宋" w:eastAsia="仿宋"/>
          <w:color w:val="000000" w:themeColor="text1"/>
          <w:sz w:val="32"/>
          <w:szCs w:val="32"/>
          <w14:textFill>
            <w14:solidFill>
              <w14:schemeClr w14:val="tx1"/>
            </w14:solidFill>
          </w14:textFill>
        </w:rPr>
        <w:t>更美丽宜居</w:t>
      </w:r>
      <w:r>
        <w:rPr>
          <w:rFonts w:hint="eastAsia" w:ascii="仿宋" w:hAnsi="仿宋" w:eastAsia="仿宋"/>
          <w:color w:val="000000" w:themeColor="text1"/>
          <w:sz w:val="32"/>
          <w:szCs w:val="32"/>
          <w14:textFill>
            <w14:solidFill>
              <w14:schemeClr w14:val="tx1"/>
            </w14:solidFill>
          </w14:textFill>
        </w:rPr>
        <w:t>，得到</w:t>
      </w:r>
      <w:r>
        <w:rPr>
          <w:rFonts w:ascii="仿宋" w:hAnsi="仿宋" w:eastAsia="仿宋"/>
          <w:color w:val="000000" w:themeColor="text1"/>
          <w:sz w:val="32"/>
          <w:szCs w:val="32"/>
          <w14:textFill>
            <w14:solidFill>
              <w14:schemeClr w14:val="tx1"/>
            </w14:solidFill>
          </w14:textFill>
        </w:rPr>
        <w:t>了</w:t>
      </w:r>
      <w:r>
        <w:rPr>
          <w:rFonts w:hint="eastAsia" w:ascii="仿宋" w:hAnsi="仿宋" w:eastAsia="仿宋"/>
          <w:color w:val="000000" w:themeColor="text1"/>
          <w:sz w:val="32"/>
          <w:szCs w:val="32"/>
          <w14:textFill>
            <w14:solidFill>
              <w14:schemeClr w14:val="tx1"/>
            </w14:solidFill>
          </w14:textFill>
        </w:rPr>
        <w:t>更大</w:t>
      </w:r>
      <w:r>
        <w:rPr>
          <w:rFonts w:ascii="仿宋" w:hAnsi="仿宋" w:eastAsia="仿宋"/>
          <w:color w:val="000000" w:themeColor="text1"/>
          <w:sz w:val="32"/>
          <w:szCs w:val="32"/>
          <w14:textFill>
            <w14:solidFill>
              <w14:schemeClr w14:val="tx1"/>
            </w14:solidFill>
          </w14:textFill>
        </w:rPr>
        <w:t>的环境、经济等社会综合效益</w:t>
      </w:r>
      <w:r>
        <w:rPr>
          <w:rFonts w:hint="eastAsia" w:ascii="仿宋" w:hAnsi="仿宋" w:eastAsia="仿宋"/>
          <w:color w:val="000000" w:themeColor="text1"/>
          <w:sz w:val="32"/>
          <w:szCs w:val="32"/>
          <w14:textFill>
            <w14:solidFill>
              <w14:schemeClr w14:val="tx1"/>
            </w14:solidFill>
          </w14:textFill>
        </w:rPr>
        <w:t>。</w:t>
      </w:r>
    </w:p>
    <w:p>
      <w:pPr>
        <w:spacing w:after="200"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鉴于此，《办法》的第4条规定了区域集中供冷的实施范围，即前海深港合作区专项规划中含有区域集中供冷系统的新建、改建、扩建项目（不包括居住类建筑项目），均应当采用区域集中供冷系统提供的冷冻水作为空调冷源，前款内容应当纳入《土地使用权出让合同书》。同时</w:t>
      </w:r>
      <w:r>
        <w:rPr>
          <w:rFonts w:ascii="仿宋" w:hAnsi="仿宋" w:eastAsia="仿宋"/>
          <w:color w:val="000000" w:themeColor="text1"/>
          <w:sz w:val="32"/>
          <w:szCs w:val="32"/>
          <w14:textFill>
            <w14:solidFill>
              <w14:schemeClr w14:val="tx1"/>
            </w14:solidFill>
          </w14:textFill>
        </w:rPr>
        <w:t>，根据</w:t>
      </w:r>
      <w:r>
        <w:rPr>
          <w:rFonts w:hint="eastAsia" w:ascii="仿宋" w:hAnsi="仿宋" w:eastAsia="仿宋"/>
          <w:color w:val="000000" w:themeColor="text1"/>
          <w:sz w:val="32"/>
          <w:szCs w:val="32"/>
          <w14:textFill>
            <w14:solidFill>
              <w14:schemeClr w14:val="tx1"/>
            </w14:solidFill>
          </w14:textFill>
        </w:rPr>
        <w:t>我</w:t>
      </w:r>
      <w:r>
        <w:rPr>
          <w:rFonts w:ascii="仿宋" w:hAnsi="仿宋" w:eastAsia="仿宋"/>
          <w:color w:val="000000" w:themeColor="text1"/>
          <w:sz w:val="32"/>
          <w:szCs w:val="32"/>
          <w14:textFill>
            <w14:solidFill>
              <w14:schemeClr w14:val="tx1"/>
            </w14:solidFill>
          </w14:textFill>
        </w:rPr>
        <w:t>局组织的</w:t>
      </w:r>
      <w:r>
        <w:rPr>
          <w:rFonts w:hint="eastAsia" w:ascii="仿宋" w:hAnsi="仿宋" w:eastAsia="仿宋"/>
          <w:color w:val="000000" w:themeColor="text1"/>
          <w:sz w:val="32"/>
          <w:szCs w:val="32"/>
          <w14:textFill>
            <w14:solidFill>
              <w14:schemeClr w14:val="tx1"/>
            </w14:solidFill>
          </w14:textFill>
        </w:rPr>
        <w:t>研究结论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在</w:t>
      </w:r>
      <w:r>
        <w:rPr>
          <w:rFonts w:ascii="仿宋" w:hAnsi="仿宋" w:eastAsia="仿宋"/>
          <w:color w:val="000000" w:themeColor="text1"/>
          <w:sz w:val="32"/>
          <w:szCs w:val="32"/>
          <w14:textFill>
            <w14:solidFill>
              <w14:schemeClr w14:val="tx1"/>
            </w14:solidFill>
          </w14:textFill>
        </w:rPr>
        <w:t>前海高密度、</w:t>
      </w:r>
      <w:r>
        <w:rPr>
          <w:rFonts w:hint="eastAsia" w:ascii="仿宋" w:hAnsi="仿宋" w:eastAsia="仿宋"/>
          <w:color w:val="000000" w:themeColor="text1"/>
          <w:sz w:val="32"/>
          <w:szCs w:val="32"/>
          <w14:textFill>
            <w14:solidFill>
              <w14:schemeClr w14:val="tx1"/>
            </w14:solidFill>
          </w14:textFill>
        </w:rPr>
        <w:t>高</w:t>
      </w:r>
      <w:r>
        <w:rPr>
          <w:rFonts w:ascii="仿宋" w:hAnsi="仿宋" w:eastAsia="仿宋"/>
          <w:color w:val="000000" w:themeColor="text1"/>
          <w:sz w:val="32"/>
          <w:szCs w:val="32"/>
          <w14:textFill>
            <w14:solidFill>
              <w14:schemeClr w14:val="tx1"/>
            </w14:solidFill>
          </w14:textFill>
        </w:rPr>
        <w:t>强度</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小街区、密路网规划特点</w:t>
      </w:r>
      <w:r>
        <w:rPr>
          <w:rFonts w:hint="eastAsia" w:ascii="仿宋" w:hAnsi="仿宋" w:eastAsia="仿宋"/>
          <w:color w:val="000000" w:themeColor="text1"/>
          <w:sz w:val="32"/>
          <w:szCs w:val="32"/>
          <w14:textFill>
            <w14:solidFill>
              <w14:schemeClr w14:val="tx1"/>
            </w14:solidFill>
          </w14:textFill>
        </w:rPr>
        <w:t>下</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无法</w:t>
      </w:r>
      <w:r>
        <w:rPr>
          <w:rFonts w:ascii="仿宋" w:hAnsi="仿宋" w:eastAsia="仿宋"/>
          <w:color w:val="000000" w:themeColor="text1"/>
          <w:sz w:val="32"/>
          <w:szCs w:val="32"/>
          <w14:textFill>
            <w14:solidFill>
              <w14:schemeClr w14:val="tx1"/>
            </w14:solidFill>
          </w14:textFill>
        </w:rPr>
        <w:t>满足地铁</w:t>
      </w:r>
      <w:r>
        <w:rPr>
          <w:rFonts w:hint="eastAsia" w:ascii="仿宋" w:hAnsi="仿宋" w:eastAsia="仿宋"/>
          <w:color w:val="000000" w:themeColor="text1"/>
          <w:sz w:val="32"/>
          <w:szCs w:val="32"/>
          <w14:textFill>
            <w14:solidFill>
              <w14:schemeClr w14:val="tx1"/>
            </w14:solidFill>
          </w14:textFill>
        </w:rPr>
        <w:t>站点</w:t>
      </w:r>
      <w:r>
        <w:rPr>
          <w:rFonts w:ascii="仿宋" w:hAnsi="仿宋" w:eastAsia="仿宋"/>
          <w:color w:val="000000" w:themeColor="text1"/>
          <w:sz w:val="32"/>
          <w:szCs w:val="32"/>
          <w14:textFill>
            <w14:solidFill>
              <w14:schemeClr w14:val="tx1"/>
            </w14:solidFill>
          </w14:textFill>
        </w:rPr>
        <w:t>、地下</w:t>
      </w:r>
      <w:r>
        <w:rPr>
          <w:rFonts w:hint="eastAsia" w:ascii="仿宋" w:hAnsi="仿宋" w:eastAsia="仿宋"/>
          <w:color w:val="000000" w:themeColor="text1"/>
          <w:sz w:val="32"/>
          <w:szCs w:val="32"/>
          <w14:textFill>
            <w14:solidFill>
              <w14:schemeClr w14:val="tx1"/>
            </w14:solidFill>
          </w14:textFill>
        </w:rPr>
        <w:t>空间</w:t>
      </w:r>
      <w:r>
        <w:rPr>
          <w:rFonts w:ascii="仿宋" w:hAnsi="仿宋" w:eastAsia="仿宋"/>
          <w:color w:val="000000" w:themeColor="text1"/>
          <w:sz w:val="32"/>
          <w:szCs w:val="32"/>
          <w14:textFill>
            <w14:solidFill>
              <w14:schemeClr w14:val="tx1"/>
            </w14:solidFill>
          </w14:textFill>
        </w:rPr>
        <w:t>大规模</w:t>
      </w:r>
      <w:r>
        <w:rPr>
          <w:rFonts w:hint="eastAsia" w:ascii="仿宋" w:hAnsi="仿宋" w:eastAsia="仿宋"/>
          <w:color w:val="000000" w:themeColor="text1"/>
          <w:sz w:val="32"/>
          <w:szCs w:val="32"/>
          <w14:textFill>
            <w14:solidFill>
              <w14:schemeClr w14:val="tx1"/>
            </w14:solidFill>
          </w14:textFill>
        </w:rPr>
        <w:t>设置</w:t>
      </w:r>
      <w:r>
        <w:rPr>
          <w:rFonts w:ascii="仿宋" w:hAnsi="仿宋" w:eastAsia="仿宋"/>
          <w:color w:val="000000" w:themeColor="text1"/>
          <w:sz w:val="32"/>
          <w:szCs w:val="32"/>
          <w14:textFill>
            <w14:solidFill>
              <w14:schemeClr w14:val="tx1"/>
            </w14:solidFill>
          </w14:textFill>
        </w:rPr>
        <w:t>独立的冷却塔、出入口等设施，须采取广泛附建形式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为解决地铁站点</w:t>
      </w:r>
      <w:r>
        <w:rPr>
          <w:rFonts w:hint="eastAsia" w:ascii="仿宋" w:hAnsi="仿宋" w:eastAsia="仿宋"/>
          <w:color w:val="000000" w:themeColor="text1"/>
          <w:sz w:val="32"/>
          <w:szCs w:val="32"/>
          <w14:textFill>
            <w14:solidFill>
              <w14:schemeClr w14:val="tx1"/>
            </w14:solidFill>
          </w14:textFill>
        </w:rPr>
        <w:t>冷却塔</w:t>
      </w:r>
      <w:r>
        <w:rPr>
          <w:rFonts w:ascii="仿宋" w:hAnsi="仿宋" w:eastAsia="仿宋"/>
          <w:color w:val="000000" w:themeColor="text1"/>
          <w:sz w:val="32"/>
          <w:szCs w:val="32"/>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独立</w:t>
      </w:r>
      <w:r>
        <w:rPr>
          <w:rFonts w:ascii="仿宋" w:hAnsi="仿宋" w:eastAsia="仿宋"/>
          <w:color w:val="000000" w:themeColor="text1"/>
          <w:sz w:val="32"/>
          <w:szCs w:val="32"/>
          <w14:textFill>
            <w14:solidFill>
              <w14:schemeClr w14:val="tx1"/>
            </w14:solidFill>
          </w14:textFill>
        </w:rPr>
        <w:t>占地问题，同时享有高品质的供冷服务，</w:t>
      </w:r>
      <w:r>
        <w:rPr>
          <w:rFonts w:hint="eastAsia" w:ascii="仿宋" w:hAnsi="仿宋" w:eastAsia="仿宋"/>
          <w:color w:val="000000" w:themeColor="text1"/>
          <w:sz w:val="32"/>
          <w:szCs w:val="32"/>
          <w14:textFill>
            <w14:solidFill>
              <w14:schemeClr w14:val="tx1"/>
            </w14:solidFill>
          </w14:textFill>
        </w:rPr>
        <w:t>《办法》第</w:t>
      </w:r>
      <w:r>
        <w:rPr>
          <w:rFonts w:ascii="仿宋" w:hAnsi="仿宋" w:eastAsia="仿宋"/>
          <w:color w:val="000000" w:themeColor="text1"/>
          <w:sz w:val="32"/>
          <w:szCs w:val="32"/>
          <w14:textFill>
            <w14:solidFill>
              <w14:schemeClr w14:val="tx1"/>
            </w14:solidFill>
          </w14:textFill>
        </w:rPr>
        <w:t>四条</w:t>
      </w:r>
      <w:r>
        <w:rPr>
          <w:rFonts w:hint="eastAsia" w:ascii="仿宋" w:hAnsi="仿宋" w:eastAsia="仿宋"/>
          <w:color w:val="000000" w:themeColor="text1"/>
          <w:sz w:val="32"/>
          <w:szCs w:val="32"/>
          <w14:textFill>
            <w14:solidFill>
              <w14:schemeClr w14:val="tx1"/>
            </w14:solidFill>
          </w14:textFill>
        </w:rPr>
        <w:t>增加</w:t>
      </w:r>
      <w:r>
        <w:rPr>
          <w:rFonts w:ascii="仿宋" w:hAnsi="仿宋" w:eastAsia="仿宋"/>
          <w:color w:val="000000" w:themeColor="text1"/>
          <w:sz w:val="32"/>
          <w:szCs w:val="32"/>
          <w14:textFill>
            <w14:solidFill>
              <w14:schemeClr w14:val="tx1"/>
            </w14:solidFill>
          </w14:textFill>
        </w:rPr>
        <w:t>了</w:t>
      </w:r>
      <w:r>
        <w:rPr>
          <w:rFonts w:hint="eastAsia" w:ascii="仿宋" w:hAnsi="仿宋" w:eastAsia="仿宋"/>
          <w:color w:val="000000" w:themeColor="text1"/>
          <w:sz w:val="32"/>
          <w:szCs w:val="32"/>
          <w14:textFill>
            <w14:solidFill>
              <w14:schemeClr w14:val="tx1"/>
            </w14:solidFill>
          </w14:textFill>
        </w:rPr>
        <w:t>合作区规划建设的地铁车站和地下步行通道应优先采用区域集中供冷冷源的</w:t>
      </w:r>
      <w:r>
        <w:rPr>
          <w:rFonts w:ascii="仿宋" w:hAnsi="仿宋" w:eastAsia="仿宋"/>
          <w:color w:val="000000" w:themeColor="text1"/>
          <w:sz w:val="32"/>
          <w:szCs w:val="32"/>
          <w14:textFill>
            <w14:solidFill>
              <w14:schemeClr w14:val="tx1"/>
            </w14:solidFill>
          </w14:textFill>
        </w:rPr>
        <w:t>要求</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通过这些制度的设计，培育市场，快速形成规模，有利于区域供冷产业在前海合作区的健康发展。</w:t>
      </w:r>
    </w:p>
    <w:p>
      <w:pPr>
        <w:spacing w:after="200"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4、设计了区域集中供冷系统相关单位的投资、建设、管理界面。</w:t>
      </w:r>
      <w:r>
        <w:rPr>
          <w:rFonts w:hint="eastAsia" w:ascii="仿宋" w:hAnsi="仿宋" w:eastAsia="仿宋"/>
          <w:color w:val="000000" w:themeColor="text1"/>
          <w:sz w:val="32"/>
          <w:szCs w:val="32"/>
          <w14:textFill>
            <w14:solidFill>
              <w14:schemeClr w14:val="tx1"/>
            </w14:solidFill>
          </w14:textFill>
        </w:rPr>
        <w:t>区域集中供冷系统与用户系统通过换热设备连接，各系统之间相互影响，如何减少交叉界面的争议和提高系统能效无论在前期建设阶段，还是后期运营阶段都是要重点关注的问题。换热设施如果由用户投资、建设并维护，由于用户换热设施的品牌、施工质量的标准不统一，用户的维护水平也参差不齐，用户换热设施的换热效果难以得到保证，而用户换热设施的换热效果直接影响到区域集中供冷系统的运行效率。鉴于此，《办法》相对于国内同类项目进行了一项创新，即供冷单位负责用户换热设施的投资、建设与维护。见《办法》的第7条：供冷单位负责冷站制冷及配套设施、供冷计量装置、用冷建筑换热设施的投资与建设；供冷单位负责供冷设施（用冷建筑用地红线内的供冷管道除外）的维护与管理。《办法》第二十六条</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主管部门优先</w:t>
      </w:r>
      <w:r>
        <w:rPr>
          <w:rFonts w:ascii="仿宋" w:hAnsi="仿宋" w:eastAsia="仿宋"/>
          <w:sz w:val="32"/>
          <w:szCs w:val="32"/>
        </w:rPr>
        <w:t>采用无偿</w:t>
      </w:r>
      <w:r>
        <w:rPr>
          <w:rFonts w:hint="eastAsia" w:ascii="仿宋" w:hAnsi="仿宋" w:eastAsia="仿宋"/>
          <w:sz w:val="32"/>
          <w:szCs w:val="32"/>
        </w:rPr>
        <w:t>方式，在</w:t>
      </w:r>
      <w:r>
        <w:rPr>
          <w:rFonts w:ascii="仿宋" w:hAnsi="仿宋" w:eastAsia="仿宋"/>
          <w:sz w:val="32"/>
          <w:szCs w:val="32"/>
        </w:rPr>
        <w:t>授予</w:t>
      </w:r>
      <w:r>
        <w:rPr>
          <w:rFonts w:hint="eastAsia" w:ascii="仿宋" w:hAnsi="仿宋" w:eastAsia="仿宋"/>
          <w:sz w:val="32"/>
          <w:szCs w:val="32"/>
        </w:rPr>
        <w:t>供冷经营权</w:t>
      </w:r>
      <w:r>
        <w:rPr>
          <w:rFonts w:ascii="仿宋" w:hAnsi="仿宋" w:eastAsia="仿宋"/>
          <w:sz w:val="32"/>
          <w:szCs w:val="32"/>
        </w:rPr>
        <w:t>时</w:t>
      </w:r>
      <w:r>
        <w:rPr>
          <w:rFonts w:hint="eastAsia" w:ascii="仿宋" w:hAnsi="仿宋" w:eastAsia="仿宋"/>
          <w:sz w:val="32"/>
          <w:szCs w:val="32"/>
        </w:rPr>
        <w:t>，</w:t>
      </w:r>
      <w:r>
        <w:rPr>
          <w:rFonts w:ascii="仿宋" w:hAnsi="仿宋" w:eastAsia="仿宋"/>
          <w:sz w:val="32"/>
          <w:szCs w:val="32"/>
        </w:rPr>
        <w:t>同步</w:t>
      </w:r>
      <w:r>
        <w:rPr>
          <w:rFonts w:hint="eastAsia" w:ascii="仿宋" w:hAnsi="仿宋" w:eastAsia="仿宋"/>
          <w:sz w:val="32"/>
          <w:szCs w:val="32"/>
        </w:rPr>
        <w:t>将冷站土建及一次管网使用权提供给供冷单位使用，供冷</w:t>
      </w:r>
      <w:r>
        <w:rPr>
          <w:rFonts w:ascii="仿宋" w:hAnsi="仿宋" w:eastAsia="仿宋"/>
          <w:sz w:val="32"/>
          <w:szCs w:val="32"/>
        </w:rPr>
        <w:t>单位负责</w:t>
      </w:r>
      <w:r>
        <w:rPr>
          <w:rFonts w:hint="eastAsia" w:ascii="仿宋" w:hAnsi="仿宋" w:eastAsia="仿宋"/>
          <w:sz w:val="32"/>
          <w:szCs w:val="32"/>
        </w:rPr>
        <w:t>冷站土建、一次管网的维护与管理职责，并承担相关费用。继续落实了冷价经济性、社会综合效益等原则要求。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同时《办法》的第8条明确了用冷建筑用地红线内的供冷管道由用冷建筑开发建设单位负责投资与建设；用冷建筑的开发建设单位应当提供独立的专用换热设备用房及配套的电源、水源等，并按照相关技术要求协调技术接口。而《办法》的第9条也明确了用户负责用冷建筑用地红线内供冷管道、换热设备用房及配套的电源、水源等的维护与管理，并为供冷单位维护、管理供冷计量装置和用冷建筑换热设施，检查和监督用冷建筑用地红线内供冷管道的维护管理情况提供便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依据这些条款，各单位的责权明确，为区域集中供冷系统的高效运行提供了坚实的保障。</w:t>
      </w:r>
    </w:p>
    <w:p>
      <w:pPr>
        <w:pStyle w:val="10"/>
        <w:numPr>
          <w:ilvl w:val="0"/>
          <w:numId w:val="2"/>
        </w:numPr>
        <w:spacing w:line="560" w:lineRule="exact"/>
        <w:ind w:left="-2" w:leftChars="-1" w:firstLine="643"/>
        <w:rPr>
          <w:rFonts w:ascii="仿宋" w:hAnsi="仿宋" w:eastAsia="仿宋"/>
          <w:b/>
          <w:sz w:val="32"/>
          <w:szCs w:val="32"/>
        </w:rPr>
      </w:pPr>
      <w:r>
        <w:rPr>
          <w:rFonts w:hint="eastAsia" w:ascii="仿宋" w:hAnsi="仿宋" w:eastAsia="仿宋"/>
          <w:b/>
          <w:sz w:val="32"/>
          <w:szCs w:val="32"/>
        </w:rPr>
        <w:t>建立了区域集中供冷运营单位的考核与退出机制，充分保证用户的利益。</w:t>
      </w:r>
      <w:r>
        <w:rPr>
          <w:rFonts w:hint="eastAsia" w:ascii="仿宋" w:hAnsi="仿宋" w:eastAsia="仿宋"/>
          <w:sz w:val="32"/>
          <w:szCs w:val="32"/>
        </w:rPr>
        <w:t>区域集中供冷系统能否高效的运行，用户能否得到经济、稳定、优质的供冷服务，与运营单位的运营水平是息息相关的。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《办法》第16条，明确了主管部门应当与供冷单位签署</w:t>
      </w:r>
    </w:p>
    <w:p>
      <w:pPr>
        <w:spacing w:line="560" w:lineRule="exact"/>
        <w:rPr>
          <w:rFonts w:ascii="仿宋" w:hAnsi="仿宋" w:eastAsia="仿宋"/>
          <w:sz w:val="32"/>
          <w:szCs w:val="32"/>
        </w:rPr>
      </w:pPr>
      <w:r>
        <w:rPr>
          <w:rFonts w:hint="eastAsia" w:ascii="仿宋" w:hAnsi="仿宋" w:eastAsia="仿宋"/>
          <w:sz w:val="32"/>
          <w:szCs w:val="32"/>
        </w:rPr>
        <w:t xml:space="preserve">供冷经营权授予协议，明确授权范围、经营期限、双方的权利与义务，以及供冷单位在投资建设、运营活动中的考核标准、奖惩机制、法律责任、退出机制等事宜。 </w:t>
      </w:r>
    </w:p>
    <w:p>
      <w:pPr>
        <w:pStyle w:val="10"/>
        <w:numPr>
          <w:ilvl w:val="0"/>
          <w:numId w:val="2"/>
        </w:numPr>
        <w:spacing w:line="560" w:lineRule="exact"/>
        <w:ind w:left="0" w:firstLine="643"/>
        <w:rPr>
          <w:rFonts w:ascii="仿宋" w:hAnsi="仿宋" w:eastAsia="仿宋"/>
          <w:sz w:val="32"/>
          <w:szCs w:val="32"/>
        </w:rPr>
      </w:pPr>
      <w:r>
        <w:rPr>
          <w:rFonts w:hint="eastAsia" w:ascii="仿宋" w:hAnsi="仿宋" w:eastAsia="仿宋"/>
          <w:b/>
          <w:sz w:val="32"/>
          <w:szCs w:val="32"/>
        </w:rPr>
        <w:t>建立了以实现用户与投资者双赢为目的的价格与调价机制。</w:t>
      </w:r>
      <w:r>
        <w:rPr>
          <w:rFonts w:hint="eastAsia" w:ascii="仿宋" w:hAnsi="仿宋" w:eastAsia="仿宋"/>
          <w:sz w:val="32"/>
          <w:szCs w:val="32"/>
        </w:rPr>
        <w:t>供冷价格关系到用户的切身利益，供冷价格不能高于用户自建冷站的制冷成本，用户才不会反对与排斥区域集中供冷。同时供冷价格也不能低于区域供冷系统的运营成本，需要给投资者保留合理的利润，在取得合理利润的基础，投资者才有积极性不断的更新、改造区域集中供冷系统，不断提高运营水平和供冷服务质量。因此，供冷收费方案的制定要充分考虑用户与投资者的利益。鉴于此，《办法》结合市政府实行市场化价格的要求，第37条提出了区域集中供冷的定价应兼顾供冷单位和用户等相关方的利益，按照保本微利、科学合理、公开透明、市场化的原则确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办法》第38条，明确了由供冷单位负责制定供冷收费方案。同时也明确了供冷单位在制定供冷收费方案时应当委托第三方进行成本调查，并听取用户、主管部门和有关方面的意见，保证了用户参与到供冷收费方案制定的权利。增加</w:t>
      </w:r>
      <w:r>
        <w:rPr>
          <w:rFonts w:ascii="仿宋" w:hAnsi="仿宋" w:eastAsia="仿宋"/>
          <w:sz w:val="32"/>
          <w:szCs w:val="32"/>
        </w:rPr>
        <w:t>了</w:t>
      </w:r>
      <w:r>
        <w:rPr>
          <w:rFonts w:hint="eastAsia" w:ascii="仿宋" w:hAnsi="仿宋" w:eastAsia="仿宋"/>
          <w:sz w:val="32"/>
          <w:szCs w:val="32"/>
        </w:rPr>
        <w:t>依据《土地使用权出让合同书》或</w:t>
      </w:r>
      <w:r>
        <w:rPr>
          <w:rFonts w:ascii="仿宋" w:hAnsi="仿宋" w:eastAsia="仿宋"/>
          <w:sz w:val="32"/>
          <w:szCs w:val="32"/>
        </w:rPr>
        <w:t>土地出让条件明确的</w:t>
      </w:r>
      <w:r>
        <w:rPr>
          <w:rFonts w:hint="eastAsia" w:ascii="仿宋" w:hAnsi="仿宋" w:eastAsia="仿宋"/>
          <w:sz w:val="32"/>
          <w:szCs w:val="32"/>
        </w:rPr>
        <w:t>配建物业或</w:t>
      </w:r>
      <w:r>
        <w:rPr>
          <w:rFonts w:ascii="仿宋" w:hAnsi="仿宋" w:eastAsia="仿宋"/>
          <w:sz w:val="32"/>
          <w:szCs w:val="32"/>
        </w:rPr>
        <w:t>地下步行公共空间</w:t>
      </w:r>
      <w:r>
        <w:rPr>
          <w:rFonts w:hint="eastAsia" w:ascii="仿宋" w:hAnsi="仿宋" w:eastAsia="仿宋"/>
          <w:sz w:val="32"/>
          <w:szCs w:val="32"/>
        </w:rPr>
        <w:t>，初装费实行“谁建设谁付费”，冷量使用费实行“谁使用谁付费”原则。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域集中供冷系统投资规模大，建设周期长，一般会采用分期建设、分期投入的方案。供冷价格的构成除初期的投资外，还包括能源成本、人工等，随着系统建设的推进，还应当包括后期的投资。除初期投资成本是固定值以外，其他成本均有可能发生变化，从公平的角度来看，供冷价格不应该是一成不变的。因此，《办法》第39条明确了当水、电力、蒸汽等能源价格以及人力成本等其他经营成本发生显著变化时，用户可以向供冷单位提出调整供冷价格的书面申请。对于符合调整条件的，供冷单位应当予以受理，并启动价格双向调整机制。</w:t>
      </w:r>
    </w:p>
    <w:p>
      <w:pPr>
        <w:pStyle w:val="10"/>
        <w:numPr>
          <w:ilvl w:val="0"/>
          <w:numId w:val="2"/>
        </w:numPr>
        <w:spacing w:line="560" w:lineRule="exact"/>
        <w:ind w:left="0" w:firstLine="643"/>
        <w:rPr>
          <w:rFonts w:ascii="仿宋" w:hAnsi="仿宋" w:eastAsia="仿宋"/>
          <w:sz w:val="32"/>
          <w:szCs w:val="32"/>
        </w:rPr>
      </w:pPr>
      <w:r>
        <w:rPr>
          <w:rFonts w:hint="eastAsia" w:ascii="仿宋" w:hAnsi="仿宋" w:eastAsia="仿宋"/>
          <w:b/>
          <w:sz w:val="32"/>
          <w:szCs w:val="32"/>
        </w:rPr>
        <w:t>加强对区域集中供冷系统的节能管理。</w:t>
      </w:r>
      <w:r>
        <w:rPr>
          <w:rFonts w:hint="eastAsia" w:ascii="仿宋" w:hAnsi="仿宋" w:eastAsia="仿宋"/>
          <w:sz w:val="32"/>
          <w:szCs w:val="32"/>
        </w:rPr>
        <w:t>节能是区域集中供冷系统相对常规空调系统的一大优势。如果在建设与运营阶段不对区域集中供冷系统进行有效的节能管理，区域集中供冷系统节能的优势未必能得到充分发挥。因此，如何通过制度设计促使供冷单位加强系统的节能管理也是《办法》起草中需要重点解决的问题。鉴于此，《办法》第25条，明确了区域集中供冷系统的建设应当结合前海合作区周边能源条件，在确保可实施性的前提下采用能源综合利用技术；同时亦明确了区域集中供冷系统应当采用能源效率高、技术先进的设备。《办法》第29条，明确了供冷单位应当对区域集中供冷系统进行定期检修保养，确保不间断为用户提供安全、可靠和高效的区域集中供冷服务。《办法》第31条，明确了供冷单位应当在每年的第一季度向主管部门报告上一年度区域集中供冷系统的运营情况以及本年度的运营计划；供冷单位对区域集中供冷系统进行重大更新与节能改造应当向主管部门报告。《办法》第41条，供冷单位应当积极实施系统节能改造，降低污染物排放和能源消耗。通过以上制度的设计，对区域集中供冷系统从前期设计到后期的运营管理进行了全过程的节能监管。</w:t>
      </w:r>
    </w:p>
    <w:p>
      <w:pPr>
        <w:pStyle w:val="10"/>
        <w:numPr>
          <w:ilvl w:val="0"/>
          <w:numId w:val="2"/>
        </w:numPr>
        <w:spacing w:line="560" w:lineRule="exact"/>
        <w:ind w:left="0" w:firstLine="643"/>
        <w:rPr>
          <w:rFonts w:ascii="仿宋" w:hAnsi="仿宋" w:eastAsia="仿宋"/>
          <w:sz w:val="32"/>
          <w:szCs w:val="32"/>
        </w:rPr>
      </w:pPr>
      <w:r>
        <w:rPr>
          <w:rFonts w:hint="eastAsia" w:ascii="仿宋" w:hAnsi="仿宋" w:eastAsia="仿宋"/>
          <w:b/>
          <w:sz w:val="32"/>
          <w:szCs w:val="32"/>
        </w:rPr>
        <w:t>加强对供冷设施的保护，提供系统的可靠性。</w:t>
      </w:r>
      <w:r>
        <w:rPr>
          <w:rFonts w:hint="eastAsia" w:ascii="仿宋" w:hAnsi="仿宋" w:eastAsia="仿宋"/>
          <w:sz w:val="32"/>
          <w:szCs w:val="32"/>
        </w:rPr>
        <w:t>区域集中供冷系统为一个区域内的建筑的空调系统提供冷冻水，如果供冷设施遭到破坏，部分区域将会停止供冷，会产生较大的影响。鉴于此，《办法》加强了对供冷设施的保护，以提高区域集中供冷系统的可靠性。《办法》第33条对用户的行为进行了限制，以保护用冷建筑用地红线内的供冷设施；《办法》第4３条与第</w:t>
      </w:r>
      <w:r>
        <w:rPr>
          <w:rFonts w:hint="eastAsia" w:ascii="仿宋" w:hAnsi="仿宋" w:eastAsia="仿宋" w:cstheme="minorHAnsi"/>
          <w:sz w:val="32"/>
          <w:szCs w:val="32"/>
        </w:rPr>
        <w:t>4</w:t>
      </w:r>
      <w:r>
        <w:rPr>
          <w:rFonts w:ascii="仿宋" w:hAnsi="仿宋" w:eastAsia="仿宋" w:cstheme="minorHAnsi"/>
          <w:sz w:val="32"/>
          <w:szCs w:val="32"/>
        </w:rPr>
        <w:t>４</w:t>
      </w:r>
      <w:r>
        <w:rPr>
          <w:rFonts w:hint="eastAsia" w:ascii="仿宋" w:hAnsi="仿宋" w:eastAsia="仿宋"/>
          <w:sz w:val="32"/>
          <w:szCs w:val="32"/>
        </w:rPr>
        <w:t>条明确了供冷设施的保护措施。</w:t>
      </w:r>
    </w:p>
    <w:p>
      <w:pPr>
        <w:pStyle w:val="10"/>
        <w:numPr>
          <w:ilvl w:val="0"/>
          <w:numId w:val="2"/>
        </w:numPr>
        <w:spacing w:line="560" w:lineRule="exact"/>
        <w:ind w:left="0" w:firstLine="643"/>
        <w:rPr>
          <w:rFonts w:ascii="仿宋" w:hAnsi="仿宋" w:eastAsia="仿宋"/>
          <w:sz w:val="32"/>
          <w:szCs w:val="32"/>
        </w:rPr>
      </w:pPr>
      <w:r>
        <w:rPr>
          <w:rFonts w:hint="eastAsia" w:ascii="仿宋" w:hAnsi="仿宋" w:eastAsia="仿宋"/>
          <w:b/>
          <w:sz w:val="32"/>
          <w:szCs w:val="32"/>
        </w:rPr>
        <w:t>其他。</w:t>
      </w:r>
      <w:r>
        <w:rPr>
          <w:rFonts w:hint="eastAsia" w:ascii="仿宋" w:hAnsi="仿宋" w:eastAsia="仿宋"/>
          <w:sz w:val="32"/>
          <w:szCs w:val="32"/>
        </w:rPr>
        <w:t>除前述主要内容外，《办法》对区域集中供冷系统的规划、建设标准、供用冷合同、计量、供冷设施的改建拆除与迁移等问题也进行了规定。</w:t>
      </w:r>
    </w:p>
    <w:p>
      <w:pPr>
        <w:spacing w:before="156" w:beforeLines="50" w:line="560" w:lineRule="exact"/>
        <w:ind w:right="960"/>
        <w:rPr>
          <w:rFonts w:ascii="仿宋" w:hAnsi="仿宋" w:eastAsia="仿宋"/>
          <w:sz w:val="32"/>
          <w:szCs w:val="32"/>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42174"/>
    <w:multiLevelType w:val="multilevel"/>
    <w:tmpl w:val="1E142174"/>
    <w:lvl w:ilvl="0" w:tentative="0">
      <w:start w:val="1"/>
      <w:numFmt w:val="japaneseCounting"/>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33AE498D"/>
    <w:multiLevelType w:val="multilevel"/>
    <w:tmpl w:val="33AE498D"/>
    <w:lvl w:ilvl="0" w:tentative="0">
      <w:start w:val="1"/>
      <w:numFmt w:val="japaneseCounting"/>
      <w:lvlText w:val="（%1）"/>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58"/>
    <w:rsid w:val="00000BDE"/>
    <w:rsid w:val="0000107A"/>
    <w:rsid w:val="0000112E"/>
    <w:rsid w:val="00001A71"/>
    <w:rsid w:val="00002645"/>
    <w:rsid w:val="00002BDA"/>
    <w:rsid w:val="000036B4"/>
    <w:rsid w:val="00004C8C"/>
    <w:rsid w:val="00004D1A"/>
    <w:rsid w:val="00005250"/>
    <w:rsid w:val="00005275"/>
    <w:rsid w:val="00005732"/>
    <w:rsid w:val="0000596B"/>
    <w:rsid w:val="00005EB2"/>
    <w:rsid w:val="00006911"/>
    <w:rsid w:val="00006F3A"/>
    <w:rsid w:val="000070DE"/>
    <w:rsid w:val="00007585"/>
    <w:rsid w:val="000077A7"/>
    <w:rsid w:val="0000791F"/>
    <w:rsid w:val="0000794A"/>
    <w:rsid w:val="000105BF"/>
    <w:rsid w:val="00011509"/>
    <w:rsid w:val="00011B82"/>
    <w:rsid w:val="000127C8"/>
    <w:rsid w:val="00012D09"/>
    <w:rsid w:val="00012FBB"/>
    <w:rsid w:val="00013A3B"/>
    <w:rsid w:val="00013FF8"/>
    <w:rsid w:val="000140A1"/>
    <w:rsid w:val="000146B8"/>
    <w:rsid w:val="0001502A"/>
    <w:rsid w:val="00015687"/>
    <w:rsid w:val="00015B86"/>
    <w:rsid w:val="0001606A"/>
    <w:rsid w:val="000173AB"/>
    <w:rsid w:val="0001742A"/>
    <w:rsid w:val="00017DE7"/>
    <w:rsid w:val="00020EBF"/>
    <w:rsid w:val="00021316"/>
    <w:rsid w:val="00021D66"/>
    <w:rsid w:val="0002222C"/>
    <w:rsid w:val="000228EE"/>
    <w:rsid w:val="00022ACB"/>
    <w:rsid w:val="00024538"/>
    <w:rsid w:val="00024B4B"/>
    <w:rsid w:val="00024F0F"/>
    <w:rsid w:val="000256D7"/>
    <w:rsid w:val="000259BC"/>
    <w:rsid w:val="00025BDF"/>
    <w:rsid w:val="00025FE2"/>
    <w:rsid w:val="00026714"/>
    <w:rsid w:val="00026DA4"/>
    <w:rsid w:val="00027718"/>
    <w:rsid w:val="00027E07"/>
    <w:rsid w:val="00030360"/>
    <w:rsid w:val="0003073A"/>
    <w:rsid w:val="00033070"/>
    <w:rsid w:val="000344BC"/>
    <w:rsid w:val="00034F0F"/>
    <w:rsid w:val="000352D1"/>
    <w:rsid w:val="000361E0"/>
    <w:rsid w:val="000365D8"/>
    <w:rsid w:val="00036FB5"/>
    <w:rsid w:val="0003793B"/>
    <w:rsid w:val="00037C69"/>
    <w:rsid w:val="000402A8"/>
    <w:rsid w:val="000409A1"/>
    <w:rsid w:val="0004120C"/>
    <w:rsid w:val="0004190B"/>
    <w:rsid w:val="000440E9"/>
    <w:rsid w:val="00044CCD"/>
    <w:rsid w:val="00044D63"/>
    <w:rsid w:val="00045463"/>
    <w:rsid w:val="00045CD1"/>
    <w:rsid w:val="00045D29"/>
    <w:rsid w:val="0004629B"/>
    <w:rsid w:val="00047F08"/>
    <w:rsid w:val="00050263"/>
    <w:rsid w:val="00050AD9"/>
    <w:rsid w:val="00050D2C"/>
    <w:rsid w:val="00050DAF"/>
    <w:rsid w:val="00051C40"/>
    <w:rsid w:val="000525BF"/>
    <w:rsid w:val="00053858"/>
    <w:rsid w:val="00054202"/>
    <w:rsid w:val="00054A78"/>
    <w:rsid w:val="00054AFC"/>
    <w:rsid w:val="00055004"/>
    <w:rsid w:val="00055C4C"/>
    <w:rsid w:val="00056497"/>
    <w:rsid w:val="0005678C"/>
    <w:rsid w:val="00057208"/>
    <w:rsid w:val="00057C66"/>
    <w:rsid w:val="00060DE0"/>
    <w:rsid w:val="00061506"/>
    <w:rsid w:val="00061771"/>
    <w:rsid w:val="0006278E"/>
    <w:rsid w:val="00062B03"/>
    <w:rsid w:val="000637D0"/>
    <w:rsid w:val="000649F3"/>
    <w:rsid w:val="000668BF"/>
    <w:rsid w:val="00066A24"/>
    <w:rsid w:val="0006719B"/>
    <w:rsid w:val="00067B53"/>
    <w:rsid w:val="00070D3A"/>
    <w:rsid w:val="00071877"/>
    <w:rsid w:val="000723BF"/>
    <w:rsid w:val="00072F76"/>
    <w:rsid w:val="00073449"/>
    <w:rsid w:val="000738F3"/>
    <w:rsid w:val="00073C69"/>
    <w:rsid w:val="00073D0B"/>
    <w:rsid w:val="00074969"/>
    <w:rsid w:val="00074AFC"/>
    <w:rsid w:val="00075232"/>
    <w:rsid w:val="00075869"/>
    <w:rsid w:val="00075E7B"/>
    <w:rsid w:val="00076AEB"/>
    <w:rsid w:val="00080BC7"/>
    <w:rsid w:val="0008289A"/>
    <w:rsid w:val="0008430C"/>
    <w:rsid w:val="00084431"/>
    <w:rsid w:val="0008536C"/>
    <w:rsid w:val="00085708"/>
    <w:rsid w:val="00085A91"/>
    <w:rsid w:val="000867BE"/>
    <w:rsid w:val="00086C3B"/>
    <w:rsid w:val="0008708E"/>
    <w:rsid w:val="00087B44"/>
    <w:rsid w:val="00090514"/>
    <w:rsid w:val="00090B31"/>
    <w:rsid w:val="0009174F"/>
    <w:rsid w:val="00091E66"/>
    <w:rsid w:val="00092B09"/>
    <w:rsid w:val="00095176"/>
    <w:rsid w:val="000954FB"/>
    <w:rsid w:val="00095DD7"/>
    <w:rsid w:val="00096280"/>
    <w:rsid w:val="00096291"/>
    <w:rsid w:val="000962E6"/>
    <w:rsid w:val="0009712E"/>
    <w:rsid w:val="00097354"/>
    <w:rsid w:val="00097B4C"/>
    <w:rsid w:val="00097C98"/>
    <w:rsid w:val="00097FF6"/>
    <w:rsid w:val="000A10FE"/>
    <w:rsid w:val="000A1622"/>
    <w:rsid w:val="000A291A"/>
    <w:rsid w:val="000A3A24"/>
    <w:rsid w:val="000A3B30"/>
    <w:rsid w:val="000A4138"/>
    <w:rsid w:val="000A46AE"/>
    <w:rsid w:val="000A49BA"/>
    <w:rsid w:val="000A4C28"/>
    <w:rsid w:val="000A50B9"/>
    <w:rsid w:val="000A5C0A"/>
    <w:rsid w:val="000A6D8B"/>
    <w:rsid w:val="000A73A7"/>
    <w:rsid w:val="000A7850"/>
    <w:rsid w:val="000B0E00"/>
    <w:rsid w:val="000B287D"/>
    <w:rsid w:val="000B2A62"/>
    <w:rsid w:val="000B2B4F"/>
    <w:rsid w:val="000B3B0A"/>
    <w:rsid w:val="000B3CC3"/>
    <w:rsid w:val="000B4056"/>
    <w:rsid w:val="000B4618"/>
    <w:rsid w:val="000B54DC"/>
    <w:rsid w:val="000B6054"/>
    <w:rsid w:val="000B6196"/>
    <w:rsid w:val="000B6209"/>
    <w:rsid w:val="000B68AC"/>
    <w:rsid w:val="000B7359"/>
    <w:rsid w:val="000B767C"/>
    <w:rsid w:val="000B7CC8"/>
    <w:rsid w:val="000C080F"/>
    <w:rsid w:val="000C1CE3"/>
    <w:rsid w:val="000C21EF"/>
    <w:rsid w:val="000C2C24"/>
    <w:rsid w:val="000C378E"/>
    <w:rsid w:val="000C43E1"/>
    <w:rsid w:val="000C5EF3"/>
    <w:rsid w:val="000C6100"/>
    <w:rsid w:val="000C764D"/>
    <w:rsid w:val="000D07E6"/>
    <w:rsid w:val="000D12D1"/>
    <w:rsid w:val="000D16A5"/>
    <w:rsid w:val="000D175B"/>
    <w:rsid w:val="000D1AF8"/>
    <w:rsid w:val="000D1C37"/>
    <w:rsid w:val="000D1DED"/>
    <w:rsid w:val="000D230B"/>
    <w:rsid w:val="000D3E92"/>
    <w:rsid w:val="000D3FBD"/>
    <w:rsid w:val="000D41A9"/>
    <w:rsid w:val="000D4293"/>
    <w:rsid w:val="000D47C6"/>
    <w:rsid w:val="000D47C9"/>
    <w:rsid w:val="000D6BB7"/>
    <w:rsid w:val="000D6C01"/>
    <w:rsid w:val="000D6C56"/>
    <w:rsid w:val="000D70C3"/>
    <w:rsid w:val="000D7759"/>
    <w:rsid w:val="000D7DAC"/>
    <w:rsid w:val="000E06FB"/>
    <w:rsid w:val="000E0C11"/>
    <w:rsid w:val="000E154A"/>
    <w:rsid w:val="000E248A"/>
    <w:rsid w:val="000E2615"/>
    <w:rsid w:val="000E27DE"/>
    <w:rsid w:val="000E2CE7"/>
    <w:rsid w:val="000E37B0"/>
    <w:rsid w:val="000E4660"/>
    <w:rsid w:val="000E68F8"/>
    <w:rsid w:val="000F1BE0"/>
    <w:rsid w:val="000F1C3C"/>
    <w:rsid w:val="000F1DFF"/>
    <w:rsid w:val="000F279A"/>
    <w:rsid w:val="000F279C"/>
    <w:rsid w:val="000F31CE"/>
    <w:rsid w:val="000F3309"/>
    <w:rsid w:val="000F3F75"/>
    <w:rsid w:val="000F4550"/>
    <w:rsid w:val="000F487A"/>
    <w:rsid w:val="000F4C3A"/>
    <w:rsid w:val="000F56E9"/>
    <w:rsid w:val="000F5DD9"/>
    <w:rsid w:val="000F5F65"/>
    <w:rsid w:val="000F63EE"/>
    <w:rsid w:val="000F68F7"/>
    <w:rsid w:val="000F72DF"/>
    <w:rsid w:val="000F75B6"/>
    <w:rsid w:val="00100766"/>
    <w:rsid w:val="00100CE2"/>
    <w:rsid w:val="00101028"/>
    <w:rsid w:val="001013D9"/>
    <w:rsid w:val="00101A75"/>
    <w:rsid w:val="00102152"/>
    <w:rsid w:val="00102BCD"/>
    <w:rsid w:val="00103668"/>
    <w:rsid w:val="00103ECF"/>
    <w:rsid w:val="001046A8"/>
    <w:rsid w:val="0010496F"/>
    <w:rsid w:val="00104F27"/>
    <w:rsid w:val="001054DE"/>
    <w:rsid w:val="00105641"/>
    <w:rsid w:val="00105C7F"/>
    <w:rsid w:val="00105D27"/>
    <w:rsid w:val="001062D5"/>
    <w:rsid w:val="00106D2A"/>
    <w:rsid w:val="0010736A"/>
    <w:rsid w:val="001073B4"/>
    <w:rsid w:val="00107B11"/>
    <w:rsid w:val="00110502"/>
    <w:rsid w:val="00110778"/>
    <w:rsid w:val="00111B5E"/>
    <w:rsid w:val="0011255B"/>
    <w:rsid w:val="00112CE5"/>
    <w:rsid w:val="00113B59"/>
    <w:rsid w:val="001142A5"/>
    <w:rsid w:val="00115514"/>
    <w:rsid w:val="001155D3"/>
    <w:rsid w:val="00116542"/>
    <w:rsid w:val="00116DA0"/>
    <w:rsid w:val="00117CE9"/>
    <w:rsid w:val="00120AC5"/>
    <w:rsid w:val="00121E57"/>
    <w:rsid w:val="00122CDC"/>
    <w:rsid w:val="00123C54"/>
    <w:rsid w:val="00124067"/>
    <w:rsid w:val="001241B0"/>
    <w:rsid w:val="00127794"/>
    <w:rsid w:val="001277E2"/>
    <w:rsid w:val="001304DB"/>
    <w:rsid w:val="00130B3F"/>
    <w:rsid w:val="00131FBB"/>
    <w:rsid w:val="00135615"/>
    <w:rsid w:val="00135DC8"/>
    <w:rsid w:val="00136374"/>
    <w:rsid w:val="00136817"/>
    <w:rsid w:val="00136B60"/>
    <w:rsid w:val="001372DB"/>
    <w:rsid w:val="001376EC"/>
    <w:rsid w:val="00137882"/>
    <w:rsid w:val="00140716"/>
    <w:rsid w:val="00141BC3"/>
    <w:rsid w:val="00141DC3"/>
    <w:rsid w:val="00142783"/>
    <w:rsid w:val="00142D0E"/>
    <w:rsid w:val="00143028"/>
    <w:rsid w:val="00143A59"/>
    <w:rsid w:val="00143BB0"/>
    <w:rsid w:val="0014420B"/>
    <w:rsid w:val="0014456A"/>
    <w:rsid w:val="00144E4B"/>
    <w:rsid w:val="00145719"/>
    <w:rsid w:val="0014668D"/>
    <w:rsid w:val="00146873"/>
    <w:rsid w:val="00146E78"/>
    <w:rsid w:val="00147B05"/>
    <w:rsid w:val="00147EB8"/>
    <w:rsid w:val="001520ED"/>
    <w:rsid w:val="001541A7"/>
    <w:rsid w:val="00154293"/>
    <w:rsid w:val="0015466F"/>
    <w:rsid w:val="001548AE"/>
    <w:rsid w:val="00154983"/>
    <w:rsid w:val="00156323"/>
    <w:rsid w:val="001567A8"/>
    <w:rsid w:val="00156BAE"/>
    <w:rsid w:val="00156EB9"/>
    <w:rsid w:val="0015711C"/>
    <w:rsid w:val="00157219"/>
    <w:rsid w:val="001575E4"/>
    <w:rsid w:val="00157988"/>
    <w:rsid w:val="0016056A"/>
    <w:rsid w:val="0016060B"/>
    <w:rsid w:val="00161226"/>
    <w:rsid w:val="00162F5F"/>
    <w:rsid w:val="00162F69"/>
    <w:rsid w:val="0016337F"/>
    <w:rsid w:val="001637F2"/>
    <w:rsid w:val="00163E34"/>
    <w:rsid w:val="001652EE"/>
    <w:rsid w:val="00165976"/>
    <w:rsid w:val="00165BAA"/>
    <w:rsid w:val="00165FA0"/>
    <w:rsid w:val="00167C51"/>
    <w:rsid w:val="001701EC"/>
    <w:rsid w:val="00170BBC"/>
    <w:rsid w:val="00170EBF"/>
    <w:rsid w:val="00171019"/>
    <w:rsid w:val="001711F8"/>
    <w:rsid w:val="001728F3"/>
    <w:rsid w:val="00172A60"/>
    <w:rsid w:val="00172D3C"/>
    <w:rsid w:val="00172DED"/>
    <w:rsid w:val="00173043"/>
    <w:rsid w:val="0017383A"/>
    <w:rsid w:val="00173E7E"/>
    <w:rsid w:val="00173EDA"/>
    <w:rsid w:val="00174214"/>
    <w:rsid w:val="0017696F"/>
    <w:rsid w:val="00180036"/>
    <w:rsid w:val="00180D8A"/>
    <w:rsid w:val="00180DF1"/>
    <w:rsid w:val="001820DC"/>
    <w:rsid w:val="00182832"/>
    <w:rsid w:val="00183042"/>
    <w:rsid w:val="001833EE"/>
    <w:rsid w:val="001839C9"/>
    <w:rsid w:val="00184058"/>
    <w:rsid w:val="001847FB"/>
    <w:rsid w:val="00185117"/>
    <w:rsid w:val="0018570C"/>
    <w:rsid w:val="0018590C"/>
    <w:rsid w:val="001867B0"/>
    <w:rsid w:val="00187056"/>
    <w:rsid w:val="00187508"/>
    <w:rsid w:val="001904B1"/>
    <w:rsid w:val="001904F8"/>
    <w:rsid w:val="00190630"/>
    <w:rsid w:val="001916C7"/>
    <w:rsid w:val="00192DAD"/>
    <w:rsid w:val="00192E37"/>
    <w:rsid w:val="0019334F"/>
    <w:rsid w:val="00193600"/>
    <w:rsid w:val="00193A81"/>
    <w:rsid w:val="00193E85"/>
    <w:rsid w:val="001945D8"/>
    <w:rsid w:val="001947F2"/>
    <w:rsid w:val="001951FA"/>
    <w:rsid w:val="00195BBA"/>
    <w:rsid w:val="00196050"/>
    <w:rsid w:val="00196E51"/>
    <w:rsid w:val="001A017B"/>
    <w:rsid w:val="001A0648"/>
    <w:rsid w:val="001A15A5"/>
    <w:rsid w:val="001A1920"/>
    <w:rsid w:val="001A2AC8"/>
    <w:rsid w:val="001A2F0E"/>
    <w:rsid w:val="001A3C96"/>
    <w:rsid w:val="001A4378"/>
    <w:rsid w:val="001A43AF"/>
    <w:rsid w:val="001A43C4"/>
    <w:rsid w:val="001A4E87"/>
    <w:rsid w:val="001A52F0"/>
    <w:rsid w:val="001A6FAD"/>
    <w:rsid w:val="001A78CB"/>
    <w:rsid w:val="001B00D4"/>
    <w:rsid w:val="001B08FC"/>
    <w:rsid w:val="001B1A25"/>
    <w:rsid w:val="001B2748"/>
    <w:rsid w:val="001B2753"/>
    <w:rsid w:val="001B2938"/>
    <w:rsid w:val="001B29FC"/>
    <w:rsid w:val="001B3F08"/>
    <w:rsid w:val="001B409C"/>
    <w:rsid w:val="001B45D3"/>
    <w:rsid w:val="001B51C4"/>
    <w:rsid w:val="001B5841"/>
    <w:rsid w:val="001B61E4"/>
    <w:rsid w:val="001B6B8F"/>
    <w:rsid w:val="001B6D2A"/>
    <w:rsid w:val="001C044B"/>
    <w:rsid w:val="001C0A74"/>
    <w:rsid w:val="001C11E7"/>
    <w:rsid w:val="001C1C4B"/>
    <w:rsid w:val="001C2131"/>
    <w:rsid w:val="001C32C3"/>
    <w:rsid w:val="001C3A53"/>
    <w:rsid w:val="001C40EF"/>
    <w:rsid w:val="001C427C"/>
    <w:rsid w:val="001C4703"/>
    <w:rsid w:val="001C4B3F"/>
    <w:rsid w:val="001C60CE"/>
    <w:rsid w:val="001C6273"/>
    <w:rsid w:val="001C6290"/>
    <w:rsid w:val="001C6B5A"/>
    <w:rsid w:val="001C7FBC"/>
    <w:rsid w:val="001D0153"/>
    <w:rsid w:val="001D04C7"/>
    <w:rsid w:val="001D0690"/>
    <w:rsid w:val="001D1764"/>
    <w:rsid w:val="001D1FC9"/>
    <w:rsid w:val="001D2530"/>
    <w:rsid w:val="001D25E2"/>
    <w:rsid w:val="001D3CC8"/>
    <w:rsid w:val="001D46D3"/>
    <w:rsid w:val="001D4883"/>
    <w:rsid w:val="001D52B7"/>
    <w:rsid w:val="001D6002"/>
    <w:rsid w:val="001D6535"/>
    <w:rsid w:val="001D6981"/>
    <w:rsid w:val="001D7FF0"/>
    <w:rsid w:val="001E032E"/>
    <w:rsid w:val="001E1463"/>
    <w:rsid w:val="001E189B"/>
    <w:rsid w:val="001E258D"/>
    <w:rsid w:val="001E29EE"/>
    <w:rsid w:val="001E331A"/>
    <w:rsid w:val="001E4065"/>
    <w:rsid w:val="001E45E3"/>
    <w:rsid w:val="001E45EC"/>
    <w:rsid w:val="001E4694"/>
    <w:rsid w:val="001E4C82"/>
    <w:rsid w:val="001E4FF3"/>
    <w:rsid w:val="001E5092"/>
    <w:rsid w:val="001E59CB"/>
    <w:rsid w:val="001E5BFA"/>
    <w:rsid w:val="001E61DC"/>
    <w:rsid w:val="001E62C3"/>
    <w:rsid w:val="001E77CD"/>
    <w:rsid w:val="001F01E5"/>
    <w:rsid w:val="001F0CD1"/>
    <w:rsid w:val="001F1447"/>
    <w:rsid w:val="001F17BA"/>
    <w:rsid w:val="001F3573"/>
    <w:rsid w:val="001F400F"/>
    <w:rsid w:val="001F487A"/>
    <w:rsid w:val="001F489C"/>
    <w:rsid w:val="001F6A8E"/>
    <w:rsid w:val="001F6BFB"/>
    <w:rsid w:val="001F6C51"/>
    <w:rsid w:val="001F7586"/>
    <w:rsid w:val="001F787A"/>
    <w:rsid w:val="00201494"/>
    <w:rsid w:val="00201C59"/>
    <w:rsid w:val="00201CD0"/>
    <w:rsid w:val="0020261E"/>
    <w:rsid w:val="00202912"/>
    <w:rsid w:val="00204066"/>
    <w:rsid w:val="002048A2"/>
    <w:rsid w:val="00204C48"/>
    <w:rsid w:val="00205815"/>
    <w:rsid w:val="00205A9F"/>
    <w:rsid w:val="00206DB4"/>
    <w:rsid w:val="00210060"/>
    <w:rsid w:val="002101A5"/>
    <w:rsid w:val="0021028D"/>
    <w:rsid w:val="00210569"/>
    <w:rsid w:val="0021071F"/>
    <w:rsid w:val="00211C08"/>
    <w:rsid w:val="0021333B"/>
    <w:rsid w:val="002133F3"/>
    <w:rsid w:val="00213A7B"/>
    <w:rsid w:val="002142CA"/>
    <w:rsid w:val="0021456C"/>
    <w:rsid w:val="00215031"/>
    <w:rsid w:val="002151C7"/>
    <w:rsid w:val="00215627"/>
    <w:rsid w:val="00215F51"/>
    <w:rsid w:val="002165A6"/>
    <w:rsid w:val="0021693E"/>
    <w:rsid w:val="00217620"/>
    <w:rsid w:val="002211C1"/>
    <w:rsid w:val="00221B0B"/>
    <w:rsid w:val="00222F1C"/>
    <w:rsid w:val="002239B9"/>
    <w:rsid w:val="0022426D"/>
    <w:rsid w:val="0022439D"/>
    <w:rsid w:val="002249CE"/>
    <w:rsid w:val="00224A1F"/>
    <w:rsid w:val="00224F8C"/>
    <w:rsid w:val="0022580C"/>
    <w:rsid w:val="00225A55"/>
    <w:rsid w:val="00225C66"/>
    <w:rsid w:val="002262DF"/>
    <w:rsid w:val="00226B48"/>
    <w:rsid w:val="002274A9"/>
    <w:rsid w:val="00230E88"/>
    <w:rsid w:val="00230FEA"/>
    <w:rsid w:val="0023220E"/>
    <w:rsid w:val="0023240D"/>
    <w:rsid w:val="00232479"/>
    <w:rsid w:val="00232B0A"/>
    <w:rsid w:val="00233178"/>
    <w:rsid w:val="00234771"/>
    <w:rsid w:val="002365E5"/>
    <w:rsid w:val="00240BBE"/>
    <w:rsid w:val="00241A19"/>
    <w:rsid w:val="00241AE8"/>
    <w:rsid w:val="00241CA9"/>
    <w:rsid w:val="00241FB4"/>
    <w:rsid w:val="002432FA"/>
    <w:rsid w:val="002434A5"/>
    <w:rsid w:val="00243DB6"/>
    <w:rsid w:val="00246494"/>
    <w:rsid w:val="00250165"/>
    <w:rsid w:val="0025188A"/>
    <w:rsid w:val="00251972"/>
    <w:rsid w:val="00252372"/>
    <w:rsid w:val="00253559"/>
    <w:rsid w:val="002536EC"/>
    <w:rsid w:val="0025402A"/>
    <w:rsid w:val="002547C2"/>
    <w:rsid w:val="00254A24"/>
    <w:rsid w:val="00254F9A"/>
    <w:rsid w:val="00255429"/>
    <w:rsid w:val="00255C4C"/>
    <w:rsid w:val="00256101"/>
    <w:rsid w:val="002568CD"/>
    <w:rsid w:val="0025707E"/>
    <w:rsid w:val="00260C31"/>
    <w:rsid w:val="00260F6D"/>
    <w:rsid w:val="00261898"/>
    <w:rsid w:val="00262305"/>
    <w:rsid w:val="002627D6"/>
    <w:rsid w:val="002637C0"/>
    <w:rsid w:val="002639E9"/>
    <w:rsid w:val="00263D32"/>
    <w:rsid w:val="00263DE8"/>
    <w:rsid w:val="00263E46"/>
    <w:rsid w:val="00264B0E"/>
    <w:rsid w:val="00264D68"/>
    <w:rsid w:val="002652D1"/>
    <w:rsid w:val="002654F0"/>
    <w:rsid w:val="00266024"/>
    <w:rsid w:val="002664A9"/>
    <w:rsid w:val="00267AEF"/>
    <w:rsid w:val="00270158"/>
    <w:rsid w:val="00270405"/>
    <w:rsid w:val="002704A2"/>
    <w:rsid w:val="00270A97"/>
    <w:rsid w:val="002713FA"/>
    <w:rsid w:val="00271649"/>
    <w:rsid w:val="00271808"/>
    <w:rsid w:val="002734D0"/>
    <w:rsid w:val="002735BC"/>
    <w:rsid w:val="00274A67"/>
    <w:rsid w:val="002752B5"/>
    <w:rsid w:val="002755D0"/>
    <w:rsid w:val="00275CD2"/>
    <w:rsid w:val="00276203"/>
    <w:rsid w:val="00276DAE"/>
    <w:rsid w:val="00276E13"/>
    <w:rsid w:val="0027715B"/>
    <w:rsid w:val="00280602"/>
    <w:rsid w:val="00280C0D"/>
    <w:rsid w:val="00281A26"/>
    <w:rsid w:val="00281CAA"/>
    <w:rsid w:val="00281CDE"/>
    <w:rsid w:val="002821BB"/>
    <w:rsid w:val="00282295"/>
    <w:rsid w:val="0028327E"/>
    <w:rsid w:val="0028510C"/>
    <w:rsid w:val="00285AAE"/>
    <w:rsid w:val="002862DF"/>
    <w:rsid w:val="00290EEC"/>
    <w:rsid w:val="00291080"/>
    <w:rsid w:val="00291303"/>
    <w:rsid w:val="002917E3"/>
    <w:rsid w:val="00293151"/>
    <w:rsid w:val="00293C81"/>
    <w:rsid w:val="002946A0"/>
    <w:rsid w:val="00295414"/>
    <w:rsid w:val="002958D9"/>
    <w:rsid w:val="002960D0"/>
    <w:rsid w:val="00296245"/>
    <w:rsid w:val="00296248"/>
    <w:rsid w:val="00296DA3"/>
    <w:rsid w:val="002974C0"/>
    <w:rsid w:val="00297957"/>
    <w:rsid w:val="002A07DB"/>
    <w:rsid w:val="002A0B2A"/>
    <w:rsid w:val="002A0F81"/>
    <w:rsid w:val="002A1941"/>
    <w:rsid w:val="002A1EEB"/>
    <w:rsid w:val="002A27A7"/>
    <w:rsid w:val="002A2C36"/>
    <w:rsid w:val="002A3DA9"/>
    <w:rsid w:val="002A42B4"/>
    <w:rsid w:val="002A43A9"/>
    <w:rsid w:val="002A4FF9"/>
    <w:rsid w:val="002A53C3"/>
    <w:rsid w:val="002A564E"/>
    <w:rsid w:val="002A5785"/>
    <w:rsid w:val="002A67E7"/>
    <w:rsid w:val="002A77EA"/>
    <w:rsid w:val="002B0308"/>
    <w:rsid w:val="002B141E"/>
    <w:rsid w:val="002B21BA"/>
    <w:rsid w:val="002B22C3"/>
    <w:rsid w:val="002B2E04"/>
    <w:rsid w:val="002B33E2"/>
    <w:rsid w:val="002B42FE"/>
    <w:rsid w:val="002B459D"/>
    <w:rsid w:val="002B4800"/>
    <w:rsid w:val="002B4849"/>
    <w:rsid w:val="002B55F7"/>
    <w:rsid w:val="002B5C0B"/>
    <w:rsid w:val="002B625E"/>
    <w:rsid w:val="002B67EC"/>
    <w:rsid w:val="002B681F"/>
    <w:rsid w:val="002B6A83"/>
    <w:rsid w:val="002B79DA"/>
    <w:rsid w:val="002C0509"/>
    <w:rsid w:val="002C3DD4"/>
    <w:rsid w:val="002C4957"/>
    <w:rsid w:val="002C5495"/>
    <w:rsid w:val="002C55D8"/>
    <w:rsid w:val="002C5601"/>
    <w:rsid w:val="002C5700"/>
    <w:rsid w:val="002C57E3"/>
    <w:rsid w:val="002C64C9"/>
    <w:rsid w:val="002C7A5E"/>
    <w:rsid w:val="002C7D60"/>
    <w:rsid w:val="002D0D6B"/>
    <w:rsid w:val="002D11A9"/>
    <w:rsid w:val="002D2EF4"/>
    <w:rsid w:val="002D3196"/>
    <w:rsid w:val="002D328D"/>
    <w:rsid w:val="002D3EDC"/>
    <w:rsid w:val="002D4170"/>
    <w:rsid w:val="002D497E"/>
    <w:rsid w:val="002D5059"/>
    <w:rsid w:val="002D52C8"/>
    <w:rsid w:val="002D6FFA"/>
    <w:rsid w:val="002E0F9E"/>
    <w:rsid w:val="002E1972"/>
    <w:rsid w:val="002E1A64"/>
    <w:rsid w:val="002E26F1"/>
    <w:rsid w:val="002E2CF0"/>
    <w:rsid w:val="002E3652"/>
    <w:rsid w:val="002E4499"/>
    <w:rsid w:val="002E4A26"/>
    <w:rsid w:val="002E7962"/>
    <w:rsid w:val="002E7E49"/>
    <w:rsid w:val="002F0589"/>
    <w:rsid w:val="002F0E83"/>
    <w:rsid w:val="002F14F5"/>
    <w:rsid w:val="002F460B"/>
    <w:rsid w:val="002F46ED"/>
    <w:rsid w:val="002F49BB"/>
    <w:rsid w:val="002F4EC0"/>
    <w:rsid w:val="002F507A"/>
    <w:rsid w:val="002F5352"/>
    <w:rsid w:val="002F5507"/>
    <w:rsid w:val="002F6127"/>
    <w:rsid w:val="002F618D"/>
    <w:rsid w:val="002F6981"/>
    <w:rsid w:val="002F6C64"/>
    <w:rsid w:val="002F77AC"/>
    <w:rsid w:val="002F7897"/>
    <w:rsid w:val="002F79D4"/>
    <w:rsid w:val="002F7D74"/>
    <w:rsid w:val="002F7D92"/>
    <w:rsid w:val="003002FD"/>
    <w:rsid w:val="0030043F"/>
    <w:rsid w:val="003005E5"/>
    <w:rsid w:val="00300C2A"/>
    <w:rsid w:val="003011AE"/>
    <w:rsid w:val="00301AC1"/>
    <w:rsid w:val="00302286"/>
    <w:rsid w:val="00302552"/>
    <w:rsid w:val="00302EF7"/>
    <w:rsid w:val="0030359F"/>
    <w:rsid w:val="00304DED"/>
    <w:rsid w:val="00305380"/>
    <w:rsid w:val="003057BD"/>
    <w:rsid w:val="00305B8B"/>
    <w:rsid w:val="00306BAD"/>
    <w:rsid w:val="00307D39"/>
    <w:rsid w:val="00307EB6"/>
    <w:rsid w:val="00310399"/>
    <w:rsid w:val="003103D5"/>
    <w:rsid w:val="00310591"/>
    <w:rsid w:val="0031089E"/>
    <w:rsid w:val="003128E0"/>
    <w:rsid w:val="003132A1"/>
    <w:rsid w:val="00313EEB"/>
    <w:rsid w:val="00313F13"/>
    <w:rsid w:val="00313F87"/>
    <w:rsid w:val="00313FC1"/>
    <w:rsid w:val="00314363"/>
    <w:rsid w:val="003143C0"/>
    <w:rsid w:val="0031544D"/>
    <w:rsid w:val="00316DDB"/>
    <w:rsid w:val="0032030C"/>
    <w:rsid w:val="00320436"/>
    <w:rsid w:val="003213F1"/>
    <w:rsid w:val="00321649"/>
    <w:rsid w:val="00322016"/>
    <w:rsid w:val="00323B41"/>
    <w:rsid w:val="00323E47"/>
    <w:rsid w:val="00324C36"/>
    <w:rsid w:val="003253C6"/>
    <w:rsid w:val="003261CF"/>
    <w:rsid w:val="00326748"/>
    <w:rsid w:val="00326E87"/>
    <w:rsid w:val="00327317"/>
    <w:rsid w:val="0032742F"/>
    <w:rsid w:val="003279D6"/>
    <w:rsid w:val="00330BAA"/>
    <w:rsid w:val="00331358"/>
    <w:rsid w:val="0033168C"/>
    <w:rsid w:val="00332190"/>
    <w:rsid w:val="0033222D"/>
    <w:rsid w:val="0033227C"/>
    <w:rsid w:val="00332501"/>
    <w:rsid w:val="0033263A"/>
    <w:rsid w:val="003333F4"/>
    <w:rsid w:val="003339F1"/>
    <w:rsid w:val="00333F4A"/>
    <w:rsid w:val="00334467"/>
    <w:rsid w:val="00335754"/>
    <w:rsid w:val="0033649C"/>
    <w:rsid w:val="0033661B"/>
    <w:rsid w:val="00337F9A"/>
    <w:rsid w:val="00340D3F"/>
    <w:rsid w:val="00340E35"/>
    <w:rsid w:val="003414BF"/>
    <w:rsid w:val="003425B0"/>
    <w:rsid w:val="00342DB0"/>
    <w:rsid w:val="0034301D"/>
    <w:rsid w:val="003431B3"/>
    <w:rsid w:val="00344020"/>
    <w:rsid w:val="003451E2"/>
    <w:rsid w:val="003454BE"/>
    <w:rsid w:val="00345EBF"/>
    <w:rsid w:val="0034645F"/>
    <w:rsid w:val="00346959"/>
    <w:rsid w:val="00346AEF"/>
    <w:rsid w:val="00346C16"/>
    <w:rsid w:val="00347BAC"/>
    <w:rsid w:val="003501E5"/>
    <w:rsid w:val="00350A15"/>
    <w:rsid w:val="003518DB"/>
    <w:rsid w:val="00351BDE"/>
    <w:rsid w:val="00351CD1"/>
    <w:rsid w:val="003532B9"/>
    <w:rsid w:val="00353A3F"/>
    <w:rsid w:val="00354355"/>
    <w:rsid w:val="003544E7"/>
    <w:rsid w:val="0035475B"/>
    <w:rsid w:val="003553CE"/>
    <w:rsid w:val="00355890"/>
    <w:rsid w:val="0035591F"/>
    <w:rsid w:val="003564CD"/>
    <w:rsid w:val="003567D2"/>
    <w:rsid w:val="0035693C"/>
    <w:rsid w:val="00356A2F"/>
    <w:rsid w:val="00356E83"/>
    <w:rsid w:val="00360ECE"/>
    <w:rsid w:val="003613B6"/>
    <w:rsid w:val="00361448"/>
    <w:rsid w:val="003621DE"/>
    <w:rsid w:val="003628A3"/>
    <w:rsid w:val="00362CF8"/>
    <w:rsid w:val="003639CD"/>
    <w:rsid w:val="00363A77"/>
    <w:rsid w:val="00363F04"/>
    <w:rsid w:val="00363F57"/>
    <w:rsid w:val="00364634"/>
    <w:rsid w:val="00364DFF"/>
    <w:rsid w:val="00365551"/>
    <w:rsid w:val="00365B2B"/>
    <w:rsid w:val="00365C88"/>
    <w:rsid w:val="00365FF6"/>
    <w:rsid w:val="00367212"/>
    <w:rsid w:val="00367FC2"/>
    <w:rsid w:val="0037077F"/>
    <w:rsid w:val="00370C0A"/>
    <w:rsid w:val="00371BF6"/>
    <w:rsid w:val="003727A9"/>
    <w:rsid w:val="00372B29"/>
    <w:rsid w:val="00372B62"/>
    <w:rsid w:val="00373832"/>
    <w:rsid w:val="00374AFF"/>
    <w:rsid w:val="003757B0"/>
    <w:rsid w:val="00375EEA"/>
    <w:rsid w:val="00376150"/>
    <w:rsid w:val="003765C1"/>
    <w:rsid w:val="003773CA"/>
    <w:rsid w:val="0038149F"/>
    <w:rsid w:val="0038192F"/>
    <w:rsid w:val="0038245D"/>
    <w:rsid w:val="00382A5C"/>
    <w:rsid w:val="00382AA1"/>
    <w:rsid w:val="00382AC5"/>
    <w:rsid w:val="00382EDC"/>
    <w:rsid w:val="00383AFD"/>
    <w:rsid w:val="00383BF8"/>
    <w:rsid w:val="003840A4"/>
    <w:rsid w:val="00384FF8"/>
    <w:rsid w:val="00385037"/>
    <w:rsid w:val="0038509B"/>
    <w:rsid w:val="003853FF"/>
    <w:rsid w:val="00385D0F"/>
    <w:rsid w:val="00386611"/>
    <w:rsid w:val="00386B37"/>
    <w:rsid w:val="003873B0"/>
    <w:rsid w:val="00387527"/>
    <w:rsid w:val="003900A3"/>
    <w:rsid w:val="00390393"/>
    <w:rsid w:val="003909A8"/>
    <w:rsid w:val="00390DAF"/>
    <w:rsid w:val="003915A7"/>
    <w:rsid w:val="00392472"/>
    <w:rsid w:val="00392473"/>
    <w:rsid w:val="003925D3"/>
    <w:rsid w:val="00392E71"/>
    <w:rsid w:val="00393A0F"/>
    <w:rsid w:val="00393FEE"/>
    <w:rsid w:val="00394053"/>
    <w:rsid w:val="003947FA"/>
    <w:rsid w:val="0039529A"/>
    <w:rsid w:val="00395696"/>
    <w:rsid w:val="0039651A"/>
    <w:rsid w:val="0039684C"/>
    <w:rsid w:val="00396871"/>
    <w:rsid w:val="003968B2"/>
    <w:rsid w:val="00396B1D"/>
    <w:rsid w:val="0039798C"/>
    <w:rsid w:val="00397A93"/>
    <w:rsid w:val="003A019A"/>
    <w:rsid w:val="003A1AFF"/>
    <w:rsid w:val="003A294F"/>
    <w:rsid w:val="003A34A2"/>
    <w:rsid w:val="003A3BE0"/>
    <w:rsid w:val="003A575F"/>
    <w:rsid w:val="003A5810"/>
    <w:rsid w:val="003A67E5"/>
    <w:rsid w:val="003A702D"/>
    <w:rsid w:val="003B046B"/>
    <w:rsid w:val="003B10CF"/>
    <w:rsid w:val="003B1194"/>
    <w:rsid w:val="003B28CE"/>
    <w:rsid w:val="003B2C84"/>
    <w:rsid w:val="003B2E54"/>
    <w:rsid w:val="003B2E86"/>
    <w:rsid w:val="003B324A"/>
    <w:rsid w:val="003B3E2A"/>
    <w:rsid w:val="003B4541"/>
    <w:rsid w:val="003B48B5"/>
    <w:rsid w:val="003B49B1"/>
    <w:rsid w:val="003B5861"/>
    <w:rsid w:val="003B5E01"/>
    <w:rsid w:val="003B5E46"/>
    <w:rsid w:val="003B6338"/>
    <w:rsid w:val="003B79AB"/>
    <w:rsid w:val="003C0225"/>
    <w:rsid w:val="003C09E3"/>
    <w:rsid w:val="003C0AF2"/>
    <w:rsid w:val="003C0ECB"/>
    <w:rsid w:val="003C26E0"/>
    <w:rsid w:val="003C3849"/>
    <w:rsid w:val="003C3D88"/>
    <w:rsid w:val="003C5165"/>
    <w:rsid w:val="003C634E"/>
    <w:rsid w:val="003C6357"/>
    <w:rsid w:val="003C6539"/>
    <w:rsid w:val="003C6995"/>
    <w:rsid w:val="003C6FD6"/>
    <w:rsid w:val="003C7181"/>
    <w:rsid w:val="003C7981"/>
    <w:rsid w:val="003C7E37"/>
    <w:rsid w:val="003C7FCE"/>
    <w:rsid w:val="003D0BA9"/>
    <w:rsid w:val="003D0E54"/>
    <w:rsid w:val="003D1C90"/>
    <w:rsid w:val="003D207A"/>
    <w:rsid w:val="003D29C9"/>
    <w:rsid w:val="003D33F8"/>
    <w:rsid w:val="003D5547"/>
    <w:rsid w:val="003D579F"/>
    <w:rsid w:val="003D5A68"/>
    <w:rsid w:val="003D5AD3"/>
    <w:rsid w:val="003D630B"/>
    <w:rsid w:val="003D6606"/>
    <w:rsid w:val="003D6F2C"/>
    <w:rsid w:val="003D79A1"/>
    <w:rsid w:val="003E0AE7"/>
    <w:rsid w:val="003E18FB"/>
    <w:rsid w:val="003E1CE7"/>
    <w:rsid w:val="003E28B2"/>
    <w:rsid w:val="003E2D0F"/>
    <w:rsid w:val="003E3481"/>
    <w:rsid w:val="003E35AF"/>
    <w:rsid w:val="003E3EF4"/>
    <w:rsid w:val="003E623A"/>
    <w:rsid w:val="003E664C"/>
    <w:rsid w:val="003E6A59"/>
    <w:rsid w:val="003E6AE1"/>
    <w:rsid w:val="003E6F06"/>
    <w:rsid w:val="003E72AC"/>
    <w:rsid w:val="003E76C4"/>
    <w:rsid w:val="003F05AC"/>
    <w:rsid w:val="003F064D"/>
    <w:rsid w:val="003F09E5"/>
    <w:rsid w:val="003F0A6A"/>
    <w:rsid w:val="003F0DE4"/>
    <w:rsid w:val="003F15B7"/>
    <w:rsid w:val="003F161A"/>
    <w:rsid w:val="003F1AE6"/>
    <w:rsid w:val="003F245E"/>
    <w:rsid w:val="003F2816"/>
    <w:rsid w:val="003F284C"/>
    <w:rsid w:val="003F2D9D"/>
    <w:rsid w:val="003F3B9E"/>
    <w:rsid w:val="003F472C"/>
    <w:rsid w:val="003F624C"/>
    <w:rsid w:val="003F649C"/>
    <w:rsid w:val="003F73D2"/>
    <w:rsid w:val="003F7C46"/>
    <w:rsid w:val="00400454"/>
    <w:rsid w:val="00400517"/>
    <w:rsid w:val="00401D12"/>
    <w:rsid w:val="004021B0"/>
    <w:rsid w:val="00402C22"/>
    <w:rsid w:val="004032D1"/>
    <w:rsid w:val="00405825"/>
    <w:rsid w:val="00405B89"/>
    <w:rsid w:val="00405D67"/>
    <w:rsid w:val="004061D7"/>
    <w:rsid w:val="00406D62"/>
    <w:rsid w:val="00407B7F"/>
    <w:rsid w:val="00410453"/>
    <w:rsid w:val="00410DD5"/>
    <w:rsid w:val="00411320"/>
    <w:rsid w:val="00411844"/>
    <w:rsid w:val="00412176"/>
    <w:rsid w:val="00413C15"/>
    <w:rsid w:val="0041459B"/>
    <w:rsid w:val="00414DAC"/>
    <w:rsid w:val="00414E9B"/>
    <w:rsid w:val="00415067"/>
    <w:rsid w:val="004150AB"/>
    <w:rsid w:val="00415A9A"/>
    <w:rsid w:val="00415BB4"/>
    <w:rsid w:val="00416004"/>
    <w:rsid w:val="004162D0"/>
    <w:rsid w:val="00416354"/>
    <w:rsid w:val="004172ED"/>
    <w:rsid w:val="00417C12"/>
    <w:rsid w:val="00420860"/>
    <w:rsid w:val="00420CE9"/>
    <w:rsid w:val="00422B7D"/>
    <w:rsid w:val="00423412"/>
    <w:rsid w:val="00423AB3"/>
    <w:rsid w:val="00423C8B"/>
    <w:rsid w:val="00423E1F"/>
    <w:rsid w:val="00425292"/>
    <w:rsid w:val="00425358"/>
    <w:rsid w:val="00425B26"/>
    <w:rsid w:val="00425D69"/>
    <w:rsid w:val="00425E0D"/>
    <w:rsid w:val="00426D4A"/>
    <w:rsid w:val="004275F8"/>
    <w:rsid w:val="004304A3"/>
    <w:rsid w:val="0043139E"/>
    <w:rsid w:val="00431799"/>
    <w:rsid w:val="00431EC1"/>
    <w:rsid w:val="00432906"/>
    <w:rsid w:val="00432AF4"/>
    <w:rsid w:val="00433275"/>
    <w:rsid w:val="004336F3"/>
    <w:rsid w:val="004345EB"/>
    <w:rsid w:val="0043477A"/>
    <w:rsid w:val="00434FF5"/>
    <w:rsid w:val="004351C3"/>
    <w:rsid w:val="0043577E"/>
    <w:rsid w:val="00436F55"/>
    <w:rsid w:val="00437461"/>
    <w:rsid w:val="00440D26"/>
    <w:rsid w:val="00441217"/>
    <w:rsid w:val="00441500"/>
    <w:rsid w:val="00441C47"/>
    <w:rsid w:val="004421D7"/>
    <w:rsid w:val="0044287B"/>
    <w:rsid w:val="004428CF"/>
    <w:rsid w:val="00443808"/>
    <w:rsid w:val="00443F8F"/>
    <w:rsid w:val="00444D19"/>
    <w:rsid w:val="00444F83"/>
    <w:rsid w:val="004454A9"/>
    <w:rsid w:val="004467C3"/>
    <w:rsid w:val="004469D7"/>
    <w:rsid w:val="00446FD2"/>
    <w:rsid w:val="00447543"/>
    <w:rsid w:val="004477EB"/>
    <w:rsid w:val="004478D0"/>
    <w:rsid w:val="00447EDC"/>
    <w:rsid w:val="00450AC6"/>
    <w:rsid w:val="00451756"/>
    <w:rsid w:val="00453439"/>
    <w:rsid w:val="00453509"/>
    <w:rsid w:val="00453EFB"/>
    <w:rsid w:val="0045465B"/>
    <w:rsid w:val="00454766"/>
    <w:rsid w:val="00454F3D"/>
    <w:rsid w:val="00455649"/>
    <w:rsid w:val="00456ABC"/>
    <w:rsid w:val="00457081"/>
    <w:rsid w:val="004605F6"/>
    <w:rsid w:val="00460A4F"/>
    <w:rsid w:val="004618AA"/>
    <w:rsid w:val="004625DF"/>
    <w:rsid w:val="00462B9C"/>
    <w:rsid w:val="00462BC3"/>
    <w:rsid w:val="00463033"/>
    <w:rsid w:val="004647DF"/>
    <w:rsid w:val="004649D0"/>
    <w:rsid w:val="0046506E"/>
    <w:rsid w:val="00465FB6"/>
    <w:rsid w:val="00466AEF"/>
    <w:rsid w:val="00466BB9"/>
    <w:rsid w:val="004670BD"/>
    <w:rsid w:val="004702B0"/>
    <w:rsid w:val="00470391"/>
    <w:rsid w:val="004706E1"/>
    <w:rsid w:val="00471073"/>
    <w:rsid w:val="00471641"/>
    <w:rsid w:val="00471749"/>
    <w:rsid w:val="00471888"/>
    <w:rsid w:val="00471BA7"/>
    <w:rsid w:val="0047220A"/>
    <w:rsid w:val="00472BAA"/>
    <w:rsid w:val="00473822"/>
    <w:rsid w:val="00475AD0"/>
    <w:rsid w:val="00475BE3"/>
    <w:rsid w:val="00475DC2"/>
    <w:rsid w:val="004762A2"/>
    <w:rsid w:val="00476890"/>
    <w:rsid w:val="00477564"/>
    <w:rsid w:val="00477697"/>
    <w:rsid w:val="00477D27"/>
    <w:rsid w:val="00480E74"/>
    <w:rsid w:val="00481053"/>
    <w:rsid w:val="00481223"/>
    <w:rsid w:val="00481AA7"/>
    <w:rsid w:val="00481EA6"/>
    <w:rsid w:val="00482625"/>
    <w:rsid w:val="00483118"/>
    <w:rsid w:val="00483B7F"/>
    <w:rsid w:val="00484908"/>
    <w:rsid w:val="00484CA8"/>
    <w:rsid w:val="00484CE4"/>
    <w:rsid w:val="0048538A"/>
    <w:rsid w:val="00485474"/>
    <w:rsid w:val="004858F3"/>
    <w:rsid w:val="0049021E"/>
    <w:rsid w:val="0049026D"/>
    <w:rsid w:val="00490402"/>
    <w:rsid w:val="00492B28"/>
    <w:rsid w:val="004932F7"/>
    <w:rsid w:val="00493306"/>
    <w:rsid w:val="00493484"/>
    <w:rsid w:val="0049405F"/>
    <w:rsid w:val="004942E9"/>
    <w:rsid w:val="0049476C"/>
    <w:rsid w:val="004949D4"/>
    <w:rsid w:val="00494B4B"/>
    <w:rsid w:val="00494CDB"/>
    <w:rsid w:val="00494E82"/>
    <w:rsid w:val="004951F0"/>
    <w:rsid w:val="0049537B"/>
    <w:rsid w:val="00495E9A"/>
    <w:rsid w:val="00496B60"/>
    <w:rsid w:val="00496F38"/>
    <w:rsid w:val="00497CFF"/>
    <w:rsid w:val="004A0E0B"/>
    <w:rsid w:val="004A145B"/>
    <w:rsid w:val="004A1508"/>
    <w:rsid w:val="004A1F2C"/>
    <w:rsid w:val="004A2691"/>
    <w:rsid w:val="004A28DF"/>
    <w:rsid w:val="004A3A1E"/>
    <w:rsid w:val="004A45C8"/>
    <w:rsid w:val="004A4B9B"/>
    <w:rsid w:val="004A5AA6"/>
    <w:rsid w:val="004A5DA4"/>
    <w:rsid w:val="004A6B3F"/>
    <w:rsid w:val="004A6E73"/>
    <w:rsid w:val="004A6F4C"/>
    <w:rsid w:val="004A7535"/>
    <w:rsid w:val="004A7BF5"/>
    <w:rsid w:val="004B01DA"/>
    <w:rsid w:val="004B0BCA"/>
    <w:rsid w:val="004B0E2D"/>
    <w:rsid w:val="004B14B4"/>
    <w:rsid w:val="004B2376"/>
    <w:rsid w:val="004B26D0"/>
    <w:rsid w:val="004B2AF9"/>
    <w:rsid w:val="004B321E"/>
    <w:rsid w:val="004B4E39"/>
    <w:rsid w:val="004B592F"/>
    <w:rsid w:val="004B597D"/>
    <w:rsid w:val="004B62DD"/>
    <w:rsid w:val="004B677D"/>
    <w:rsid w:val="004B68CE"/>
    <w:rsid w:val="004B6A9C"/>
    <w:rsid w:val="004B73A3"/>
    <w:rsid w:val="004B74A1"/>
    <w:rsid w:val="004B7F46"/>
    <w:rsid w:val="004C0497"/>
    <w:rsid w:val="004C058D"/>
    <w:rsid w:val="004C07FF"/>
    <w:rsid w:val="004C0BB5"/>
    <w:rsid w:val="004C121B"/>
    <w:rsid w:val="004C1BDA"/>
    <w:rsid w:val="004C211B"/>
    <w:rsid w:val="004C25D7"/>
    <w:rsid w:val="004C29F4"/>
    <w:rsid w:val="004C40D6"/>
    <w:rsid w:val="004C41CA"/>
    <w:rsid w:val="004C4BF8"/>
    <w:rsid w:val="004C5971"/>
    <w:rsid w:val="004C7374"/>
    <w:rsid w:val="004C74FD"/>
    <w:rsid w:val="004D0965"/>
    <w:rsid w:val="004D0A7F"/>
    <w:rsid w:val="004D135E"/>
    <w:rsid w:val="004D1652"/>
    <w:rsid w:val="004D1655"/>
    <w:rsid w:val="004D1BAC"/>
    <w:rsid w:val="004D1EF4"/>
    <w:rsid w:val="004D5455"/>
    <w:rsid w:val="004D5F04"/>
    <w:rsid w:val="004D6097"/>
    <w:rsid w:val="004D65D3"/>
    <w:rsid w:val="004D6CAA"/>
    <w:rsid w:val="004D7110"/>
    <w:rsid w:val="004D7BD8"/>
    <w:rsid w:val="004E0560"/>
    <w:rsid w:val="004E0994"/>
    <w:rsid w:val="004E14E9"/>
    <w:rsid w:val="004E2B3B"/>
    <w:rsid w:val="004E2D75"/>
    <w:rsid w:val="004E353A"/>
    <w:rsid w:val="004E4058"/>
    <w:rsid w:val="004E471E"/>
    <w:rsid w:val="004E4D82"/>
    <w:rsid w:val="004E5A36"/>
    <w:rsid w:val="004E5ACD"/>
    <w:rsid w:val="004E68D7"/>
    <w:rsid w:val="004E70D8"/>
    <w:rsid w:val="004F0820"/>
    <w:rsid w:val="004F1B3B"/>
    <w:rsid w:val="004F1C84"/>
    <w:rsid w:val="004F1FD9"/>
    <w:rsid w:val="004F399E"/>
    <w:rsid w:val="004F4A1B"/>
    <w:rsid w:val="004F6CB7"/>
    <w:rsid w:val="004F6CC1"/>
    <w:rsid w:val="004F73F2"/>
    <w:rsid w:val="00500F37"/>
    <w:rsid w:val="005023FF"/>
    <w:rsid w:val="0050368C"/>
    <w:rsid w:val="005037B2"/>
    <w:rsid w:val="00503911"/>
    <w:rsid w:val="00504221"/>
    <w:rsid w:val="0050461D"/>
    <w:rsid w:val="00504990"/>
    <w:rsid w:val="005051B8"/>
    <w:rsid w:val="00505309"/>
    <w:rsid w:val="00505637"/>
    <w:rsid w:val="00505A43"/>
    <w:rsid w:val="00505CDD"/>
    <w:rsid w:val="00506758"/>
    <w:rsid w:val="005067F2"/>
    <w:rsid w:val="00507B92"/>
    <w:rsid w:val="005106EE"/>
    <w:rsid w:val="0051103B"/>
    <w:rsid w:val="005113DA"/>
    <w:rsid w:val="00511C26"/>
    <w:rsid w:val="00512FE6"/>
    <w:rsid w:val="005132A9"/>
    <w:rsid w:val="00515341"/>
    <w:rsid w:val="00515678"/>
    <w:rsid w:val="00515D5A"/>
    <w:rsid w:val="00515E36"/>
    <w:rsid w:val="00515E8D"/>
    <w:rsid w:val="00517F07"/>
    <w:rsid w:val="00520224"/>
    <w:rsid w:val="005209AA"/>
    <w:rsid w:val="00521083"/>
    <w:rsid w:val="00521187"/>
    <w:rsid w:val="0052149E"/>
    <w:rsid w:val="00521A33"/>
    <w:rsid w:val="00522156"/>
    <w:rsid w:val="00523510"/>
    <w:rsid w:val="00523C6C"/>
    <w:rsid w:val="005244AA"/>
    <w:rsid w:val="00524557"/>
    <w:rsid w:val="00525060"/>
    <w:rsid w:val="00527450"/>
    <w:rsid w:val="00530471"/>
    <w:rsid w:val="00530F3F"/>
    <w:rsid w:val="0053328A"/>
    <w:rsid w:val="00533371"/>
    <w:rsid w:val="00533BAC"/>
    <w:rsid w:val="00534ACB"/>
    <w:rsid w:val="00535676"/>
    <w:rsid w:val="005357A0"/>
    <w:rsid w:val="0053659F"/>
    <w:rsid w:val="00536FA9"/>
    <w:rsid w:val="00537A85"/>
    <w:rsid w:val="00540080"/>
    <w:rsid w:val="00540637"/>
    <w:rsid w:val="0054113E"/>
    <w:rsid w:val="005418AE"/>
    <w:rsid w:val="00541B00"/>
    <w:rsid w:val="0054377D"/>
    <w:rsid w:val="005447FE"/>
    <w:rsid w:val="00544BBC"/>
    <w:rsid w:val="00544E83"/>
    <w:rsid w:val="00545CD5"/>
    <w:rsid w:val="00545DD5"/>
    <w:rsid w:val="00545EDD"/>
    <w:rsid w:val="0054692B"/>
    <w:rsid w:val="00546ACF"/>
    <w:rsid w:val="005475BF"/>
    <w:rsid w:val="00547A80"/>
    <w:rsid w:val="00547FA8"/>
    <w:rsid w:val="00550AF8"/>
    <w:rsid w:val="0055190B"/>
    <w:rsid w:val="00551F96"/>
    <w:rsid w:val="005530EA"/>
    <w:rsid w:val="00554958"/>
    <w:rsid w:val="00554FE3"/>
    <w:rsid w:val="00555AC9"/>
    <w:rsid w:val="00555AE3"/>
    <w:rsid w:val="00555BF4"/>
    <w:rsid w:val="00556672"/>
    <w:rsid w:val="0055689C"/>
    <w:rsid w:val="00557093"/>
    <w:rsid w:val="005601B4"/>
    <w:rsid w:val="0056066E"/>
    <w:rsid w:val="005614D7"/>
    <w:rsid w:val="0056154C"/>
    <w:rsid w:val="005615E6"/>
    <w:rsid w:val="0056261F"/>
    <w:rsid w:val="005633E6"/>
    <w:rsid w:val="00563519"/>
    <w:rsid w:val="005637A0"/>
    <w:rsid w:val="00564431"/>
    <w:rsid w:val="00564B59"/>
    <w:rsid w:val="0056502C"/>
    <w:rsid w:val="00565C48"/>
    <w:rsid w:val="005660EA"/>
    <w:rsid w:val="00566267"/>
    <w:rsid w:val="005668E2"/>
    <w:rsid w:val="00566CCA"/>
    <w:rsid w:val="005675F6"/>
    <w:rsid w:val="0057061D"/>
    <w:rsid w:val="00570F91"/>
    <w:rsid w:val="00571416"/>
    <w:rsid w:val="005719A0"/>
    <w:rsid w:val="00571DFF"/>
    <w:rsid w:val="005727E5"/>
    <w:rsid w:val="00572A7D"/>
    <w:rsid w:val="00572D31"/>
    <w:rsid w:val="00572FE0"/>
    <w:rsid w:val="00573621"/>
    <w:rsid w:val="00574645"/>
    <w:rsid w:val="00574C41"/>
    <w:rsid w:val="00574D87"/>
    <w:rsid w:val="0057537A"/>
    <w:rsid w:val="00575CCB"/>
    <w:rsid w:val="00575D3C"/>
    <w:rsid w:val="00575D4B"/>
    <w:rsid w:val="005774DC"/>
    <w:rsid w:val="00580651"/>
    <w:rsid w:val="00580BDA"/>
    <w:rsid w:val="00581F64"/>
    <w:rsid w:val="005829FC"/>
    <w:rsid w:val="00583AA4"/>
    <w:rsid w:val="00583C2E"/>
    <w:rsid w:val="0058411F"/>
    <w:rsid w:val="005846B6"/>
    <w:rsid w:val="00584CBA"/>
    <w:rsid w:val="00584E24"/>
    <w:rsid w:val="005860F7"/>
    <w:rsid w:val="005902E5"/>
    <w:rsid w:val="005912F6"/>
    <w:rsid w:val="005924D2"/>
    <w:rsid w:val="0059250E"/>
    <w:rsid w:val="00594ABF"/>
    <w:rsid w:val="00594EF9"/>
    <w:rsid w:val="00595071"/>
    <w:rsid w:val="00595C5C"/>
    <w:rsid w:val="00596860"/>
    <w:rsid w:val="00596877"/>
    <w:rsid w:val="00596C97"/>
    <w:rsid w:val="005974E6"/>
    <w:rsid w:val="0059756E"/>
    <w:rsid w:val="005A0518"/>
    <w:rsid w:val="005A0E37"/>
    <w:rsid w:val="005A1BFE"/>
    <w:rsid w:val="005A1FA8"/>
    <w:rsid w:val="005A309E"/>
    <w:rsid w:val="005A384C"/>
    <w:rsid w:val="005A3A0F"/>
    <w:rsid w:val="005A4210"/>
    <w:rsid w:val="005A4401"/>
    <w:rsid w:val="005A516A"/>
    <w:rsid w:val="005A54A3"/>
    <w:rsid w:val="005A5FF6"/>
    <w:rsid w:val="005A68F8"/>
    <w:rsid w:val="005A69D4"/>
    <w:rsid w:val="005A6D54"/>
    <w:rsid w:val="005A7C79"/>
    <w:rsid w:val="005B04FA"/>
    <w:rsid w:val="005B0658"/>
    <w:rsid w:val="005B1415"/>
    <w:rsid w:val="005B197B"/>
    <w:rsid w:val="005B1CCA"/>
    <w:rsid w:val="005B2C48"/>
    <w:rsid w:val="005B2E56"/>
    <w:rsid w:val="005B3547"/>
    <w:rsid w:val="005B36C5"/>
    <w:rsid w:val="005B3919"/>
    <w:rsid w:val="005B3952"/>
    <w:rsid w:val="005B3D16"/>
    <w:rsid w:val="005B499D"/>
    <w:rsid w:val="005B4A7B"/>
    <w:rsid w:val="005B598D"/>
    <w:rsid w:val="005B616D"/>
    <w:rsid w:val="005B6625"/>
    <w:rsid w:val="005B674A"/>
    <w:rsid w:val="005B680A"/>
    <w:rsid w:val="005B6853"/>
    <w:rsid w:val="005B6997"/>
    <w:rsid w:val="005B7A48"/>
    <w:rsid w:val="005C05FC"/>
    <w:rsid w:val="005C0BBD"/>
    <w:rsid w:val="005C0DB8"/>
    <w:rsid w:val="005C0EDC"/>
    <w:rsid w:val="005C1D9B"/>
    <w:rsid w:val="005C2B1A"/>
    <w:rsid w:val="005C2E0E"/>
    <w:rsid w:val="005C2F2A"/>
    <w:rsid w:val="005C3BA4"/>
    <w:rsid w:val="005C4408"/>
    <w:rsid w:val="005C4DE0"/>
    <w:rsid w:val="005C4FF2"/>
    <w:rsid w:val="005C5C14"/>
    <w:rsid w:val="005C5C29"/>
    <w:rsid w:val="005C5CF0"/>
    <w:rsid w:val="005C61FD"/>
    <w:rsid w:val="005C62A9"/>
    <w:rsid w:val="005C69A8"/>
    <w:rsid w:val="005C7FD9"/>
    <w:rsid w:val="005D050F"/>
    <w:rsid w:val="005D07A5"/>
    <w:rsid w:val="005D2826"/>
    <w:rsid w:val="005D3032"/>
    <w:rsid w:val="005D34E8"/>
    <w:rsid w:val="005D3807"/>
    <w:rsid w:val="005D427F"/>
    <w:rsid w:val="005D569A"/>
    <w:rsid w:val="005D56CD"/>
    <w:rsid w:val="005D59D7"/>
    <w:rsid w:val="005D60A1"/>
    <w:rsid w:val="005D6131"/>
    <w:rsid w:val="005D68BA"/>
    <w:rsid w:val="005D6CE7"/>
    <w:rsid w:val="005D6F37"/>
    <w:rsid w:val="005D77AC"/>
    <w:rsid w:val="005E01EF"/>
    <w:rsid w:val="005E0571"/>
    <w:rsid w:val="005E1C0E"/>
    <w:rsid w:val="005E2378"/>
    <w:rsid w:val="005E3182"/>
    <w:rsid w:val="005E31F0"/>
    <w:rsid w:val="005E3720"/>
    <w:rsid w:val="005E3B9C"/>
    <w:rsid w:val="005E45BD"/>
    <w:rsid w:val="005E4DCC"/>
    <w:rsid w:val="005E574C"/>
    <w:rsid w:val="005E7675"/>
    <w:rsid w:val="005E78A5"/>
    <w:rsid w:val="005F00C3"/>
    <w:rsid w:val="005F093B"/>
    <w:rsid w:val="005F10AB"/>
    <w:rsid w:val="005F1DD4"/>
    <w:rsid w:val="005F204B"/>
    <w:rsid w:val="005F308B"/>
    <w:rsid w:val="005F317A"/>
    <w:rsid w:val="005F3614"/>
    <w:rsid w:val="005F3671"/>
    <w:rsid w:val="005F45CD"/>
    <w:rsid w:val="005F4C6E"/>
    <w:rsid w:val="005F52EE"/>
    <w:rsid w:val="005F5CF8"/>
    <w:rsid w:val="005F67BE"/>
    <w:rsid w:val="005F6C98"/>
    <w:rsid w:val="005F7042"/>
    <w:rsid w:val="005F7682"/>
    <w:rsid w:val="005F7BC5"/>
    <w:rsid w:val="005F7C8B"/>
    <w:rsid w:val="0060049A"/>
    <w:rsid w:val="006005D0"/>
    <w:rsid w:val="00600871"/>
    <w:rsid w:val="00600A02"/>
    <w:rsid w:val="00601390"/>
    <w:rsid w:val="00601DFF"/>
    <w:rsid w:val="00601EA0"/>
    <w:rsid w:val="00601ECD"/>
    <w:rsid w:val="006028A4"/>
    <w:rsid w:val="00603530"/>
    <w:rsid w:val="006040DE"/>
    <w:rsid w:val="00604701"/>
    <w:rsid w:val="00604C54"/>
    <w:rsid w:val="00605371"/>
    <w:rsid w:val="006055E1"/>
    <w:rsid w:val="006056B0"/>
    <w:rsid w:val="006066C5"/>
    <w:rsid w:val="00606739"/>
    <w:rsid w:val="00606AE0"/>
    <w:rsid w:val="006070FD"/>
    <w:rsid w:val="0060739C"/>
    <w:rsid w:val="00607EE6"/>
    <w:rsid w:val="00610424"/>
    <w:rsid w:val="006105BD"/>
    <w:rsid w:val="0061221B"/>
    <w:rsid w:val="00612D9F"/>
    <w:rsid w:val="00613216"/>
    <w:rsid w:val="00613239"/>
    <w:rsid w:val="006136E7"/>
    <w:rsid w:val="006136F1"/>
    <w:rsid w:val="00613E47"/>
    <w:rsid w:val="00614207"/>
    <w:rsid w:val="00614972"/>
    <w:rsid w:val="00614D56"/>
    <w:rsid w:val="0061688B"/>
    <w:rsid w:val="00616B04"/>
    <w:rsid w:val="00617915"/>
    <w:rsid w:val="00620AC3"/>
    <w:rsid w:val="00621366"/>
    <w:rsid w:val="00622285"/>
    <w:rsid w:val="00622DE7"/>
    <w:rsid w:val="00622FCA"/>
    <w:rsid w:val="0062335D"/>
    <w:rsid w:val="0062352E"/>
    <w:rsid w:val="00624A73"/>
    <w:rsid w:val="00626810"/>
    <w:rsid w:val="00626A08"/>
    <w:rsid w:val="00626A24"/>
    <w:rsid w:val="00626AA0"/>
    <w:rsid w:val="0063013A"/>
    <w:rsid w:val="00630E42"/>
    <w:rsid w:val="00631533"/>
    <w:rsid w:val="0063181A"/>
    <w:rsid w:val="00632786"/>
    <w:rsid w:val="00632B4E"/>
    <w:rsid w:val="00632BB0"/>
    <w:rsid w:val="006330AC"/>
    <w:rsid w:val="0063356E"/>
    <w:rsid w:val="006339A3"/>
    <w:rsid w:val="00633CDD"/>
    <w:rsid w:val="00634C00"/>
    <w:rsid w:val="0063503E"/>
    <w:rsid w:val="00635110"/>
    <w:rsid w:val="0063534D"/>
    <w:rsid w:val="006355AD"/>
    <w:rsid w:val="00635A4F"/>
    <w:rsid w:val="00636018"/>
    <w:rsid w:val="006364DB"/>
    <w:rsid w:val="00636C82"/>
    <w:rsid w:val="00636E4B"/>
    <w:rsid w:val="006371CB"/>
    <w:rsid w:val="00637701"/>
    <w:rsid w:val="00637B0A"/>
    <w:rsid w:val="00637C7C"/>
    <w:rsid w:val="0064078C"/>
    <w:rsid w:val="006417F5"/>
    <w:rsid w:val="00642A1C"/>
    <w:rsid w:val="0064341F"/>
    <w:rsid w:val="00643578"/>
    <w:rsid w:val="00645318"/>
    <w:rsid w:val="00645522"/>
    <w:rsid w:val="00645D9D"/>
    <w:rsid w:val="00645DF1"/>
    <w:rsid w:val="006502F9"/>
    <w:rsid w:val="006509E9"/>
    <w:rsid w:val="00651137"/>
    <w:rsid w:val="00652511"/>
    <w:rsid w:val="00652C53"/>
    <w:rsid w:val="00653B93"/>
    <w:rsid w:val="00654897"/>
    <w:rsid w:val="006551F9"/>
    <w:rsid w:val="00655803"/>
    <w:rsid w:val="00656188"/>
    <w:rsid w:val="006566B0"/>
    <w:rsid w:val="006601F8"/>
    <w:rsid w:val="006602DB"/>
    <w:rsid w:val="006604E5"/>
    <w:rsid w:val="00660D75"/>
    <w:rsid w:val="00660D98"/>
    <w:rsid w:val="00661FC3"/>
    <w:rsid w:val="00662389"/>
    <w:rsid w:val="00662910"/>
    <w:rsid w:val="0066310A"/>
    <w:rsid w:val="006631D5"/>
    <w:rsid w:val="00664532"/>
    <w:rsid w:val="006647FA"/>
    <w:rsid w:val="00664911"/>
    <w:rsid w:val="00664E42"/>
    <w:rsid w:val="00664EA4"/>
    <w:rsid w:val="00665BFC"/>
    <w:rsid w:val="0066659C"/>
    <w:rsid w:val="0066737F"/>
    <w:rsid w:val="00667C7C"/>
    <w:rsid w:val="00667D1F"/>
    <w:rsid w:val="00667E0C"/>
    <w:rsid w:val="00670781"/>
    <w:rsid w:val="00670B95"/>
    <w:rsid w:val="0067107C"/>
    <w:rsid w:val="00671482"/>
    <w:rsid w:val="006718ED"/>
    <w:rsid w:val="00671FF3"/>
    <w:rsid w:val="00672B1A"/>
    <w:rsid w:val="00673F8C"/>
    <w:rsid w:val="0067424E"/>
    <w:rsid w:val="00674465"/>
    <w:rsid w:val="0067459B"/>
    <w:rsid w:val="00675B59"/>
    <w:rsid w:val="006760E2"/>
    <w:rsid w:val="00676757"/>
    <w:rsid w:val="006806E0"/>
    <w:rsid w:val="00680BFF"/>
    <w:rsid w:val="00680ECF"/>
    <w:rsid w:val="00681087"/>
    <w:rsid w:val="0068189C"/>
    <w:rsid w:val="006819C5"/>
    <w:rsid w:val="006824F4"/>
    <w:rsid w:val="00682A56"/>
    <w:rsid w:val="00683026"/>
    <w:rsid w:val="00683EEE"/>
    <w:rsid w:val="006847F2"/>
    <w:rsid w:val="00684F74"/>
    <w:rsid w:val="0068692B"/>
    <w:rsid w:val="006871A4"/>
    <w:rsid w:val="00690010"/>
    <w:rsid w:val="0069086F"/>
    <w:rsid w:val="00690AFE"/>
    <w:rsid w:val="00690FA4"/>
    <w:rsid w:val="006931DB"/>
    <w:rsid w:val="006939A6"/>
    <w:rsid w:val="00693BEB"/>
    <w:rsid w:val="00696307"/>
    <w:rsid w:val="0069644E"/>
    <w:rsid w:val="0069707B"/>
    <w:rsid w:val="006A0843"/>
    <w:rsid w:val="006A16D5"/>
    <w:rsid w:val="006A1A07"/>
    <w:rsid w:val="006A2336"/>
    <w:rsid w:val="006A27B7"/>
    <w:rsid w:val="006A29C8"/>
    <w:rsid w:val="006A2A6E"/>
    <w:rsid w:val="006A2D33"/>
    <w:rsid w:val="006A310A"/>
    <w:rsid w:val="006A3250"/>
    <w:rsid w:val="006A445C"/>
    <w:rsid w:val="006A4536"/>
    <w:rsid w:val="006A4629"/>
    <w:rsid w:val="006A4924"/>
    <w:rsid w:val="006A4EB2"/>
    <w:rsid w:val="006A5C97"/>
    <w:rsid w:val="006A5E57"/>
    <w:rsid w:val="006A7100"/>
    <w:rsid w:val="006A77D5"/>
    <w:rsid w:val="006B0136"/>
    <w:rsid w:val="006B0763"/>
    <w:rsid w:val="006B0EE4"/>
    <w:rsid w:val="006B1BA1"/>
    <w:rsid w:val="006B1DCE"/>
    <w:rsid w:val="006B1E53"/>
    <w:rsid w:val="006B1EA7"/>
    <w:rsid w:val="006B32BB"/>
    <w:rsid w:val="006B3751"/>
    <w:rsid w:val="006B38B9"/>
    <w:rsid w:val="006B4D87"/>
    <w:rsid w:val="006B5D29"/>
    <w:rsid w:val="006B5ED1"/>
    <w:rsid w:val="006B6185"/>
    <w:rsid w:val="006B696B"/>
    <w:rsid w:val="006B766E"/>
    <w:rsid w:val="006C0A02"/>
    <w:rsid w:val="006C0A25"/>
    <w:rsid w:val="006C13FF"/>
    <w:rsid w:val="006C1685"/>
    <w:rsid w:val="006C1CEE"/>
    <w:rsid w:val="006C24E3"/>
    <w:rsid w:val="006C2FBD"/>
    <w:rsid w:val="006C3F96"/>
    <w:rsid w:val="006C404F"/>
    <w:rsid w:val="006C420E"/>
    <w:rsid w:val="006C4D16"/>
    <w:rsid w:val="006C4EDF"/>
    <w:rsid w:val="006C5FEC"/>
    <w:rsid w:val="006C6FB8"/>
    <w:rsid w:val="006C75B9"/>
    <w:rsid w:val="006C7B09"/>
    <w:rsid w:val="006D2682"/>
    <w:rsid w:val="006D35FC"/>
    <w:rsid w:val="006D4642"/>
    <w:rsid w:val="006D6309"/>
    <w:rsid w:val="006D6733"/>
    <w:rsid w:val="006D680D"/>
    <w:rsid w:val="006D6CC9"/>
    <w:rsid w:val="006D7330"/>
    <w:rsid w:val="006D7E1D"/>
    <w:rsid w:val="006E0D56"/>
    <w:rsid w:val="006E13A7"/>
    <w:rsid w:val="006E140F"/>
    <w:rsid w:val="006E1506"/>
    <w:rsid w:val="006E1740"/>
    <w:rsid w:val="006E1A29"/>
    <w:rsid w:val="006E1A89"/>
    <w:rsid w:val="006E3718"/>
    <w:rsid w:val="006E371A"/>
    <w:rsid w:val="006E47B0"/>
    <w:rsid w:val="006E4BA3"/>
    <w:rsid w:val="006E5355"/>
    <w:rsid w:val="006E5667"/>
    <w:rsid w:val="006E6F61"/>
    <w:rsid w:val="006F08AF"/>
    <w:rsid w:val="006F0BF0"/>
    <w:rsid w:val="006F1E7E"/>
    <w:rsid w:val="006F2B9D"/>
    <w:rsid w:val="006F2FB1"/>
    <w:rsid w:val="006F3875"/>
    <w:rsid w:val="006F3CBF"/>
    <w:rsid w:val="006F4388"/>
    <w:rsid w:val="006F56A9"/>
    <w:rsid w:val="006F59D3"/>
    <w:rsid w:val="006F6FCE"/>
    <w:rsid w:val="006F748A"/>
    <w:rsid w:val="006F7495"/>
    <w:rsid w:val="00700FC3"/>
    <w:rsid w:val="00702808"/>
    <w:rsid w:val="00703E5F"/>
    <w:rsid w:val="0070455F"/>
    <w:rsid w:val="00705A9E"/>
    <w:rsid w:val="00706788"/>
    <w:rsid w:val="00706F98"/>
    <w:rsid w:val="00711B2A"/>
    <w:rsid w:val="00711C14"/>
    <w:rsid w:val="00711DA4"/>
    <w:rsid w:val="00711DD7"/>
    <w:rsid w:val="007123AC"/>
    <w:rsid w:val="007125F3"/>
    <w:rsid w:val="007141AD"/>
    <w:rsid w:val="00714B46"/>
    <w:rsid w:val="00715075"/>
    <w:rsid w:val="00715F05"/>
    <w:rsid w:val="00715FE8"/>
    <w:rsid w:val="00716615"/>
    <w:rsid w:val="00716D7E"/>
    <w:rsid w:val="00716EF9"/>
    <w:rsid w:val="00717DEB"/>
    <w:rsid w:val="007200D6"/>
    <w:rsid w:val="00720C94"/>
    <w:rsid w:val="007211C5"/>
    <w:rsid w:val="00721D72"/>
    <w:rsid w:val="00722C3C"/>
    <w:rsid w:val="00722E5B"/>
    <w:rsid w:val="00723F41"/>
    <w:rsid w:val="0072440D"/>
    <w:rsid w:val="00726887"/>
    <w:rsid w:val="00727065"/>
    <w:rsid w:val="007277AD"/>
    <w:rsid w:val="00727E58"/>
    <w:rsid w:val="00730313"/>
    <w:rsid w:val="007307E3"/>
    <w:rsid w:val="00730A89"/>
    <w:rsid w:val="00731CEF"/>
    <w:rsid w:val="00731E5C"/>
    <w:rsid w:val="0073222E"/>
    <w:rsid w:val="007328C6"/>
    <w:rsid w:val="00733187"/>
    <w:rsid w:val="0073445D"/>
    <w:rsid w:val="00734ADA"/>
    <w:rsid w:val="0073557C"/>
    <w:rsid w:val="007358D7"/>
    <w:rsid w:val="007360A7"/>
    <w:rsid w:val="007375E6"/>
    <w:rsid w:val="00737875"/>
    <w:rsid w:val="00740168"/>
    <w:rsid w:val="007425C0"/>
    <w:rsid w:val="00742A70"/>
    <w:rsid w:val="00744599"/>
    <w:rsid w:val="00745264"/>
    <w:rsid w:val="00747AC6"/>
    <w:rsid w:val="00747C17"/>
    <w:rsid w:val="00747EF4"/>
    <w:rsid w:val="00747F37"/>
    <w:rsid w:val="007509AF"/>
    <w:rsid w:val="00752445"/>
    <w:rsid w:val="00753080"/>
    <w:rsid w:val="007531CC"/>
    <w:rsid w:val="0075348E"/>
    <w:rsid w:val="00754815"/>
    <w:rsid w:val="00754DD3"/>
    <w:rsid w:val="007574E3"/>
    <w:rsid w:val="007601F8"/>
    <w:rsid w:val="007603A9"/>
    <w:rsid w:val="0076084D"/>
    <w:rsid w:val="007609D2"/>
    <w:rsid w:val="007610E7"/>
    <w:rsid w:val="00761461"/>
    <w:rsid w:val="00761812"/>
    <w:rsid w:val="00762552"/>
    <w:rsid w:val="00762835"/>
    <w:rsid w:val="007629EB"/>
    <w:rsid w:val="00764310"/>
    <w:rsid w:val="0076450A"/>
    <w:rsid w:val="007646BB"/>
    <w:rsid w:val="00765AC1"/>
    <w:rsid w:val="00766BEF"/>
    <w:rsid w:val="00767245"/>
    <w:rsid w:val="00767D22"/>
    <w:rsid w:val="00767DB7"/>
    <w:rsid w:val="00771626"/>
    <w:rsid w:val="00771C6A"/>
    <w:rsid w:val="00773BBF"/>
    <w:rsid w:val="00774162"/>
    <w:rsid w:val="007742C8"/>
    <w:rsid w:val="007742E7"/>
    <w:rsid w:val="007749E4"/>
    <w:rsid w:val="007756D4"/>
    <w:rsid w:val="007758EB"/>
    <w:rsid w:val="00776BA6"/>
    <w:rsid w:val="00776CA8"/>
    <w:rsid w:val="00776ED8"/>
    <w:rsid w:val="00777A45"/>
    <w:rsid w:val="00777FE6"/>
    <w:rsid w:val="00780B11"/>
    <w:rsid w:val="007816B5"/>
    <w:rsid w:val="007817B4"/>
    <w:rsid w:val="0078188D"/>
    <w:rsid w:val="007818C3"/>
    <w:rsid w:val="00781F36"/>
    <w:rsid w:val="00783060"/>
    <w:rsid w:val="00783FA6"/>
    <w:rsid w:val="00784291"/>
    <w:rsid w:val="00784426"/>
    <w:rsid w:val="00784AAE"/>
    <w:rsid w:val="00784E15"/>
    <w:rsid w:val="0078587A"/>
    <w:rsid w:val="007863CE"/>
    <w:rsid w:val="0078661D"/>
    <w:rsid w:val="00787ED0"/>
    <w:rsid w:val="00791A8E"/>
    <w:rsid w:val="00791B0D"/>
    <w:rsid w:val="00792CB7"/>
    <w:rsid w:val="00793584"/>
    <w:rsid w:val="0079382C"/>
    <w:rsid w:val="00793F5D"/>
    <w:rsid w:val="00795331"/>
    <w:rsid w:val="00795477"/>
    <w:rsid w:val="00797B26"/>
    <w:rsid w:val="00797D52"/>
    <w:rsid w:val="00797FB0"/>
    <w:rsid w:val="007A0DFD"/>
    <w:rsid w:val="007A131B"/>
    <w:rsid w:val="007A1389"/>
    <w:rsid w:val="007A17A0"/>
    <w:rsid w:val="007A2C2F"/>
    <w:rsid w:val="007A30F7"/>
    <w:rsid w:val="007A3316"/>
    <w:rsid w:val="007A344E"/>
    <w:rsid w:val="007A3BFA"/>
    <w:rsid w:val="007A4322"/>
    <w:rsid w:val="007A48EB"/>
    <w:rsid w:val="007A618D"/>
    <w:rsid w:val="007A62F3"/>
    <w:rsid w:val="007A64F0"/>
    <w:rsid w:val="007A6745"/>
    <w:rsid w:val="007A6886"/>
    <w:rsid w:val="007A69F2"/>
    <w:rsid w:val="007A7E69"/>
    <w:rsid w:val="007B019C"/>
    <w:rsid w:val="007B0603"/>
    <w:rsid w:val="007B0FAF"/>
    <w:rsid w:val="007B214A"/>
    <w:rsid w:val="007B2ECC"/>
    <w:rsid w:val="007B3130"/>
    <w:rsid w:val="007B34A4"/>
    <w:rsid w:val="007B37A1"/>
    <w:rsid w:val="007B5C5A"/>
    <w:rsid w:val="007B64E9"/>
    <w:rsid w:val="007B76AB"/>
    <w:rsid w:val="007C0A0B"/>
    <w:rsid w:val="007C1151"/>
    <w:rsid w:val="007C11AC"/>
    <w:rsid w:val="007C1BCD"/>
    <w:rsid w:val="007C1EAE"/>
    <w:rsid w:val="007C261A"/>
    <w:rsid w:val="007C2CD6"/>
    <w:rsid w:val="007C3256"/>
    <w:rsid w:val="007C335F"/>
    <w:rsid w:val="007C3377"/>
    <w:rsid w:val="007C44F4"/>
    <w:rsid w:val="007C49C4"/>
    <w:rsid w:val="007C62C7"/>
    <w:rsid w:val="007C65E5"/>
    <w:rsid w:val="007C7104"/>
    <w:rsid w:val="007C725C"/>
    <w:rsid w:val="007C7649"/>
    <w:rsid w:val="007C781A"/>
    <w:rsid w:val="007C7AF2"/>
    <w:rsid w:val="007C7E79"/>
    <w:rsid w:val="007D073B"/>
    <w:rsid w:val="007D0840"/>
    <w:rsid w:val="007D1008"/>
    <w:rsid w:val="007D11F7"/>
    <w:rsid w:val="007D2A4D"/>
    <w:rsid w:val="007D2BA2"/>
    <w:rsid w:val="007D31C0"/>
    <w:rsid w:val="007D32F5"/>
    <w:rsid w:val="007D3A0A"/>
    <w:rsid w:val="007D561B"/>
    <w:rsid w:val="007D5956"/>
    <w:rsid w:val="007D5C35"/>
    <w:rsid w:val="007D5E60"/>
    <w:rsid w:val="007D61A1"/>
    <w:rsid w:val="007D69E1"/>
    <w:rsid w:val="007D6AE9"/>
    <w:rsid w:val="007D6B26"/>
    <w:rsid w:val="007D6F6F"/>
    <w:rsid w:val="007D75E3"/>
    <w:rsid w:val="007E121B"/>
    <w:rsid w:val="007E1903"/>
    <w:rsid w:val="007E1EFB"/>
    <w:rsid w:val="007E26AC"/>
    <w:rsid w:val="007E2D0C"/>
    <w:rsid w:val="007E32F5"/>
    <w:rsid w:val="007E4FFC"/>
    <w:rsid w:val="007E5A2F"/>
    <w:rsid w:val="007E60B6"/>
    <w:rsid w:val="007E65AC"/>
    <w:rsid w:val="007E7142"/>
    <w:rsid w:val="007E75B7"/>
    <w:rsid w:val="007E7AA5"/>
    <w:rsid w:val="007F071E"/>
    <w:rsid w:val="007F134A"/>
    <w:rsid w:val="007F297F"/>
    <w:rsid w:val="007F61EA"/>
    <w:rsid w:val="007F6D47"/>
    <w:rsid w:val="007F6F52"/>
    <w:rsid w:val="007F70AC"/>
    <w:rsid w:val="007F76E9"/>
    <w:rsid w:val="007F76FE"/>
    <w:rsid w:val="00800BBE"/>
    <w:rsid w:val="00802240"/>
    <w:rsid w:val="00802E50"/>
    <w:rsid w:val="00803C75"/>
    <w:rsid w:val="00803EA1"/>
    <w:rsid w:val="008044CE"/>
    <w:rsid w:val="00804971"/>
    <w:rsid w:val="00805160"/>
    <w:rsid w:val="008051A3"/>
    <w:rsid w:val="00805BCE"/>
    <w:rsid w:val="00806230"/>
    <w:rsid w:val="00806563"/>
    <w:rsid w:val="00806645"/>
    <w:rsid w:val="00806713"/>
    <w:rsid w:val="00806BC2"/>
    <w:rsid w:val="00807080"/>
    <w:rsid w:val="00810180"/>
    <w:rsid w:val="00812482"/>
    <w:rsid w:val="008133EF"/>
    <w:rsid w:val="008136F2"/>
    <w:rsid w:val="00813EAF"/>
    <w:rsid w:val="00814737"/>
    <w:rsid w:val="00814DF9"/>
    <w:rsid w:val="00815266"/>
    <w:rsid w:val="0081575A"/>
    <w:rsid w:val="00815F42"/>
    <w:rsid w:val="00816F0D"/>
    <w:rsid w:val="00816F62"/>
    <w:rsid w:val="00817096"/>
    <w:rsid w:val="0082050B"/>
    <w:rsid w:val="00820767"/>
    <w:rsid w:val="00821B4F"/>
    <w:rsid w:val="00821B98"/>
    <w:rsid w:val="00821FC1"/>
    <w:rsid w:val="0082384C"/>
    <w:rsid w:val="00823A46"/>
    <w:rsid w:val="00824B66"/>
    <w:rsid w:val="00825516"/>
    <w:rsid w:val="008265D0"/>
    <w:rsid w:val="00826B5B"/>
    <w:rsid w:val="00827317"/>
    <w:rsid w:val="008277C8"/>
    <w:rsid w:val="00827DF5"/>
    <w:rsid w:val="008305C7"/>
    <w:rsid w:val="00830738"/>
    <w:rsid w:val="0083095F"/>
    <w:rsid w:val="008309CC"/>
    <w:rsid w:val="008313EC"/>
    <w:rsid w:val="0083148C"/>
    <w:rsid w:val="00831B3D"/>
    <w:rsid w:val="00831F8F"/>
    <w:rsid w:val="00832922"/>
    <w:rsid w:val="00833BA7"/>
    <w:rsid w:val="00833E33"/>
    <w:rsid w:val="00834080"/>
    <w:rsid w:val="00834253"/>
    <w:rsid w:val="0083451C"/>
    <w:rsid w:val="00834DBF"/>
    <w:rsid w:val="00835260"/>
    <w:rsid w:val="008360DD"/>
    <w:rsid w:val="0083625F"/>
    <w:rsid w:val="00836381"/>
    <w:rsid w:val="00836C25"/>
    <w:rsid w:val="00840079"/>
    <w:rsid w:val="008411C6"/>
    <w:rsid w:val="00841393"/>
    <w:rsid w:val="008422EB"/>
    <w:rsid w:val="00842972"/>
    <w:rsid w:val="00842D3B"/>
    <w:rsid w:val="00842D60"/>
    <w:rsid w:val="008433A2"/>
    <w:rsid w:val="0084422A"/>
    <w:rsid w:val="0084511C"/>
    <w:rsid w:val="00847CB4"/>
    <w:rsid w:val="00850803"/>
    <w:rsid w:val="00851687"/>
    <w:rsid w:val="008524E7"/>
    <w:rsid w:val="008528A9"/>
    <w:rsid w:val="00852D04"/>
    <w:rsid w:val="00852F89"/>
    <w:rsid w:val="008540AF"/>
    <w:rsid w:val="00854195"/>
    <w:rsid w:val="008549CE"/>
    <w:rsid w:val="00854AA8"/>
    <w:rsid w:val="00854D42"/>
    <w:rsid w:val="00854DE8"/>
    <w:rsid w:val="008550CA"/>
    <w:rsid w:val="00855284"/>
    <w:rsid w:val="0085530D"/>
    <w:rsid w:val="00856406"/>
    <w:rsid w:val="0085693A"/>
    <w:rsid w:val="008579A9"/>
    <w:rsid w:val="00857FAB"/>
    <w:rsid w:val="0086013D"/>
    <w:rsid w:val="008605E1"/>
    <w:rsid w:val="00860A29"/>
    <w:rsid w:val="00861542"/>
    <w:rsid w:val="00862900"/>
    <w:rsid w:val="00862C5A"/>
    <w:rsid w:val="0086385F"/>
    <w:rsid w:val="00864225"/>
    <w:rsid w:val="00864388"/>
    <w:rsid w:val="00864530"/>
    <w:rsid w:val="00864FEE"/>
    <w:rsid w:val="0086613A"/>
    <w:rsid w:val="00866620"/>
    <w:rsid w:val="008669DE"/>
    <w:rsid w:val="0086753E"/>
    <w:rsid w:val="0086756F"/>
    <w:rsid w:val="00870398"/>
    <w:rsid w:val="008708C7"/>
    <w:rsid w:val="00870B9C"/>
    <w:rsid w:val="008715B5"/>
    <w:rsid w:val="00872648"/>
    <w:rsid w:val="0087269B"/>
    <w:rsid w:val="00874EC4"/>
    <w:rsid w:val="008757BE"/>
    <w:rsid w:val="00876028"/>
    <w:rsid w:val="008766F4"/>
    <w:rsid w:val="00877C43"/>
    <w:rsid w:val="008805FA"/>
    <w:rsid w:val="008807C1"/>
    <w:rsid w:val="00881714"/>
    <w:rsid w:val="00881790"/>
    <w:rsid w:val="008829A0"/>
    <w:rsid w:val="00882CB5"/>
    <w:rsid w:val="008842F7"/>
    <w:rsid w:val="00884EEC"/>
    <w:rsid w:val="00885094"/>
    <w:rsid w:val="008851A7"/>
    <w:rsid w:val="00886716"/>
    <w:rsid w:val="00886FC6"/>
    <w:rsid w:val="0089011F"/>
    <w:rsid w:val="00890BFB"/>
    <w:rsid w:val="00890F7B"/>
    <w:rsid w:val="00891E76"/>
    <w:rsid w:val="008923B5"/>
    <w:rsid w:val="00893596"/>
    <w:rsid w:val="00894BB2"/>
    <w:rsid w:val="008950E0"/>
    <w:rsid w:val="00895242"/>
    <w:rsid w:val="0089678E"/>
    <w:rsid w:val="00896E44"/>
    <w:rsid w:val="008A0087"/>
    <w:rsid w:val="008A0677"/>
    <w:rsid w:val="008A0E5B"/>
    <w:rsid w:val="008A17DE"/>
    <w:rsid w:val="008A264F"/>
    <w:rsid w:val="008A2E4F"/>
    <w:rsid w:val="008A30F8"/>
    <w:rsid w:val="008A3EC4"/>
    <w:rsid w:val="008A4B0F"/>
    <w:rsid w:val="008A538E"/>
    <w:rsid w:val="008A595C"/>
    <w:rsid w:val="008A62A6"/>
    <w:rsid w:val="008A69BE"/>
    <w:rsid w:val="008A6BEF"/>
    <w:rsid w:val="008A786C"/>
    <w:rsid w:val="008A7D55"/>
    <w:rsid w:val="008B00B0"/>
    <w:rsid w:val="008B0992"/>
    <w:rsid w:val="008B0DC9"/>
    <w:rsid w:val="008B10F0"/>
    <w:rsid w:val="008B1524"/>
    <w:rsid w:val="008B1E9D"/>
    <w:rsid w:val="008B2991"/>
    <w:rsid w:val="008B3C0D"/>
    <w:rsid w:val="008B49BC"/>
    <w:rsid w:val="008B5351"/>
    <w:rsid w:val="008B63B4"/>
    <w:rsid w:val="008B681C"/>
    <w:rsid w:val="008B6DF3"/>
    <w:rsid w:val="008B7B06"/>
    <w:rsid w:val="008C04F2"/>
    <w:rsid w:val="008C06C0"/>
    <w:rsid w:val="008C1695"/>
    <w:rsid w:val="008C1BF0"/>
    <w:rsid w:val="008C1C19"/>
    <w:rsid w:val="008C2480"/>
    <w:rsid w:val="008C258F"/>
    <w:rsid w:val="008C3F3C"/>
    <w:rsid w:val="008C4227"/>
    <w:rsid w:val="008C4AD4"/>
    <w:rsid w:val="008C52D5"/>
    <w:rsid w:val="008C5CA7"/>
    <w:rsid w:val="008C620D"/>
    <w:rsid w:val="008C62B4"/>
    <w:rsid w:val="008D054A"/>
    <w:rsid w:val="008D0753"/>
    <w:rsid w:val="008D0ACF"/>
    <w:rsid w:val="008D0DF8"/>
    <w:rsid w:val="008D147B"/>
    <w:rsid w:val="008D1792"/>
    <w:rsid w:val="008D1B2B"/>
    <w:rsid w:val="008D1D78"/>
    <w:rsid w:val="008D2315"/>
    <w:rsid w:val="008D3168"/>
    <w:rsid w:val="008D3A98"/>
    <w:rsid w:val="008D3CD0"/>
    <w:rsid w:val="008D448C"/>
    <w:rsid w:val="008D5329"/>
    <w:rsid w:val="008D55E6"/>
    <w:rsid w:val="008E00D1"/>
    <w:rsid w:val="008E02A0"/>
    <w:rsid w:val="008E0564"/>
    <w:rsid w:val="008E0572"/>
    <w:rsid w:val="008E1200"/>
    <w:rsid w:val="008E1509"/>
    <w:rsid w:val="008E1556"/>
    <w:rsid w:val="008E1761"/>
    <w:rsid w:val="008E1878"/>
    <w:rsid w:val="008E18B5"/>
    <w:rsid w:val="008E2472"/>
    <w:rsid w:val="008E305B"/>
    <w:rsid w:val="008E315B"/>
    <w:rsid w:val="008E343A"/>
    <w:rsid w:val="008E3597"/>
    <w:rsid w:val="008E5536"/>
    <w:rsid w:val="008E57D0"/>
    <w:rsid w:val="008E5A9F"/>
    <w:rsid w:val="008E6095"/>
    <w:rsid w:val="008E6240"/>
    <w:rsid w:val="008E685D"/>
    <w:rsid w:val="008E74D5"/>
    <w:rsid w:val="008E7D5E"/>
    <w:rsid w:val="008F081A"/>
    <w:rsid w:val="008F1914"/>
    <w:rsid w:val="008F1F58"/>
    <w:rsid w:val="008F273A"/>
    <w:rsid w:val="008F2FDD"/>
    <w:rsid w:val="008F3C74"/>
    <w:rsid w:val="008F3F14"/>
    <w:rsid w:val="008F4729"/>
    <w:rsid w:val="008F49F6"/>
    <w:rsid w:val="008F6456"/>
    <w:rsid w:val="008F67B8"/>
    <w:rsid w:val="008F7EBE"/>
    <w:rsid w:val="008F7FE6"/>
    <w:rsid w:val="00900CEB"/>
    <w:rsid w:val="00901645"/>
    <w:rsid w:val="00901BE6"/>
    <w:rsid w:val="0090239F"/>
    <w:rsid w:val="00902DF9"/>
    <w:rsid w:val="00903B6D"/>
    <w:rsid w:val="00904392"/>
    <w:rsid w:val="00904EAB"/>
    <w:rsid w:val="009053ED"/>
    <w:rsid w:val="009058F6"/>
    <w:rsid w:val="009059FE"/>
    <w:rsid w:val="00906249"/>
    <w:rsid w:val="00906D0D"/>
    <w:rsid w:val="00906D61"/>
    <w:rsid w:val="00907230"/>
    <w:rsid w:val="00907B32"/>
    <w:rsid w:val="00910B8E"/>
    <w:rsid w:val="0091162F"/>
    <w:rsid w:val="00912034"/>
    <w:rsid w:val="009121B0"/>
    <w:rsid w:val="009129C2"/>
    <w:rsid w:val="00913B30"/>
    <w:rsid w:val="00914CFA"/>
    <w:rsid w:val="00914D58"/>
    <w:rsid w:val="00916647"/>
    <w:rsid w:val="0091687F"/>
    <w:rsid w:val="00917B21"/>
    <w:rsid w:val="009200F7"/>
    <w:rsid w:val="0092022C"/>
    <w:rsid w:val="00920324"/>
    <w:rsid w:val="009212E0"/>
    <w:rsid w:val="00921364"/>
    <w:rsid w:val="00921773"/>
    <w:rsid w:val="009220D3"/>
    <w:rsid w:val="009229BC"/>
    <w:rsid w:val="009230A3"/>
    <w:rsid w:val="009253C7"/>
    <w:rsid w:val="009254EB"/>
    <w:rsid w:val="00925BBF"/>
    <w:rsid w:val="00925E01"/>
    <w:rsid w:val="00925E1B"/>
    <w:rsid w:val="00926567"/>
    <w:rsid w:val="00926964"/>
    <w:rsid w:val="00927993"/>
    <w:rsid w:val="009312DE"/>
    <w:rsid w:val="00931A2C"/>
    <w:rsid w:val="009327B3"/>
    <w:rsid w:val="009339E5"/>
    <w:rsid w:val="00933A9F"/>
    <w:rsid w:val="00933AB0"/>
    <w:rsid w:val="00933F11"/>
    <w:rsid w:val="00935094"/>
    <w:rsid w:val="009359BF"/>
    <w:rsid w:val="00936081"/>
    <w:rsid w:val="00936324"/>
    <w:rsid w:val="00937718"/>
    <w:rsid w:val="0094019C"/>
    <w:rsid w:val="00940231"/>
    <w:rsid w:val="00941906"/>
    <w:rsid w:val="00942010"/>
    <w:rsid w:val="009426E1"/>
    <w:rsid w:val="00942CE8"/>
    <w:rsid w:val="00942DB4"/>
    <w:rsid w:val="00942F60"/>
    <w:rsid w:val="00943514"/>
    <w:rsid w:val="00943C94"/>
    <w:rsid w:val="00944055"/>
    <w:rsid w:val="00944565"/>
    <w:rsid w:val="00945058"/>
    <w:rsid w:val="00945CD3"/>
    <w:rsid w:val="009463B6"/>
    <w:rsid w:val="00946F01"/>
    <w:rsid w:val="00947F87"/>
    <w:rsid w:val="0095092C"/>
    <w:rsid w:val="00951323"/>
    <w:rsid w:val="0095159E"/>
    <w:rsid w:val="00951F1D"/>
    <w:rsid w:val="00952605"/>
    <w:rsid w:val="009531F5"/>
    <w:rsid w:val="009537A1"/>
    <w:rsid w:val="00956263"/>
    <w:rsid w:val="009566D4"/>
    <w:rsid w:val="0096013E"/>
    <w:rsid w:val="00961AFD"/>
    <w:rsid w:val="009625D9"/>
    <w:rsid w:val="0096264B"/>
    <w:rsid w:val="0096296E"/>
    <w:rsid w:val="009629A9"/>
    <w:rsid w:val="009636FF"/>
    <w:rsid w:val="009657B8"/>
    <w:rsid w:val="00965A63"/>
    <w:rsid w:val="009673B4"/>
    <w:rsid w:val="009676F8"/>
    <w:rsid w:val="00967E3C"/>
    <w:rsid w:val="009700FD"/>
    <w:rsid w:val="00972366"/>
    <w:rsid w:val="009728D4"/>
    <w:rsid w:val="00972F02"/>
    <w:rsid w:val="009732DF"/>
    <w:rsid w:val="00973BAB"/>
    <w:rsid w:val="00974E25"/>
    <w:rsid w:val="00975246"/>
    <w:rsid w:val="00975C95"/>
    <w:rsid w:val="00975FEA"/>
    <w:rsid w:val="009768E8"/>
    <w:rsid w:val="00980544"/>
    <w:rsid w:val="0098195E"/>
    <w:rsid w:val="00982440"/>
    <w:rsid w:val="009824F8"/>
    <w:rsid w:val="009828C6"/>
    <w:rsid w:val="009831ED"/>
    <w:rsid w:val="0098367A"/>
    <w:rsid w:val="009836A9"/>
    <w:rsid w:val="00984B9A"/>
    <w:rsid w:val="00985202"/>
    <w:rsid w:val="00985240"/>
    <w:rsid w:val="009854F4"/>
    <w:rsid w:val="0098566F"/>
    <w:rsid w:val="009857F4"/>
    <w:rsid w:val="00985990"/>
    <w:rsid w:val="00985B35"/>
    <w:rsid w:val="00986290"/>
    <w:rsid w:val="00986336"/>
    <w:rsid w:val="009864A8"/>
    <w:rsid w:val="00987693"/>
    <w:rsid w:val="0098795E"/>
    <w:rsid w:val="00987D2C"/>
    <w:rsid w:val="00987E8A"/>
    <w:rsid w:val="00990CA2"/>
    <w:rsid w:val="00990CC3"/>
    <w:rsid w:val="00990E38"/>
    <w:rsid w:val="00991238"/>
    <w:rsid w:val="00991737"/>
    <w:rsid w:val="00991B8E"/>
    <w:rsid w:val="00991BA3"/>
    <w:rsid w:val="0099261D"/>
    <w:rsid w:val="009930C8"/>
    <w:rsid w:val="00993596"/>
    <w:rsid w:val="00993BFD"/>
    <w:rsid w:val="00994C7F"/>
    <w:rsid w:val="00994D59"/>
    <w:rsid w:val="009951A6"/>
    <w:rsid w:val="00995805"/>
    <w:rsid w:val="00996A0E"/>
    <w:rsid w:val="00996F48"/>
    <w:rsid w:val="009976F8"/>
    <w:rsid w:val="009976FC"/>
    <w:rsid w:val="00997B12"/>
    <w:rsid w:val="009A082F"/>
    <w:rsid w:val="009A0BDA"/>
    <w:rsid w:val="009A0CEF"/>
    <w:rsid w:val="009A122F"/>
    <w:rsid w:val="009A1255"/>
    <w:rsid w:val="009A195F"/>
    <w:rsid w:val="009A1E1C"/>
    <w:rsid w:val="009A22E5"/>
    <w:rsid w:val="009A2A37"/>
    <w:rsid w:val="009A2BCF"/>
    <w:rsid w:val="009A3CA5"/>
    <w:rsid w:val="009A4344"/>
    <w:rsid w:val="009A4705"/>
    <w:rsid w:val="009A48CD"/>
    <w:rsid w:val="009A4B66"/>
    <w:rsid w:val="009A4FF7"/>
    <w:rsid w:val="009A593D"/>
    <w:rsid w:val="009A7821"/>
    <w:rsid w:val="009A7D85"/>
    <w:rsid w:val="009B0FA2"/>
    <w:rsid w:val="009B1350"/>
    <w:rsid w:val="009B153B"/>
    <w:rsid w:val="009B254D"/>
    <w:rsid w:val="009B264A"/>
    <w:rsid w:val="009B355D"/>
    <w:rsid w:val="009B396E"/>
    <w:rsid w:val="009B3C97"/>
    <w:rsid w:val="009B410A"/>
    <w:rsid w:val="009B4890"/>
    <w:rsid w:val="009B4DCD"/>
    <w:rsid w:val="009B51EA"/>
    <w:rsid w:val="009B52E7"/>
    <w:rsid w:val="009B7745"/>
    <w:rsid w:val="009C10B1"/>
    <w:rsid w:val="009C2965"/>
    <w:rsid w:val="009C34E1"/>
    <w:rsid w:val="009C3A69"/>
    <w:rsid w:val="009C525B"/>
    <w:rsid w:val="009C5B1E"/>
    <w:rsid w:val="009C6141"/>
    <w:rsid w:val="009C741F"/>
    <w:rsid w:val="009C7EC0"/>
    <w:rsid w:val="009D16E3"/>
    <w:rsid w:val="009D1C6E"/>
    <w:rsid w:val="009D210B"/>
    <w:rsid w:val="009D2C4E"/>
    <w:rsid w:val="009D31A1"/>
    <w:rsid w:val="009D31EC"/>
    <w:rsid w:val="009D3E20"/>
    <w:rsid w:val="009D4257"/>
    <w:rsid w:val="009D4B61"/>
    <w:rsid w:val="009D56CD"/>
    <w:rsid w:val="009D5D80"/>
    <w:rsid w:val="009E0745"/>
    <w:rsid w:val="009E0B9E"/>
    <w:rsid w:val="009E105E"/>
    <w:rsid w:val="009E145B"/>
    <w:rsid w:val="009E2DB6"/>
    <w:rsid w:val="009E3509"/>
    <w:rsid w:val="009E4377"/>
    <w:rsid w:val="009E4701"/>
    <w:rsid w:val="009E5311"/>
    <w:rsid w:val="009E5E1F"/>
    <w:rsid w:val="009E6B47"/>
    <w:rsid w:val="009E7678"/>
    <w:rsid w:val="009E7A24"/>
    <w:rsid w:val="009E7A82"/>
    <w:rsid w:val="009F0920"/>
    <w:rsid w:val="009F11D2"/>
    <w:rsid w:val="009F16F3"/>
    <w:rsid w:val="009F1A4C"/>
    <w:rsid w:val="009F1FA8"/>
    <w:rsid w:val="009F298A"/>
    <w:rsid w:val="009F2C2C"/>
    <w:rsid w:val="009F2DF7"/>
    <w:rsid w:val="009F3099"/>
    <w:rsid w:val="009F31F2"/>
    <w:rsid w:val="009F3CD8"/>
    <w:rsid w:val="009F4855"/>
    <w:rsid w:val="009F5A2F"/>
    <w:rsid w:val="00A0046C"/>
    <w:rsid w:val="00A00A4C"/>
    <w:rsid w:val="00A012CF"/>
    <w:rsid w:val="00A012DA"/>
    <w:rsid w:val="00A02CCB"/>
    <w:rsid w:val="00A02E88"/>
    <w:rsid w:val="00A02F96"/>
    <w:rsid w:val="00A041D2"/>
    <w:rsid w:val="00A04C43"/>
    <w:rsid w:val="00A05492"/>
    <w:rsid w:val="00A0713F"/>
    <w:rsid w:val="00A072FC"/>
    <w:rsid w:val="00A10CB6"/>
    <w:rsid w:val="00A112E0"/>
    <w:rsid w:val="00A11773"/>
    <w:rsid w:val="00A11AD2"/>
    <w:rsid w:val="00A11AD5"/>
    <w:rsid w:val="00A13071"/>
    <w:rsid w:val="00A133FB"/>
    <w:rsid w:val="00A13C77"/>
    <w:rsid w:val="00A14B23"/>
    <w:rsid w:val="00A15874"/>
    <w:rsid w:val="00A160C1"/>
    <w:rsid w:val="00A161B9"/>
    <w:rsid w:val="00A17077"/>
    <w:rsid w:val="00A17FF5"/>
    <w:rsid w:val="00A2130F"/>
    <w:rsid w:val="00A21B3D"/>
    <w:rsid w:val="00A21EBB"/>
    <w:rsid w:val="00A22C6E"/>
    <w:rsid w:val="00A23275"/>
    <w:rsid w:val="00A2363F"/>
    <w:rsid w:val="00A24965"/>
    <w:rsid w:val="00A25C48"/>
    <w:rsid w:val="00A262DE"/>
    <w:rsid w:val="00A264C4"/>
    <w:rsid w:val="00A269D8"/>
    <w:rsid w:val="00A27144"/>
    <w:rsid w:val="00A271A7"/>
    <w:rsid w:val="00A27EB3"/>
    <w:rsid w:val="00A31EE2"/>
    <w:rsid w:val="00A321B8"/>
    <w:rsid w:val="00A32497"/>
    <w:rsid w:val="00A32BFC"/>
    <w:rsid w:val="00A34AC5"/>
    <w:rsid w:val="00A34D5B"/>
    <w:rsid w:val="00A354C4"/>
    <w:rsid w:val="00A359DB"/>
    <w:rsid w:val="00A35B38"/>
    <w:rsid w:val="00A35CE7"/>
    <w:rsid w:val="00A36066"/>
    <w:rsid w:val="00A36A36"/>
    <w:rsid w:val="00A37402"/>
    <w:rsid w:val="00A37B6B"/>
    <w:rsid w:val="00A414FF"/>
    <w:rsid w:val="00A41AA0"/>
    <w:rsid w:val="00A41C89"/>
    <w:rsid w:val="00A423F1"/>
    <w:rsid w:val="00A42BF2"/>
    <w:rsid w:val="00A4351C"/>
    <w:rsid w:val="00A4360F"/>
    <w:rsid w:val="00A44615"/>
    <w:rsid w:val="00A44FB8"/>
    <w:rsid w:val="00A46427"/>
    <w:rsid w:val="00A4655C"/>
    <w:rsid w:val="00A5097D"/>
    <w:rsid w:val="00A51F15"/>
    <w:rsid w:val="00A52811"/>
    <w:rsid w:val="00A55175"/>
    <w:rsid w:val="00A556D1"/>
    <w:rsid w:val="00A56138"/>
    <w:rsid w:val="00A56346"/>
    <w:rsid w:val="00A56A1F"/>
    <w:rsid w:val="00A60E9A"/>
    <w:rsid w:val="00A614D7"/>
    <w:rsid w:val="00A61A13"/>
    <w:rsid w:val="00A620FC"/>
    <w:rsid w:val="00A64745"/>
    <w:rsid w:val="00A648F3"/>
    <w:rsid w:val="00A66545"/>
    <w:rsid w:val="00A67581"/>
    <w:rsid w:val="00A70CC5"/>
    <w:rsid w:val="00A70CE0"/>
    <w:rsid w:val="00A72EE5"/>
    <w:rsid w:val="00A730E6"/>
    <w:rsid w:val="00A732E5"/>
    <w:rsid w:val="00A735A2"/>
    <w:rsid w:val="00A75244"/>
    <w:rsid w:val="00A75487"/>
    <w:rsid w:val="00A756AB"/>
    <w:rsid w:val="00A75C46"/>
    <w:rsid w:val="00A76F20"/>
    <w:rsid w:val="00A7738F"/>
    <w:rsid w:val="00A77B48"/>
    <w:rsid w:val="00A77C40"/>
    <w:rsid w:val="00A77D38"/>
    <w:rsid w:val="00A80689"/>
    <w:rsid w:val="00A80C13"/>
    <w:rsid w:val="00A8125D"/>
    <w:rsid w:val="00A82B9E"/>
    <w:rsid w:val="00A839BF"/>
    <w:rsid w:val="00A84654"/>
    <w:rsid w:val="00A85421"/>
    <w:rsid w:val="00A857FB"/>
    <w:rsid w:val="00A85C88"/>
    <w:rsid w:val="00A85E6B"/>
    <w:rsid w:val="00A87026"/>
    <w:rsid w:val="00A87813"/>
    <w:rsid w:val="00A87A28"/>
    <w:rsid w:val="00A87E6A"/>
    <w:rsid w:val="00A907F1"/>
    <w:rsid w:val="00A90C14"/>
    <w:rsid w:val="00A91688"/>
    <w:rsid w:val="00A921AF"/>
    <w:rsid w:val="00A931DD"/>
    <w:rsid w:val="00A93F10"/>
    <w:rsid w:val="00A96AE3"/>
    <w:rsid w:val="00A978DA"/>
    <w:rsid w:val="00AA276E"/>
    <w:rsid w:val="00AA2791"/>
    <w:rsid w:val="00AA2928"/>
    <w:rsid w:val="00AA3080"/>
    <w:rsid w:val="00AA3369"/>
    <w:rsid w:val="00AA35BF"/>
    <w:rsid w:val="00AA3F0E"/>
    <w:rsid w:val="00AA48FC"/>
    <w:rsid w:val="00AA4FD9"/>
    <w:rsid w:val="00AA5BA5"/>
    <w:rsid w:val="00AA5D54"/>
    <w:rsid w:val="00AA5EA8"/>
    <w:rsid w:val="00AA63F2"/>
    <w:rsid w:val="00AA68AE"/>
    <w:rsid w:val="00AA6C1B"/>
    <w:rsid w:val="00AA7611"/>
    <w:rsid w:val="00AA7EB6"/>
    <w:rsid w:val="00AB0766"/>
    <w:rsid w:val="00AB196A"/>
    <w:rsid w:val="00AB1C6B"/>
    <w:rsid w:val="00AB2BA2"/>
    <w:rsid w:val="00AB2DF5"/>
    <w:rsid w:val="00AB2F77"/>
    <w:rsid w:val="00AB3560"/>
    <w:rsid w:val="00AB37C1"/>
    <w:rsid w:val="00AB3A83"/>
    <w:rsid w:val="00AB462F"/>
    <w:rsid w:val="00AB465E"/>
    <w:rsid w:val="00AB6A73"/>
    <w:rsid w:val="00AB7254"/>
    <w:rsid w:val="00AB7DFC"/>
    <w:rsid w:val="00AC0AE5"/>
    <w:rsid w:val="00AC2A22"/>
    <w:rsid w:val="00AC2E2C"/>
    <w:rsid w:val="00AC3608"/>
    <w:rsid w:val="00AC3D6F"/>
    <w:rsid w:val="00AC498D"/>
    <w:rsid w:val="00AC587A"/>
    <w:rsid w:val="00AC7600"/>
    <w:rsid w:val="00AC7C0B"/>
    <w:rsid w:val="00AD01C1"/>
    <w:rsid w:val="00AD107C"/>
    <w:rsid w:val="00AD181D"/>
    <w:rsid w:val="00AD1C40"/>
    <w:rsid w:val="00AD1DBB"/>
    <w:rsid w:val="00AD1FAF"/>
    <w:rsid w:val="00AD23F3"/>
    <w:rsid w:val="00AD24EC"/>
    <w:rsid w:val="00AD51D2"/>
    <w:rsid w:val="00AD534E"/>
    <w:rsid w:val="00AD5655"/>
    <w:rsid w:val="00AD71EE"/>
    <w:rsid w:val="00AD7C31"/>
    <w:rsid w:val="00AE079B"/>
    <w:rsid w:val="00AE0826"/>
    <w:rsid w:val="00AE1B85"/>
    <w:rsid w:val="00AE204D"/>
    <w:rsid w:val="00AE238E"/>
    <w:rsid w:val="00AE2A79"/>
    <w:rsid w:val="00AE3F2D"/>
    <w:rsid w:val="00AE4747"/>
    <w:rsid w:val="00AE4887"/>
    <w:rsid w:val="00AE48F6"/>
    <w:rsid w:val="00AE5586"/>
    <w:rsid w:val="00AE6410"/>
    <w:rsid w:val="00AE665E"/>
    <w:rsid w:val="00AE7EFD"/>
    <w:rsid w:val="00AE7F5A"/>
    <w:rsid w:val="00AF0B13"/>
    <w:rsid w:val="00AF0E90"/>
    <w:rsid w:val="00AF1298"/>
    <w:rsid w:val="00AF2929"/>
    <w:rsid w:val="00AF482C"/>
    <w:rsid w:val="00B002AD"/>
    <w:rsid w:val="00B0120D"/>
    <w:rsid w:val="00B01C9F"/>
    <w:rsid w:val="00B0257A"/>
    <w:rsid w:val="00B02E4B"/>
    <w:rsid w:val="00B037D9"/>
    <w:rsid w:val="00B03AB4"/>
    <w:rsid w:val="00B04391"/>
    <w:rsid w:val="00B049A4"/>
    <w:rsid w:val="00B054DE"/>
    <w:rsid w:val="00B05AC1"/>
    <w:rsid w:val="00B06DF2"/>
    <w:rsid w:val="00B06E3C"/>
    <w:rsid w:val="00B0743A"/>
    <w:rsid w:val="00B10532"/>
    <w:rsid w:val="00B10A7E"/>
    <w:rsid w:val="00B11EAE"/>
    <w:rsid w:val="00B11F29"/>
    <w:rsid w:val="00B1290B"/>
    <w:rsid w:val="00B13586"/>
    <w:rsid w:val="00B13678"/>
    <w:rsid w:val="00B13875"/>
    <w:rsid w:val="00B13EC0"/>
    <w:rsid w:val="00B15206"/>
    <w:rsid w:val="00B15D7F"/>
    <w:rsid w:val="00B1663C"/>
    <w:rsid w:val="00B16AFC"/>
    <w:rsid w:val="00B17499"/>
    <w:rsid w:val="00B17BE0"/>
    <w:rsid w:val="00B20845"/>
    <w:rsid w:val="00B20A1C"/>
    <w:rsid w:val="00B21A37"/>
    <w:rsid w:val="00B234CF"/>
    <w:rsid w:val="00B2381A"/>
    <w:rsid w:val="00B23DFE"/>
    <w:rsid w:val="00B259D8"/>
    <w:rsid w:val="00B2664B"/>
    <w:rsid w:val="00B272CB"/>
    <w:rsid w:val="00B2767A"/>
    <w:rsid w:val="00B27BA9"/>
    <w:rsid w:val="00B3002E"/>
    <w:rsid w:val="00B305EE"/>
    <w:rsid w:val="00B30C16"/>
    <w:rsid w:val="00B30E51"/>
    <w:rsid w:val="00B314C3"/>
    <w:rsid w:val="00B31782"/>
    <w:rsid w:val="00B31AB9"/>
    <w:rsid w:val="00B321D3"/>
    <w:rsid w:val="00B321FD"/>
    <w:rsid w:val="00B35CBB"/>
    <w:rsid w:val="00B35DC2"/>
    <w:rsid w:val="00B36C07"/>
    <w:rsid w:val="00B36FF6"/>
    <w:rsid w:val="00B40730"/>
    <w:rsid w:val="00B40819"/>
    <w:rsid w:val="00B41426"/>
    <w:rsid w:val="00B41C8D"/>
    <w:rsid w:val="00B4375A"/>
    <w:rsid w:val="00B44109"/>
    <w:rsid w:val="00B45276"/>
    <w:rsid w:val="00B45486"/>
    <w:rsid w:val="00B45511"/>
    <w:rsid w:val="00B45651"/>
    <w:rsid w:val="00B458E8"/>
    <w:rsid w:val="00B4678E"/>
    <w:rsid w:val="00B46DB0"/>
    <w:rsid w:val="00B47249"/>
    <w:rsid w:val="00B47397"/>
    <w:rsid w:val="00B47AC9"/>
    <w:rsid w:val="00B47B16"/>
    <w:rsid w:val="00B50F0A"/>
    <w:rsid w:val="00B513B5"/>
    <w:rsid w:val="00B51BC7"/>
    <w:rsid w:val="00B52CA0"/>
    <w:rsid w:val="00B52DE7"/>
    <w:rsid w:val="00B52EF9"/>
    <w:rsid w:val="00B53261"/>
    <w:rsid w:val="00B53FA4"/>
    <w:rsid w:val="00B54A26"/>
    <w:rsid w:val="00B5502F"/>
    <w:rsid w:val="00B550A9"/>
    <w:rsid w:val="00B5530B"/>
    <w:rsid w:val="00B55C9C"/>
    <w:rsid w:val="00B567EA"/>
    <w:rsid w:val="00B56A51"/>
    <w:rsid w:val="00B6075B"/>
    <w:rsid w:val="00B60E8C"/>
    <w:rsid w:val="00B614E4"/>
    <w:rsid w:val="00B624F1"/>
    <w:rsid w:val="00B63201"/>
    <w:rsid w:val="00B634F5"/>
    <w:rsid w:val="00B640AC"/>
    <w:rsid w:val="00B651B9"/>
    <w:rsid w:val="00B65B05"/>
    <w:rsid w:val="00B6622F"/>
    <w:rsid w:val="00B66BE5"/>
    <w:rsid w:val="00B672C8"/>
    <w:rsid w:val="00B674D7"/>
    <w:rsid w:val="00B7051E"/>
    <w:rsid w:val="00B70B90"/>
    <w:rsid w:val="00B71110"/>
    <w:rsid w:val="00B71521"/>
    <w:rsid w:val="00B7156E"/>
    <w:rsid w:val="00B71630"/>
    <w:rsid w:val="00B724D9"/>
    <w:rsid w:val="00B7287D"/>
    <w:rsid w:val="00B7293C"/>
    <w:rsid w:val="00B729E7"/>
    <w:rsid w:val="00B734AC"/>
    <w:rsid w:val="00B73F1D"/>
    <w:rsid w:val="00B7409B"/>
    <w:rsid w:val="00B74F58"/>
    <w:rsid w:val="00B7529E"/>
    <w:rsid w:val="00B75CD8"/>
    <w:rsid w:val="00B7614E"/>
    <w:rsid w:val="00B764C2"/>
    <w:rsid w:val="00B77044"/>
    <w:rsid w:val="00B77AA3"/>
    <w:rsid w:val="00B80614"/>
    <w:rsid w:val="00B81C31"/>
    <w:rsid w:val="00B81E76"/>
    <w:rsid w:val="00B81F1B"/>
    <w:rsid w:val="00B82276"/>
    <w:rsid w:val="00B82D73"/>
    <w:rsid w:val="00B83ADF"/>
    <w:rsid w:val="00B83C08"/>
    <w:rsid w:val="00B856B6"/>
    <w:rsid w:val="00B85916"/>
    <w:rsid w:val="00B86048"/>
    <w:rsid w:val="00B8612A"/>
    <w:rsid w:val="00B865AD"/>
    <w:rsid w:val="00B86656"/>
    <w:rsid w:val="00B8758C"/>
    <w:rsid w:val="00B87736"/>
    <w:rsid w:val="00B90133"/>
    <w:rsid w:val="00B9056F"/>
    <w:rsid w:val="00B90832"/>
    <w:rsid w:val="00B9089D"/>
    <w:rsid w:val="00B90F27"/>
    <w:rsid w:val="00B916DB"/>
    <w:rsid w:val="00B93602"/>
    <w:rsid w:val="00B93635"/>
    <w:rsid w:val="00B93E7A"/>
    <w:rsid w:val="00B94547"/>
    <w:rsid w:val="00B94F5D"/>
    <w:rsid w:val="00B95662"/>
    <w:rsid w:val="00B95E7B"/>
    <w:rsid w:val="00B95E7E"/>
    <w:rsid w:val="00B9628C"/>
    <w:rsid w:val="00B979B5"/>
    <w:rsid w:val="00BA0F5C"/>
    <w:rsid w:val="00BA1286"/>
    <w:rsid w:val="00BA1531"/>
    <w:rsid w:val="00BA1C51"/>
    <w:rsid w:val="00BA241E"/>
    <w:rsid w:val="00BA2929"/>
    <w:rsid w:val="00BA2937"/>
    <w:rsid w:val="00BA2ACB"/>
    <w:rsid w:val="00BA4132"/>
    <w:rsid w:val="00BA4380"/>
    <w:rsid w:val="00BA460F"/>
    <w:rsid w:val="00BA481F"/>
    <w:rsid w:val="00BA4E92"/>
    <w:rsid w:val="00BA4E96"/>
    <w:rsid w:val="00BA52D1"/>
    <w:rsid w:val="00BA6CE8"/>
    <w:rsid w:val="00BA6D31"/>
    <w:rsid w:val="00BB00A8"/>
    <w:rsid w:val="00BB10FC"/>
    <w:rsid w:val="00BB12EA"/>
    <w:rsid w:val="00BB1771"/>
    <w:rsid w:val="00BB1AE0"/>
    <w:rsid w:val="00BB1EC6"/>
    <w:rsid w:val="00BB2A3C"/>
    <w:rsid w:val="00BB36C0"/>
    <w:rsid w:val="00BB41C0"/>
    <w:rsid w:val="00BB4A27"/>
    <w:rsid w:val="00BB4DFA"/>
    <w:rsid w:val="00BB6ADD"/>
    <w:rsid w:val="00BB6D18"/>
    <w:rsid w:val="00BB71A3"/>
    <w:rsid w:val="00BB75E2"/>
    <w:rsid w:val="00BB760C"/>
    <w:rsid w:val="00BB7982"/>
    <w:rsid w:val="00BC0E8A"/>
    <w:rsid w:val="00BC22EB"/>
    <w:rsid w:val="00BC2349"/>
    <w:rsid w:val="00BC26E7"/>
    <w:rsid w:val="00BC3238"/>
    <w:rsid w:val="00BC4532"/>
    <w:rsid w:val="00BC4EC6"/>
    <w:rsid w:val="00BC4FC6"/>
    <w:rsid w:val="00BC5481"/>
    <w:rsid w:val="00BC5582"/>
    <w:rsid w:val="00BC55BC"/>
    <w:rsid w:val="00BC60BD"/>
    <w:rsid w:val="00BC7DB0"/>
    <w:rsid w:val="00BD01C5"/>
    <w:rsid w:val="00BD03B1"/>
    <w:rsid w:val="00BD1011"/>
    <w:rsid w:val="00BD12C5"/>
    <w:rsid w:val="00BD1A78"/>
    <w:rsid w:val="00BD23A6"/>
    <w:rsid w:val="00BD40B2"/>
    <w:rsid w:val="00BD4700"/>
    <w:rsid w:val="00BD4DEA"/>
    <w:rsid w:val="00BD5195"/>
    <w:rsid w:val="00BD5A7D"/>
    <w:rsid w:val="00BD600A"/>
    <w:rsid w:val="00BD72ED"/>
    <w:rsid w:val="00BD74DB"/>
    <w:rsid w:val="00BE0CBE"/>
    <w:rsid w:val="00BE10D3"/>
    <w:rsid w:val="00BE168F"/>
    <w:rsid w:val="00BE2500"/>
    <w:rsid w:val="00BE2885"/>
    <w:rsid w:val="00BE31B7"/>
    <w:rsid w:val="00BE3239"/>
    <w:rsid w:val="00BE381C"/>
    <w:rsid w:val="00BE3DA8"/>
    <w:rsid w:val="00BE4EC3"/>
    <w:rsid w:val="00BE5285"/>
    <w:rsid w:val="00BE5DDF"/>
    <w:rsid w:val="00BE6645"/>
    <w:rsid w:val="00BE675B"/>
    <w:rsid w:val="00BE750E"/>
    <w:rsid w:val="00BF04F5"/>
    <w:rsid w:val="00BF0C2B"/>
    <w:rsid w:val="00BF1F29"/>
    <w:rsid w:val="00BF2618"/>
    <w:rsid w:val="00BF2807"/>
    <w:rsid w:val="00BF2FD4"/>
    <w:rsid w:val="00BF326C"/>
    <w:rsid w:val="00BF361B"/>
    <w:rsid w:val="00BF390E"/>
    <w:rsid w:val="00BF3C3C"/>
    <w:rsid w:val="00BF4776"/>
    <w:rsid w:val="00BF587B"/>
    <w:rsid w:val="00BF73ED"/>
    <w:rsid w:val="00BF755F"/>
    <w:rsid w:val="00BF7A5C"/>
    <w:rsid w:val="00C019E9"/>
    <w:rsid w:val="00C0219A"/>
    <w:rsid w:val="00C0278D"/>
    <w:rsid w:val="00C0284F"/>
    <w:rsid w:val="00C028CD"/>
    <w:rsid w:val="00C02DBB"/>
    <w:rsid w:val="00C03288"/>
    <w:rsid w:val="00C035F4"/>
    <w:rsid w:val="00C03B1C"/>
    <w:rsid w:val="00C0476E"/>
    <w:rsid w:val="00C051EB"/>
    <w:rsid w:val="00C05255"/>
    <w:rsid w:val="00C05AD9"/>
    <w:rsid w:val="00C062A0"/>
    <w:rsid w:val="00C0766C"/>
    <w:rsid w:val="00C07CF0"/>
    <w:rsid w:val="00C10E7F"/>
    <w:rsid w:val="00C113A0"/>
    <w:rsid w:val="00C11BEC"/>
    <w:rsid w:val="00C12081"/>
    <w:rsid w:val="00C125DD"/>
    <w:rsid w:val="00C130EA"/>
    <w:rsid w:val="00C147DD"/>
    <w:rsid w:val="00C163CE"/>
    <w:rsid w:val="00C168D2"/>
    <w:rsid w:val="00C1694B"/>
    <w:rsid w:val="00C17C0B"/>
    <w:rsid w:val="00C20CE5"/>
    <w:rsid w:val="00C21103"/>
    <w:rsid w:val="00C21731"/>
    <w:rsid w:val="00C2228C"/>
    <w:rsid w:val="00C22308"/>
    <w:rsid w:val="00C23A1E"/>
    <w:rsid w:val="00C23D17"/>
    <w:rsid w:val="00C24B31"/>
    <w:rsid w:val="00C24BBE"/>
    <w:rsid w:val="00C24BD0"/>
    <w:rsid w:val="00C25738"/>
    <w:rsid w:val="00C26FEE"/>
    <w:rsid w:val="00C2740F"/>
    <w:rsid w:val="00C275C4"/>
    <w:rsid w:val="00C30282"/>
    <w:rsid w:val="00C303E5"/>
    <w:rsid w:val="00C30A5A"/>
    <w:rsid w:val="00C31CCA"/>
    <w:rsid w:val="00C31FC4"/>
    <w:rsid w:val="00C32633"/>
    <w:rsid w:val="00C326CB"/>
    <w:rsid w:val="00C32881"/>
    <w:rsid w:val="00C32DC6"/>
    <w:rsid w:val="00C332FD"/>
    <w:rsid w:val="00C34E80"/>
    <w:rsid w:val="00C34E97"/>
    <w:rsid w:val="00C35709"/>
    <w:rsid w:val="00C35814"/>
    <w:rsid w:val="00C36824"/>
    <w:rsid w:val="00C372EF"/>
    <w:rsid w:val="00C376C6"/>
    <w:rsid w:val="00C37E9C"/>
    <w:rsid w:val="00C40800"/>
    <w:rsid w:val="00C40B5D"/>
    <w:rsid w:val="00C40D52"/>
    <w:rsid w:val="00C41C83"/>
    <w:rsid w:val="00C42071"/>
    <w:rsid w:val="00C423F6"/>
    <w:rsid w:val="00C42738"/>
    <w:rsid w:val="00C43730"/>
    <w:rsid w:val="00C4398E"/>
    <w:rsid w:val="00C43DEA"/>
    <w:rsid w:val="00C43F0D"/>
    <w:rsid w:val="00C4485A"/>
    <w:rsid w:val="00C44A03"/>
    <w:rsid w:val="00C4506C"/>
    <w:rsid w:val="00C45274"/>
    <w:rsid w:val="00C455EF"/>
    <w:rsid w:val="00C45D21"/>
    <w:rsid w:val="00C46C3B"/>
    <w:rsid w:val="00C47080"/>
    <w:rsid w:val="00C50462"/>
    <w:rsid w:val="00C5168C"/>
    <w:rsid w:val="00C51FA7"/>
    <w:rsid w:val="00C5352E"/>
    <w:rsid w:val="00C544EA"/>
    <w:rsid w:val="00C554FE"/>
    <w:rsid w:val="00C56710"/>
    <w:rsid w:val="00C5688F"/>
    <w:rsid w:val="00C56D45"/>
    <w:rsid w:val="00C57053"/>
    <w:rsid w:val="00C57559"/>
    <w:rsid w:val="00C6036A"/>
    <w:rsid w:val="00C60A75"/>
    <w:rsid w:val="00C60EBD"/>
    <w:rsid w:val="00C61EF5"/>
    <w:rsid w:val="00C6231D"/>
    <w:rsid w:val="00C62A31"/>
    <w:rsid w:val="00C63D4B"/>
    <w:rsid w:val="00C63E09"/>
    <w:rsid w:val="00C640D3"/>
    <w:rsid w:val="00C65FC0"/>
    <w:rsid w:val="00C6671D"/>
    <w:rsid w:val="00C66E01"/>
    <w:rsid w:val="00C67638"/>
    <w:rsid w:val="00C7304C"/>
    <w:rsid w:val="00C73F4A"/>
    <w:rsid w:val="00C74DE6"/>
    <w:rsid w:val="00C75AC6"/>
    <w:rsid w:val="00C7604E"/>
    <w:rsid w:val="00C76D34"/>
    <w:rsid w:val="00C76E93"/>
    <w:rsid w:val="00C770E0"/>
    <w:rsid w:val="00C8003A"/>
    <w:rsid w:val="00C80EBE"/>
    <w:rsid w:val="00C812B7"/>
    <w:rsid w:val="00C815ED"/>
    <w:rsid w:val="00C81F90"/>
    <w:rsid w:val="00C82524"/>
    <w:rsid w:val="00C82B6C"/>
    <w:rsid w:val="00C82D49"/>
    <w:rsid w:val="00C831C9"/>
    <w:rsid w:val="00C8421E"/>
    <w:rsid w:val="00C8493F"/>
    <w:rsid w:val="00C84E52"/>
    <w:rsid w:val="00C85C19"/>
    <w:rsid w:val="00C85F49"/>
    <w:rsid w:val="00C86542"/>
    <w:rsid w:val="00C86BAB"/>
    <w:rsid w:val="00C879E4"/>
    <w:rsid w:val="00C87E23"/>
    <w:rsid w:val="00C911A7"/>
    <w:rsid w:val="00C914CF"/>
    <w:rsid w:val="00C91B18"/>
    <w:rsid w:val="00C92574"/>
    <w:rsid w:val="00C93ED1"/>
    <w:rsid w:val="00C9468B"/>
    <w:rsid w:val="00C947D8"/>
    <w:rsid w:val="00C94C39"/>
    <w:rsid w:val="00C958FB"/>
    <w:rsid w:val="00C96400"/>
    <w:rsid w:val="00C96898"/>
    <w:rsid w:val="00C96B78"/>
    <w:rsid w:val="00C9786E"/>
    <w:rsid w:val="00C97EF5"/>
    <w:rsid w:val="00CA046D"/>
    <w:rsid w:val="00CA2E4B"/>
    <w:rsid w:val="00CA5189"/>
    <w:rsid w:val="00CA5AC5"/>
    <w:rsid w:val="00CA5BEB"/>
    <w:rsid w:val="00CA7505"/>
    <w:rsid w:val="00CA7975"/>
    <w:rsid w:val="00CA7DA8"/>
    <w:rsid w:val="00CB0D4F"/>
    <w:rsid w:val="00CB191B"/>
    <w:rsid w:val="00CB2755"/>
    <w:rsid w:val="00CB2EC2"/>
    <w:rsid w:val="00CB478C"/>
    <w:rsid w:val="00CB4B7D"/>
    <w:rsid w:val="00CB4CDD"/>
    <w:rsid w:val="00CB67E3"/>
    <w:rsid w:val="00CB67F6"/>
    <w:rsid w:val="00CB6F0D"/>
    <w:rsid w:val="00CC2169"/>
    <w:rsid w:val="00CC2FF1"/>
    <w:rsid w:val="00CC37A6"/>
    <w:rsid w:val="00CC3AE0"/>
    <w:rsid w:val="00CC464A"/>
    <w:rsid w:val="00CC4AD9"/>
    <w:rsid w:val="00CC4CDD"/>
    <w:rsid w:val="00CC4D3A"/>
    <w:rsid w:val="00CC4E45"/>
    <w:rsid w:val="00CC4FDB"/>
    <w:rsid w:val="00CC5B27"/>
    <w:rsid w:val="00CC5DDF"/>
    <w:rsid w:val="00CC5F37"/>
    <w:rsid w:val="00CC711C"/>
    <w:rsid w:val="00CC7E1C"/>
    <w:rsid w:val="00CD06E9"/>
    <w:rsid w:val="00CD07BF"/>
    <w:rsid w:val="00CD126C"/>
    <w:rsid w:val="00CD141E"/>
    <w:rsid w:val="00CD2E00"/>
    <w:rsid w:val="00CD3F7C"/>
    <w:rsid w:val="00CD4019"/>
    <w:rsid w:val="00CD40AF"/>
    <w:rsid w:val="00CD45A4"/>
    <w:rsid w:val="00CD4A9B"/>
    <w:rsid w:val="00CD6F07"/>
    <w:rsid w:val="00CD743D"/>
    <w:rsid w:val="00CD7B7E"/>
    <w:rsid w:val="00CE0B07"/>
    <w:rsid w:val="00CE1597"/>
    <w:rsid w:val="00CE16B5"/>
    <w:rsid w:val="00CE1D4C"/>
    <w:rsid w:val="00CE1E18"/>
    <w:rsid w:val="00CE2689"/>
    <w:rsid w:val="00CE2812"/>
    <w:rsid w:val="00CE35B8"/>
    <w:rsid w:val="00CE3B07"/>
    <w:rsid w:val="00CE459E"/>
    <w:rsid w:val="00CE5FBE"/>
    <w:rsid w:val="00CE627C"/>
    <w:rsid w:val="00CE6735"/>
    <w:rsid w:val="00CE7631"/>
    <w:rsid w:val="00CF0168"/>
    <w:rsid w:val="00CF0CBC"/>
    <w:rsid w:val="00CF111C"/>
    <w:rsid w:val="00CF13EC"/>
    <w:rsid w:val="00CF193B"/>
    <w:rsid w:val="00CF1ED6"/>
    <w:rsid w:val="00CF2443"/>
    <w:rsid w:val="00CF28B2"/>
    <w:rsid w:val="00CF2F88"/>
    <w:rsid w:val="00CF329D"/>
    <w:rsid w:val="00CF33CF"/>
    <w:rsid w:val="00CF3C3C"/>
    <w:rsid w:val="00CF433E"/>
    <w:rsid w:val="00CF4656"/>
    <w:rsid w:val="00CF5892"/>
    <w:rsid w:val="00CF5C6C"/>
    <w:rsid w:val="00CF65DA"/>
    <w:rsid w:val="00CF6844"/>
    <w:rsid w:val="00CF7D67"/>
    <w:rsid w:val="00D014E5"/>
    <w:rsid w:val="00D02756"/>
    <w:rsid w:val="00D02A4E"/>
    <w:rsid w:val="00D02E4F"/>
    <w:rsid w:val="00D02FEF"/>
    <w:rsid w:val="00D03000"/>
    <w:rsid w:val="00D0438A"/>
    <w:rsid w:val="00D046A6"/>
    <w:rsid w:val="00D04801"/>
    <w:rsid w:val="00D05E3B"/>
    <w:rsid w:val="00D0603F"/>
    <w:rsid w:val="00D06710"/>
    <w:rsid w:val="00D06AB0"/>
    <w:rsid w:val="00D072A2"/>
    <w:rsid w:val="00D07695"/>
    <w:rsid w:val="00D07F83"/>
    <w:rsid w:val="00D1001B"/>
    <w:rsid w:val="00D10672"/>
    <w:rsid w:val="00D1075E"/>
    <w:rsid w:val="00D115B0"/>
    <w:rsid w:val="00D119D4"/>
    <w:rsid w:val="00D1227A"/>
    <w:rsid w:val="00D13165"/>
    <w:rsid w:val="00D13666"/>
    <w:rsid w:val="00D15A74"/>
    <w:rsid w:val="00D166AC"/>
    <w:rsid w:val="00D16833"/>
    <w:rsid w:val="00D16A96"/>
    <w:rsid w:val="00D1780E"/>
    <w:rsid w:val="00D17A72"/>
    <w:rsid w:val="00D201D2"/>
    <w:rsid w:val="00D214C2"/>
    <w:rsid w:val="00D21642"/>
    <w:rsid w:val="00D2168E"/>
    <w:rsid w:val="00D228DA"/>
    <w:rsid w:val="00D2382C"/>
    <w:rsid w:val="00D2487C"/>
    <w:rsid w:val="00D25645"/>
    <w:rsid w:val="00D25D50"/>
    <w:rsid w:val="00D2780C"/>
    <w:rsid w:val="00D27BE0"/>
    <w:rsid w:val="00D27E65"/>
    <w:rsid w:val="00D30BAE"/>
    <w:rsid w:val="00D316C2"/>
    <w:rsid w:val="00D316CF"/>
    <w:rsid w:val="00D316F6"/>
    <w:rsid w:val="00D31AEB"/>
    <w:rsid w:val="00D31D85"/>
    <w:rsid w:val="00D3225A"/>
    <w:rsid w:val="00D32A54"/>
    <w:rsid w:val="00D33239"/>
    <w:rsid w:val="00D33D80"/>
    <w:rsid w:val="00D33E97"/>
    <w:rsid w:val="00D34C50"/>
    <w:rsid w:val="00D34F6F"/>
    <w:rsid w:val="00D35813"/>
    <w:rsid w:val="00D35959"/>
    <w:rsid w:val="00D35B63"/>
    <w:rsid w:val="00D369CF"/>
    <w:rsid w:val="00D36B73"/>
    <w:rsid w:val="00D37023"/>
    <w:rsid w:val="00D37F5F"/>
    <w:rsid w:val="00D40320"/>
    <w:rsid w:val="00D41815"/>
    <w:rsid w:val="00D418D1"/>
    <w:rsid w:val="00D41A05"/>
    <w:rsid w:val="00D43A26"/>
    <w:rsid w:val="00D456A6"/>
    <w:rsid w:val="00D46C89"/>
    <w:rsid w:val="00D46F61"/>
    <w:rsid w:val="00D47CEA"/>
    <w:rsid w:val="00D50FC3"/>
    <w:rsid w:val="00D52188"/>
    <w:rsid w:val="00D52A44"/>
    <w:rsid w:val="00D5315D"/>
    <w:rsid w:val="00D5477D"/>
    <w:rsid w:val="00D553F4"/>
    <w:rsid w:val="00D55401"/>
    <w:rsid w:val="00D55994"/>
    <w:rsid w:val="00D55A70"/>
    <w:rsid w:val="00D5628F"/>
    <w:rsid w:val="00D563A1"/>
    <w:rsid w:val="00D56493"/>
    <w:rsid w:val="00D569EA"/>
    <w:rsid w:val="00D57659"/>
    <w:rsid w:val="00D57B2C"/>
    <w:rsid w:val="00D606B1"/>
    <w:rsid w:val="00D606F8"/>
    <w:rsid w:val="00D60835"/>
    <w:rsid w:val="00D60B16"/>
    <w:rsid w:val="00D60D09"/>
    <w:rsid w:val="00D60E61"/>
    <w:rsid w:val="00D60FCA"/>
    <w:rsid w:val="00D63AD0"/>
    <w:rsid w:val="00D64151"/>
    <w:rsid w:val="00D64299"/>
    <w:rsid w:val="00D643C7"/>
    <w:rsid w:val="00D66CE3"/>
    <w:rsid w:val="00D6732C"/>
    <w:rsid w:val="00D7065A"/>
    <w:rsid w:val="00D7070F"/>
    <w:rsid w:val="00D7140D"/>
    <w:rsid w:val="00D71B1C"/>
    <w:rsid w:val="00D7271F"/>
    <w:rsid w:val="00D7295A"/>
    <w:rsid w:val="00D7365C"/>
    <w:rsid w:val="00D739DE"/>
    <w:rsid w:val="00D74169"/>
    <w:rsid w:val="00D74651"/>
    <w:rsid w:val="00D746D8"/>
    <w:rsid w:val="00D74945"/>
    <w:rsid w:val="00D7797F"/>
    <w:rsid w:val="00D77A11"/>
    <w:rsid w:val="00D77FE8"/>
    <w:rsid w:val="00D80633"/>
    <w:rsid w:val="00D8063D"/>
    <w:rsid w:val="00D824C4"/>
    <w:rsid w:val="00D826F2"/>
    <w:rsid w:val="00D82BD5"/>
    <w:rsid w:val="00D84892"/>
    <w:rsid w:val="00D84C74"/>
    <w:rsid w:val="00D862E5"/>
    <w:rsid w:val="00D86435"/>
    <w:rsid w:val="00D8686E"/>
    <w:rsid w:val="00D86A9C"/>
    <w:rsid w:val="00D873F8"/>
    <w:rsid w:val="00D87937"/>
    <w:rsid w:val="00D87B0B"/>
    <w:rsid w:val="00D91281"/>
    <w:rsid w:val="00D9128E"/>
    <w:rsid w:val="00D91624"/>
    <w:rsid w:val="00D917F5"/>
    <w:rsid w:val="00D92127"/>
    <w:rsid w:val="00D93612"/>
    <w:rsid w:val="00D936AA"/>
    <w:rsid w:val="00D93815"/>
    <w:rsid w:val="00D93DD0"/>
    <w:rsid w:val="00D94626"/>
    <w:rsid w:val="00D946DE"/>
    <w:rsid w:val="00D95635"/>
    <w:rsid w:val="00D9638E"/>
    <w:rsid w:val="00D966DD"/>
    <w:rsid w:val="00D96E5D"/>
    <w:rsid w:val="00D97A46"/>
    <w:rsid w:val="00DA0218"/>
    <w:rsid w:val="00DA0857"/>
    <w:rsid w:val="00DA09EC"/>
    <w:rsid w:val="00DA1253"/>
    <w:rsid w:val="00DA15A3"/>
    <w:rsid w:val="00DA19C9"/>
    <w:rsid w:val="00DA21E3"/>
    <w:rsid w:val="00DA3C87"/>
    <w:rsid w:val="00DA4DE5"/>
    <w:rsid w:val="00DA5867"/>
    <w:rsid w:val="00DA66E4"/>
    <w:rsid w:val="00DA66F4"/>
    <w:rsid w:val="00DA68CF"/>
    <w:rsid w:val="00DA6AA1"/>
    <w:rsid w:val="00DA6C2B"/>
    <w:rsid w:val="00DA7D7D"/>
    <w:rsid w:val="00DB0359"/>
    <w:rsid w:val="00DB0833"/>
    <w:rsid w:val="00DB19FD"/>
    <w:rsid w:val="00DB2363"/>
    <w:rsid w:val="00DB3581"/>
    <w:rsid w:val="00DB35B6"/>
    <w:rsid w:val="00DB4152"/>
    <w:rsid w:val="00DB5688"/>
    <w:rsid w:val="00DB6670"/>
    <w:rsid w:val="00DB68C2"/>
    <w:rsid w:val="00DB69E1"/>
    <w:rsid w:val="00DB7206"/>
    <w:rsid w:val="00DC0FC2"/>
    <w:rsid w:val="00DC146E"/>
    <w:rsid w:val="00DC2B8B"/>
    <w:rsid w:val="00DC2DB6"/>
    <w:rsid w:val="00DC32EB"/>
    <w:rsid w:val="00DC3C4E"/>
    <w:rsid w:val="00DC45B4"/>
    <w:rsid w:val="00DC4BFB"/>
    <w:rsid w:val="00DC697D"/>
    <w:rsid w:val="00DC6ED9"/>
    <w:rsid w:val="00DC7786"/>
    <w:rsid w:val="00DD0A91"/>
    <w:rsid w:val="00DD2127"/>
    <w:rsid w:val="00DD28A3"/>
    <w:rsid w:val="00DD2DD4"/>
    <w:rsid w:val="00DD3009"/>
    <w:rsid w:val="00DD33DB"/>
    <w:rsid w:val="00DD3AD4"/>
    <w:rsid w:val="00DD3C71"/>
    <w:rsid w:val="00DD5217"/>
    <w:rsid w:val="00DD533D"/>
    <w:rsid w:val="00DD57A0"/>
    <w:rsid w:val="00DD7205"/>
    <w:rsid w:val="00DD7319"/>
    <w:rsid w:val="00DE090B"/>
    <w:rsid w:val="00DE0EFE"/>
    <w:rsid w:val="00DE1508"/>
    <w:rsid w:val="00DE2FB9"/>
    <w:rsid w:val="00DE3AE4"/>
    <w:rsid w:val="00DE4046"/>
    <w:rsid w:val="00DE504C"/>
    <w:rsid w:val="00DE55F3"/>
    <w:rsid w:val="00DE56E8"/>
    <w:rsid w:val="00DE6F74"/>
    <w:rsid w:val="00DE77A1"/>
    <w:rsid w:val="00DE7A47"/>
    <w:rsid w:val="00DE7B4A"/>
    <w:rsid w:val="00DF07B3"/>
    <w:rsid w:val="00DF233C"/>
    <w:rsid w:val="00DF314B"/>
    <w:rsid w:val="00DF348E"/>
    <w:rsid w:val="00DF47CF"/>
    <w:rsid w:val="00DF4951"/>
    <w:rsid w:val="00DF4A63"/>
    <w:rsid w:val="00DF5884"/>
    <w:rsid w:val="00DF60CA"/>
    <w:rsid w:val="00DF624C"/>
    <w:rsid w:val="00DF6745"/>
    <w:rsid w:val="00DF69E9"/>
    <w:rsid w:val="00DF706E"/>
    <w:rsid w:val="00DF7E58"/>
    <w:rsid w:val="00E0023A"/>
    <w:rsid w:val="00E00519"/>
    <w:rsid w:val="00E006F6"/>
    <w:rsid w:val="00E00D36"/>
    <w:rsid w:val="00E01D19"/>
    <w:rsid w:val="00E020BC"/>
    <w:rsid w:val="00E03C25"/>
    <w:rsid w:val="00E03D2F"/>
    <w:rsid w:val="00E04110"/>
    <w:rsid w:val="00E04196"/>
    <w:rsid w:val="00E04319"/>
    <w:rsid w:val="00E0452B"/>
    <w:rsid w:val="00E04BE8"/>
    <w:rsid w:val="00E052ED"/>
    <w:rsid w:val="00E05908"/>
    <w:rsid w:val="00E05A08"/>
    <w:rsid w:val="00E05A4A"/>
    <w:rsid w:val="00E0698E"/>
    <w:rsid w:val="00E07071"/>
    <w:rsid w:val="00E071D5"/>
    <w:rsid w:val="00E107A4"/>
    <w:rsid w:val="00E10D11"/>
    <w:rsid w:val="00E12D14"/>
    <w:rsid w:val="00E12F71"/>
    <w:rsid w:val="00E1312B"/>
    <w:rsid w:val="00E138B7"/>
    <w:rsid w:val="00E13A96"/>
    <w:rsid w:val="00E14602"/>
    <w:rsid w:val="00E148CF"/>
    <w:rsid w:val="00E14BC9"/>
    <w:rsid w:val="00E14E4C"/>
    <w:rsid w:val="00E14FE0"/>
    <w:rsid w:val="00E1687B"/>
    <w:rsid w:val="00E16E15"/>
    <w:rsid w:val="00E17582"/>
    <w:rsid w:val="00E209D9"/>
    <w:rsid w:val="00E20FC2"/>
    <w:rsid w:val="00E21168"/>
    <w:rsid w:val="00E21431"/>
    <w:rsid w:val="00E21439"/>
    <w:rsid w:val="00E21F29"/>
    <w:rsid w:val="00E2249D"/>
    <w:rsid w:val="00E23841"/>
    <w:rsid w:val="00E23E48"/>
    <w:rsid w:val="00E23EB7"/>
    <w:rsid w:val="00E23F18"/>
    <w:rsid w:val="00E2659B"/>
    <w:rsid w:val="00E27419"/>
    <w:rsid w:val="00E30B58"/>
    <w:rsid w:val="00E3100E"/>
    <w:rsid w:val="00E3122A"/>
    <w:rsid w:val="00E31B45"/>
    <w:rsid w:val="00E3233E"/>
    <w:rsid w:val="00E326FB"/>
    <w:rsid w:val="00E32CA0"/>
    <w:rsid w:val="00E3300F"/>
    <w:rsid w:val="00E33126"/>
    <w:rsid w:val="00E334A8"/>
    <w:rsid w:val="00E3381A"/>
    <w:rsid w:val="00E34736"/>
    <w:rsid w:val="00E34CDA"/>
    <w:rsid w:val="00E3574B"/>
    <w:rsid w:val="00E358D2"/>
    <w:rsid w:val="00E35D73"/>
    <w:rsid w:val="00E36705"/>
    <w:rsid w:val="00E36B75"/>
    <w:rsid w:val="00E36E09"/>
    <w:rsid w:val="00E3767F"/>
    <w:rsid w:val="00E40A08"/>
    <w:rsid w:val="00E40A6B"/>
    <w:rsid w:val="00E410C6"/>
    <w:rsid w:val="00E41469"/>
    <w:rsid w:val="00E41B7E"/>
    <w:rsid w:val="00E429F6"/>
    <w:rsid w:val="00E42CA5"/>
    <w:rsid w:val="00E42E67"/>
    <w:rsid w:val="00E42F8F"/>
    <w:rsid w:val="00E43C8A"/>
    <w:rsid w:val="00E4419B"/>
    <w:rsid w:val="00E4488F"/>
    <w:rsid w:val="00E44BD7"/>
    <w:rsid w:val="00E44E88"/>
    <w:rsid w:val="00E4599C"/>
    <w:rsid w:val="00E45A67"/>
    <w:rsid w:val="00E4711B"/>
    <w:rsid w:val="00E477EE"/>
    <w:rsid w:val="00E506B9"/>
    <w:rsid w:val="00E510EF"/>
    <w:rsid w:val="00E521D0"/>
    <w:rsid w:val="00E52A80"/>
    <w:rsid w:val="00E52C24"/>
    <w:rsid w:val="00E5383B"/>
    <w:rsid w:val="00E548C5"/>
    <w:rsid w:val="00E54BD9"/>
    <w:rsid w:val="00E54F8B"/>
    <w:rsid w:val="00E5507A"/>
    <w:rsid w:val="00E55D0B"/>
    <w:rsid w:val="00E56300"/>
    <w:rsid w:val="00E56723"/>
    <w:rsid w:val="00E57022"/>
    <w:rsid w:val="00E575B1"/>
    <w:rsid w:val="00E576E8"/>
    <w:rsid w:val="00E57D5D"/>
    <w:rsid w:val="00E60FF4"/>
    <w:rsid w:val="00E62FB7"/>
    <w:rsid w:val="00E638FD"/>
    <w:rsid w:val="00E63EC6"/>
    <w:rsid w:val="00E63FD3"/>
    <w:rsid w:val="00E64C4F"/>
    <w:rsid w:val="00E651A9"/>
    <w:rsid w:val="00E6521C"/>
    <w:rsid w:val="00E6589B"/>
    <w:rsid w:val="00E66FEF"/>
    <w:rsid w:val="00E7042A"/>
    <w:rsid w:val="00E72577"/>
    <w:rsid w:val="00E726D2"/>
    <w:rsid w:val="00E7281E"/>
    <w:rsid w:val="00E7331A"/>
    <w:rsid w:val="00E7337E"/>
    <w:rsid w:val="00E734C2"/>
    <w:rsid w:val="00E73B77"/>
    <w:rsid w:val="00E7563C"/>
    <w:rsid w:val="00E75B91"/>
    <w:rsid w:val="00E76A5A"/>
    <w:rsid w:val="00E77A23"/>
    <w:rsid w:val="00E77AB4"/>
    <w:rsid w:val="00E80173"/>
    <w:rsid w:val="00E809E4"/>
    <w:rsid w:val="00E81511"/>
    <w:rsid w:val="00E81A58"/>
    <w:rsid w:val="00E81E7C"/>
    <w:rsid w:val="00E81ECB"/>
    <w:rsid w:val="00E81FBD"/>
    <w:rsid w:val="00E82173"/>
    <w:rsid w:val="00E8270F"/>
    <w:rsid w:val="00E82722"/>
    <w:rsid w:val="00E83852"/>
    <w:rsid w:val="00E83DA7"/>
    <w:rsid w:val="00E84C7E"/>
    <w:rsid w:val="00E851A3"/>
    <w:rsid w:val="00E859CE"/>
    <w:rsid w:val="00E85C5F"/>
    <w:rsid w:val="00E86765"/>
    <w:rsid w:val="00E86CEB"/>
    <w:rsid w:val="00E87609"/>
    <w:rsid w:val="00E87B86"/>
    <w:rsid w:val="00E9098F"/>
    <w:rsid w:val="00E90E67"/>
    <w:rsid w:val="00E92056"/>
    <w:rsid w:val="00E9222F"/>
    <w:rsid w:val="00E926A6"/>
    <w:rsid w:val="00E92FCF"/>
    <w:rsid w:val="00E93794"/>
    <w:rsid w:val="00E93F47"/>
    <w:rsid w:val="00E94B11"/>
    <w:rsid w:val="00E9510A"/>
    <w:rsid w:val="00E9515E"/>
    <w:rsid w:val="00E96C02"/>
    <w:rsid w:val="00E97209"/>
    <w:rsid w:val="00EA0434"/>
    <w:rsid w:val="00EA0A18"/>
    <w:rsid w:val="00EA1056"/>
    <w:rsid w:val="00EA171F"/>
    <w:rsid w:val="00EA1A24"/>
    <w:rsid w:val="00EA1D67"/>
    <w:rsid w:val="00EA2A83"/>
    <w:rsid w:val="00EA5140"/>
    <w:rsid w:val="00EA582D"/>
    <w:rsid w:val="00EA633B"/>
    <w:rsid w:val="00EA6596"/>
    <w:rsid w:val="00EA68BF"/>
    <w:rsid w:val="00EA7721"/>
    <w:rsid w:val="00EA7E42"/>
    <w:rsid w:val="00EA7E92"/>
    <w:rsid w:val="00EB01E2"/>
    <w:rsid w:val="00EB1365"/>
    <w:rsid w:val="00EB13CC"/>
    <w:rsid w:val="00EB1EBF"/>
    <w:rsid w:val="00EB1FAE"/>
    <w:rsid w:val="00EB2DA1"/>
    <w:rsid w:val="00EB324F"/>
    <w:rsid w:val="00EB4805"/>
    <w:rsid w:val="00EB5D7B"/>
    <w:rsid w:val="00EB5DA5"/>
    <w:rsid w:val="00EB6487"/>
    <w:rsid w:val="00EB6D05"/>
    <w:rsid w:val="00EC00AC"/>
    <w:rsid w:val="00EC0783"/>
    <w:rsid w:val="00EC1424"/>
    <w:rsid w:val="00EC2695"/>
    <w:rsid w:val="00EC2704"/>
    <w:rsid w:val="00EC2E1D"/>
    <w:rsid w:val="00EC4672"/>
    <w:rsid w:val="00EC4B91"/>
    <w:rsid w:val="00EC5A42"/>
    <w:rsid w:val="00EC7706"/>
    <w:rsid w:val="00EC7D6F"/>
    <w:rsid w:val="00ED05F8"/>
    <w:rsid w:val="00ED0B91"/>
    <w:rsid w:val="00ED1B8D"/>
    <w:rsid w:val="00ED20A3"/>
    <w:rsid w:val="00ED24BC"/>
    <w:rsid w:val="00ED2BB4"/>
    <w:rsid w:val="00ED2D5F"/>
    <w:rsid w:val="00ED41D0"/>
    <w:rsid w:val="00ED4A75"/>
    <w:rsid w:val="00ED51BA"/>
    <w:rsid w:val="00ED5554"/>
    <w:rsid w:val="00ED6291"/>
    <w:rsid w:val="00ED6865"/>
    <w:rsid w:val="00ED708A"/>
    <w:rsid w:val="00ED7A5E"/>
    <w:rsid w:val="00EE0024"/>
    <w:rsid w:val="00EE08AF"/>
    <w:rsid w:val="00EE0E7E"/>
    <w:rsid w:val="00EE15F3"/>
    <w:rsid w:val="00EE2AF0"/>
    <w:rsid w:val="00EE31B4"/>
    <w:rsid w:val="00EE34F1"/>
    <w:rsid w:val="00EE3659"/>
    <w:rsid w:val="00EE4015"/>
    <w:rsid w:val="00EE4473"/>
    <w:rsid w:val="00EE4541"/>
    <w:rsid w:val="00EE47FF"/>
    <w:rsid w:val="00EE4DE5"/>
    <w:rsid w:val="00EE50A3"/>
    <w:rsid w:val="00EE6349"/>
    <w:rsid w:val="00EE669B"/>
    <w:rsid w:val="00EE7090"/>
    <w:rsid w:val="00EE70FB"/>
    <w:rsid w:val="00EE7130"/>
    <w:rsid w:val="00EE7BF3"/>
    <w:rsid w:val="00EF1489"/>
    <w:rsid w:val="00EF24C2"/>
    <w:rsid w:val="00EF29CE"/>
    <w:rsid w:val="00EF2A3E"/>
    <w:rsid w:val="00EF3858"/>
    <w:rsid w:val="00EF4A77"/>
    <w:rsid w:val="00EF4D62"/>
    <w:rsid w:val="00EF4E34"/>
    <w:rsid w:val="00EF4EA4"/>
    <w:rsid w:val="00EF5E8B"/>
    <w:rsid w:val="00EF5FF4"/>
    <w:rsid w:val="00EF610B"/>
    <w:rsid w:val="00EF7121"/>
    <w:rsid w:val="00EF75A8"/>
    <w:rsid w:val="00EF7861"/>
    <w:rsid w:val="00EF786B"/>
    <w:rsid w:val="00EF7CA3"/>
    <w:rsid w:val="00F00100"/>
    <w:rsid w:val="00F004EA"/>
    <w:rsid w:val="00F00571"/>
    <w:rsid w:val="00F00C2E"/>
    <w:rsid w:val="00F0128E"/>
    <w:rsid w:val="00F0162D"/>
    <w:rsid w:val="00F01928"/>
    <w:rsid w:val="00F01D32"/>
    <w:rsid w:val="00F039DA"/>
    <w:rsid w:val="00F04601"/>
    <w:rsid w:val="00F052E4"/>
    <w:rsid w:val="00F054B5"/>
    <w:rsid w:val="00F05A38"/>
    <w:rsid w:val="00F05CBD"/>
    <w:rsid w:val="00F06479"/>
    <w:rsid w:val="00F077CA"/>
    <w:rsid w:val="00F078A0"/>
    <w:rsid w:val="00F078E3"/>
    <w:rsid w:val="00F07D80"/>
    <w:rsid w:val="00F10C11"/>
    <w:rsid w:val="00F10EB1"/>
    <w:rsid w:val="00F1124B"/>
    <w:rsid w:val="00F11AF6"/>
    <w:rsid w:val="00F11C58"/>
    <w:rsid w:val="00F12965"/>
    <w:rsid w:val="00F12ADD"/>
    <w:rsid w:val="00F13431"/>
    <w:rsid w:val="00F13890"/>
    <w:rsid w:val="00F14A15"/>
    <w:rsid w:val="00F14B6E"/>
    <w:rsid w:val="00F14F5F"/>
    <w:rsid w:val="00F14FF5"/>
    <w:rsid w:val="00F150CE"/>
    <w:rsid w:val="00F15643"/>
    <w:rsid w:val="00F15A26"/>
    <w:rsid w:val="00F15AAC"/>
    <w:rsid w:val="00F15C74"/>
    <w:rsid w:val="00F16145"/>
    <w:rsid w:val="00F16465"/>
    <w:rsid w:val="00F16991"/>
    <w:rsid w:val="00F178D5"/>
    <w:rsid w:val="00F178DE"/>
    <w:rsid w:val="00F20C0B"/>
    <w:rsid w:val="00F20D1C"/>
    <w:rsid w:val="00F22804"/>
    <w:rsid w:val="00F2489D"/>
    <w:rsid w:val="00F26152"/>
    <w:rsid w:val="00F2696C"/>
    <w:rsid w:val="00F26CA1"/>
    <w:rsid w:val="00F30145"/>
    <w:rsid w:val="00F31BFE"/>
    <w:rsid w:val="00F32C06"/>
    <w:rsid w:val="00F33107"/>
    <w:rsid w:val="00F33328"/>
    <w:rsid w:val="00F33475"/>
    <w:rsid w:val="00F33505"/>
    <w:rsid w:val="00F33850"/>
    <w:rsid w:val="00F33C42"/>
    <w:rsid w:val="00F33CD8"/>
    <w:rsid w:val="00F33EFA"/>
    <w:rsid w:val="00F347D6"/>
    <w:rsid w:val="00F34FB3"/>
    <w:rsid w:val="00F351F4"/>
    <w:rsid w:val="00F35997"/>
    <w:rsid w:val="00F35BC9"/>
    <w:rsid w:val="00F368BF"/>
    <w:rsid w:val="00F36DDA"/>
    <w:rsid w:val="00F37390"/>
    <w:rsid w:val="00F37ACA"/>
    <w:rsid w:val="00F4025A"/>
    <w:rsid w:val="00F40760"/>
    <w:rsid w:val="00F4136E"/>
    <w:rsid w:val="00F424CA"/>
    <w:rsid w:val="00F4275A"/>
    <w:rsid w:val="00F436B5"/>
    <w:rsid w:val="00F4388A"/>
    <w:rsid w:val="00F438AC"/>
    <w:rsid w:val="00F441BB"/>
    <w:rsid w:val="00F445F2"/>
    <w:rsid w:val="00F44F3C"/>
    <w:rsid w:val="00F45155"/>
    <w:rsid w:val="00F456C4"/>
    <w:rsid w:val="00F45F17"/>
    <w:rsid w:val="00F463A0"/>
    <w:rsid w:val="00F47542"/>
    <w:rsid w:val="00F47F4E"/>
    <w:rsid w:val="00F5095A"/>
    <w:rsid w:val="00F51844"/>
    <w:rsid w:val="00F52329"/>
    <w:rsid w:val="00F52FAF"/>
    <w:rsid w:val="00F53728"/>
    <w:rsid w:val="00F53CC9"/>
    <w:rsid w:val="00F551A1"/>
    <w:rsid w:val="00F5599A"/>
    <w:rsid w:val="00F55CA3"/>
    <w:rsid w:val="00F55CF4"/>
    <w:rsid w:val="00F561E7"/>
    <w:rsid w:val="00F5622B"/>
    <w:rsid w:val="00F565E5"/>
    <w:rsid w:val="00F575FB"/>
    <w:rsid w:val="00F57F57"/>
    <w:rsid w:val="00F60579"/>
    <w:rsid w:val="00F60D0B"/>
    <w:rsid w:val="00F61501"/>
    <w:rsid w:val="00F616E8"/>
    <w:rsid w:val="00F61B25"/>
    <w:rsid w:val="00F61CB8"/>
    <w:rsid w:val="00F62CEE"/>
    <w:rsid w:val="00F6396D"/>
    <w:rsid w:val="00F63CA6"/>
    <w:rsid w:val="00F641B4"/>
    <w:rsid w:val="00F64251"/>
    <w:rsid w:val="00F64BFB"/>
    <w:rsid w:val="00F66CF1"/>
    <w:rsid w:val="00F66F1D"/>
    <w:rsid w:val="00F6755C"/>
    <w:rsid w:val="00F67803"/>
    <w:rsid w:val="00F679B8"/>
    <w:rsid w:val="00F67E9B"/>
    <w:rsid w:val="00F7022C"/>
    <w:rsid w:val="00F705E8"/>
    <w:rsid w:val="00F70795"/>
    <w:rsid w:val="00F70CE5"/>
    <w:rsid w:val="00F7108F"/>
    <w:rsid w:val="00F71388"/>
    <w:rsid w:val="00F71CCC"/>
    <w:rsid w:val="00F72254"/>
    <w:rsid w:val="00F72BB0"/>
    <w:rsid w:val="00F739A7"/>
    <w:rsid w:val="00F73CF4"/>
    <w:rsid w:val="00F740C2"/>
    <w:rsid w:val="00F74763"/>
    <w:rsid w:val="00F763EC"/>
    <w:rsid w:val="00F765B6"/>
    <w:rsid w:val="00F768EC"/>
    <w:rsid w:val="00F76D5A"/>
    <w:rsid w:val="00F80145"/>
    <w:rsid w:val="00F81997"/>
    <w:rsid w:val="00F81EAB"/>
    <w:rsid w:val="00F81FD7"/>
    <w:rsid w:val="00F82E77"/>
    <w:rsid w:val="00F83372"/>
    <w:rsid w:val="00F84F94"/>
    <w:rsid w:val="00F86044"/>
    <w:rsid w:val="00F8674C"/>
    <w:rsid w:val="00F86F21"/>
    <w:rsid w:val="00F87173"/>
    <w:rsid w:val="00F878FC"/>
    <w:rsid w:val="00F87DAE"/>
    <w:rsid w:val="00F87E10"/>
    <w:rsid w:val="00F9119F"/>
    <w:rsid w:val="00F92737"/>
    <w:rsid w:val="00F940DF"/>
    <w:rsid w:val="00F9423A"/>
    <w:rsid w:val="00F94C48"/>
    <w:rsid w:val="00F95BB3"/>
    <w:rsid w:val="00F96368"/>
    <w:rsid w:val="00F96B39"/>
    <w:rsid w:val="00F96EF2"/>
    <w:rsid w:val="00F977F5"/>
    <w:rsid w:val="00F97896"/>
    <w:rsid w:val="00FA0129"/>
    <w:rsid w:val="00FA0A2A"/>
    <w:rsid w:val="00FA0A66"/>
    <w:rsid w:val="00FA1C9F"/>
    <w:rsid w:val="00FA37ED"/>
    <w:rsid w:val="00FA47C5"/>
    <w:rsid w:val="00FA4B8A"/>
    <w:rsid w:val="00FA6962"/>
    <w:rsid w:val="00FA6C11"/>
    <w:rsid w:val="00FA7284"/>
    <w:rsid w:val="00FA74DC"/>
    <w:rsid w:val="00FB006E"/>
    <w:rsid w:val="00FB0083"/>
    <w:rsid w:val="00FB012E"/>
    <w:rsid w:val="00FB017D"/>
    <w:rsid w:val="00FB0840"/>
    <w:rsid w:val="00FB0DE5"/>
    <w:rsid w:val="00FB0E56"/>
    <w:rsid w:val="00FB1C70"/>
    <w:rsid w:val="00FB2114"/>
    <w:rsid w:val="00FB226C"/>
    <w:rsid w:val="00FB2B01"/>
    <w:rsid w:val="00FB3170"/>
    <w:rsid w:val="00FB32A3"/>
    <w:rsid w:val="00FB3CB6"/>
    <w:rsid w:val="00FB3E7C"/>
    <w:rsid w:val="00FB4051"/>
    <w:rsid w:val="00FB42F0"/>
    <w:rsid w:val="00FB4932"/>
    <w:rsid w:val="00FB4E03"/>
    <w:rsid w:val="00FB4F1C"/>
    <w:rsid w:val="00FB524C"/>
    <w:rsid w:val="00FB666B"/>
    <w:rsid w:val="00FB6C42"/>
    <w:rsid w:val="00FB737B"/>
    <w:rsid w:val="00FB7951"/>
    <w:rsid w:val="00FB7AF8"/>
    <w:rsid w:val="00FB7E7A"/>
    <w:rsid w:val="00FC00BE"/>
    <w:rsid w:val="00FC0C60"/>
    <w:rsid w:val="00FC16F9"/>
    <w:rsid w:val="00FC2CC2"/>
    <w:rsid w:val="00FC3470"/>
    <w:rsid w:val="00FC37E2"/>
    <w:rsid w:val="00FC3FD1"/>
    <w:rsid w:val="00FC4D54"/>
    <w:rsid w:val="00FC5440"/>
    <w:rsid w:val="00FC5469"/>
    <w:rsid w:val="00FC5716"/>
    <w:rsid w:val="00FC646E"/>
    <w:rsid w:val="00FC64C3"/>
    <w:rsid w:val="00FC67BD"/>
    <w:rsid w:val="00FC6A08"/>
    <w:rsid w:val="00FD14DF"/>
    <w:rsid w:val="00FD241C"/>
    <w:rsid w:val="00FD24A5"/>
    <w:rsid w:val="00FD25E2"/>
    <w:rsid w:val="00FD3128"/>
    <w:rsid w:val="00FD31E4"/>
    <w:rsid w:val="00FD3466"/>
    <w:rsid w:val="00FD3D1E"/>
    <w:rsid w:val="00FD6780"/>
    <w:rsid w:val="00FD6832"/>
    <w:rsid w:val="00FD6D73"/>
    <w:rsid w:val="00FD7A93"/>
    <w:rsid w:val="00FE1472"/>
    <w:rsid w:val="00FE161A"/>
    <w:rsid w:val="00FE1817"/>
    <w:rsid w:val="00FE1848"/>
    <w:rsid w:val="00FE1875"/>
    <w:rsid w:val="00FE2655"/>
    <w:rsid w:val="00FE2F63"/>
    <w:rsid w:val="00FE344C"/>
    <w:rsid w:val="00FE421D"/>
    <w:rsid w:val="00FE4501"/>
    <w:rsid w:val="00FE53DE"/>
    <w:rsid w:val="00FE75BB"/>
    <w:rsid w:val="00FE7F5A"/>
    <w:rsid w:val="00FF00D3"/>
    <w:rsid w:val="00FF1650"/>
    <w:rsid w:val="00FF1943"/>
    <w:rsid w:val="00FF204F"/>
    <w:rsid w:val="00FF3629"/>
    <w:rsid w:val="00FF3A61"/>
    <w:rsid w:val="00FF3ECA"/>
    <w:rsid w:val="00FF46C6"/>
    <w:rsid w:val="00FF5046"/>
    <w:rsid w:val="00FF54E9"/>
    <w:rsid w:val="00FF596C"/>
    <w:rsid w:val="00FF6F31"/>
    <w:rsid w:val="00FF759C"/>
    <w:rsid w:val="00FF7BC6"/>
    <w:rsid w:val="00FF7BE4"/>
    <w:rsid w:val="4842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2"/>
    <w:semiHidden/>
    <w:unhideWhenUsed/>
    <w:uiPriority w:val="99"/>
    <w:rPr>
      <w:rFonts w:ascii="宋体"/>
      <w:sz w:val="18"/>
      <w:szCs w:val="18"/>
    </w:rPr>
  </w:style>
  <w:style w:type="paragraph" w:styleId="4">
    <w:name w:val="Balloon Text"/>
    <w:basedOn w:val="1"/>
    <w:link w:val="13"/>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List Paragraph"/>
    <w:basedOn w:val="1"/>
    <w:qFormat/>
    <w:uiPriority w:val="34"/>
    <w:pPr>
      <w:ind w:firstLine="420" w:firstLineChars="200"/>
    </w:pPr>
  </w:style>
  <w:style w:type="character" w:customStyle="1" w:styleId="11">
    <w:name w:val="标题 2 Char"/>
    <w:link w:val="2"/>
    <w:uiPriority w:val="9"/>
    <w:rPr>
      <w:rFonts w:ascii="Cambria" w:hAnsi="Cambria" w:eastAsia="宋体" w:cs="Times New Roman"/>
      <w:b/>
      <w:bCs/>
      <w:sz w:val="32"/>
      <w:szCs w:val="32"/>
    </w:rPr>
  </w:style>
  <w:style w:type="character" w:customStyle="1" w:styleId="12">
    <w:name w:val="文档结构图 Char"/>
    <w:link w:val="3"/>
    <w:semiHidden/>
    <w:uiPriority w:val="99"/>
    <w:rPr>
      <w:rFonts w:ascii="宋体" w:eastAsia="宋体"/>
      <w:sz w:val="18"/>
      <w:szCs w:val="18"/>
    </w:rPr>
  </w:style>
  <w:style w:type="character" w:customStyle="1" w:styleId="13">
    <w:name w:val="批注框文本 Char"/>
    <w:link w:val="4"/>
    <w:semiHidden/>
    <w:qFormat/>
    <w:uiPriority w:val="99"/>
    <w:rPr>
      <w:sz w:val="18"/>
      <w:szCs w:val="18"/>
    </w:rPr>
  </w:style>
  <w:style w:type="character" w:customStyle="1" w:styleId="14">
    <w:name w:val="页眉 Char"/>
    <w:link w:val="6"/>
    <w:qFormat/>
    <w:uiPriority w:val="99"/>
    <w:rPr>
      <w:sz w:val="18"/>
      <w:szCs w:val="18"/>
    </w:rPr>
  </w:style>
  <w:style w:type="character" w:customStyle="1" w:styleId="15">
    <w:name w:val="页脚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45CD0-AE97-4A7C-9046-D6A9FC3C32A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7907</Words>
  <Characters>8012</Characters>
  <Lines>57</Lines>
  <Paragraphs>16</Paragraphs>
  <TotalTime>8</TotalTime>
  <ScaleCrop>false</ScaleCrop>
  <LinksUpToDate>false</LinksUpToDate>
  <CharactersWithSpaces>8015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2020-07-28T07:44:00Z</dcterms:created>
  <dc:creator>微软系统</dc:creator>
  <cp:lastModifiedBy>阿营</cp:lastModifiedBy>
  <cp:lastPrinted>2015-07-02T07:10:00Z</cp:lastPrinted>
  <dcterms:modified xsi:type="dcterms:W3CDTF">2022-04-20T02:56:00Z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4FAB5FE748A94F2DAE14F0FB5BEE82E8</vt:lpwstr>
  </property>
</Properties>
</file>